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FE" w:rsidRPr="006C54FE" w:rsidRDefault="006C54FE" w:rsidP="006C54FE">
      <w:pPr>
        <w:jc w:val="both"/>
        <w:rPr>
          <w:rFonts w:ascii="Arial" w:hAnsi="Arial" w:cs="Arial"/>
          <w:b/>
          <w:bCs/>
        </w:rPr>
      </w:pPr>
      <w:bookmarkStart w:id="0" w:name="_GoBack"/>
      <w:r w:rsidRPr="006C54FE">
        <w:rPr>
          <w:rFonts w:ascii="Arial" w:hAnsi="Arial" w:cs="Arial"/>
          <w:b/>
          <w:bCs/>
        </w:rPr>
        <w:t>APRA completa la primera fase de su transformación de datos de jubilación</w:t>
      </w:r>
    </w:p>
    <w:bookmarkEnd w:id="0"/>
    <w:p w:rsidR="006C54FE" w:rsidRDefault="006C54FE" w:rsidP="006C54FE">
      <w:pPr>
        <w:jc w:val="both"/>
        <w:rPr>
          <w:rFonts w:ascii="Arial" w:hAnsi="Arial" w:cs="Arial"/>
        </w:rPr>
      </w:pPr>
    </w:p>
    <w:p w:rsidR="006C54FE" w:rsidRPr="006C54FE" w:rsidRDefault="006C54FE" w:rsidP="006C54FE">
      <w:pPr>
        <w:jc w:val="both"/>
        <w:rPr>
          <w:rFonts w:ascii="Arial" w:hAnsi="Arial" w:cs="Arial"/>
        </w:rPr>
      </w:pPr>
      <w:r w:rsidRPr="006C54FE">
        <w:rPr>
          <w:rFonts w:ascii="Arial" w:hAnsi="Arial" w:cs="Arial"/>
        </w:rPr>
        <w:t>Jueves 25 marzo 2021</w:t>
      </w:r>
    </w:p>
    <w:p w:rsidR="006C54FE" w:rsidRDefault="006C54FE" w:rsidP="006C54FE">
      <w:pPr>
        <w:jc w:val="both"/>
        <w:rPr>
          <w:rFonts w:ascii="Arial" w:hAnsi="Arial" w:cs="Arial"/>
        </w:rPr>
      </w:pPr>
    </w:p>
    <w:p w:rsidR="006C54FE" w:rsidRPr="006C54FE" w:rsidRDefault="006C54FE" w:rsidP="006C54FE">
      <w:pPr>
        <w:jc w:val="both"/>
        <w:rPr>
          <w:rFonts w:ascii="Arial" w:hAnsi="Arial" w:cs="Arial"/>
        </w:rPr>
      </w:pPr>
      <w:r w:rsidRPr="006C54FE">
        <w:rPr>
          <w:rFonts w:ascii="Arial" w:hAnsi="Arial" w:cs="Arial"/>
        </w:rPr>
        <w:t>La Autoridad Australiana de Regulación Prudencial (APRA) ha publicado el documento de respuesta y los estándares de informes finales para la Fase 1 de su Transformación de datos de jubilación (SDT) de varios años, que tiene como objetivo respaldar la mejora de los resultados de los miembros aumentando la amplitud, profundidad y calidad de la jubilación de APRA. Recopilación de datos.</w:t>
      </w:r>
    </w:p>
    <w:p w:rsidR="006C54FE" w:rsidRDefault="006C54FE" w:rsidP="006C54FE">
      <w:pPr>
        <w:jc w:val="both"/>
        <w:rPr>
          <w:rFonts w:ascii="Arial" w:hAnsi="Arial" w:cs="Arial"/>
        </w:rPr>
      </w:pPr>
      <w:hyperlink r:id="rId4" w:tooltip="Transformación de datos de jubilación de APRA para mejorar la transparencia y la responsabilidad de la industria" w:history="1">
        <w:r w:rsidRPr="006C54FE">
          <w:rPr>
            <w:rStyle w:val="Hipervnculo"/>
            <w:rFonts w:ascii="Arial" w:hAnsi="Arial" w:cs="Arial"/>
          </w:rPr>
          <w:t>Lanzada en noviembre de 2019</w:t>
        </w:r>
      </w:hyperlink>
      <w:r w:rsidRPr="006C54FE">
        <w:rPr>
          <w:rFonts w:ascii="Arial" w:hAnsi="Arial" w:cs="Arial"/>
        </w:rPr>
        <w:t> , la primera fase del SDT (Amplitud) abordó las lagunas más urgentes en los datos informados a APRA por los fideicomisarios de jubilación. Esto incluyó ampliar la recopilación de datos para incluir todos los productos y opciones de inversión, y recopilar datos mejorados sobre acuerdos de seguros, gastos, demografía de los miembros y clasificaciones de asignación de activos.</w:t>
      </w:r>
    </w:p>
    <w:p w:rsidR="006C54FE" w:rsidRPr="006C54FE" w:rsidRDefault="006C54FE" w:rsidP="006C54FE">
      <w:pPr>
        <w:jc w:val="both"/>
        <w:rPr>
          <w:rFonts w:ascii="Arial" w:hAnsi="Arial" w:cs="Arial"/>
        </w:rPr>
      </w:pPr>
      <w:r w:rsidRPr="006C54FE">
        <w:rPr>
          <w:rFonts w:ascii="Arial" w:hAnsi="Arial" w:cs="Arial"/>
        </w:rPr>
        <w:t>Después de varios meses de consultas con la industria, APRA publicó hoy un documento de respuesta y 10 nuevos estándares de informes finalizados que cubren la estructura y el perfil de la Entidad de jubilación registrable (RSE), el desempeño, la demografía de los miembros, la gestión de gastos, la asignación de activos, los acuerdos de seguros y las tarifas y costos. El marco de presentación de informes también se ha actualizado para facilitar las enmiendas legislativas propuestas que se introducirán en virtud del proyecto de ley 2021 de enmienda de las leyes del Tesoro del gobierno (</w:t>
      </w:r>
      <w:proofErr w:type="spellStart"/>
      <w:r w:rsidRPr="006C54FE">
        <w:rPr>
          <w:rFonts w:ascii="Arial" w:hAnsi="Arial" w:cs="Arial"/>
        </w:rPr>
        <w:t>Your</w:t>
      </w:r>
      <w:proofErr w:type="spellEnd"/>
      <w:r w:rsidRPr="006C54FE">
        <w:rPr>
          <w:rFonts w:ascii="Arial" w:hAnsi="Arial" w:cs="Arial"/>
        </w:rPr>
        <w:t xml:space="preserve"> </w:t>
      </w:r>
      <w:proofErr w:type="spellStart"/>
      <w:r w:rsidRPr="006C54FE">
        <w:rPr>
          <w:rFonts w:ascii="Arial" w:hAnsi="Arial" w:cs="Arial"/>
        </w:rPr>
        <w:t>Future</w:t>
      </w:r>
      <w:proofErr w:type="spellEnd"/>
      <w:r w:rsidRPr="006C54FE">
        <w:rPr>
          <w:rFonts w:ascii="Arial" w:hAnsi="Arial" w:cs="Arial"/>
        </w:rPr>
        <w:t xml:space="preserve"> </w:t>
      </w:r>
      <w:proofErr w:type="spellStart"/>
      <w:r w:rsidRPr="006C54FE">
        <w:rPr>
          <w:rFonts w:ascii="Arial" w:hAnsi="Arial" w:cs="Arial"/>
        </w:rPr>
        <w:t>Your</w:t>
      </w:r>
      <w:proofErr w:type="spellEnd"/>
      <w:r w:rsidRPr="006C54FE">
        <w:rPr>
          <w:rFonts w:ascii="Arial" w:hAnsi="Arial" w:cs="Arial"/>
        </w:rPr>
        <w:t xml:space="preserve"> </w:t>
      </w:r>
      <w:proofErr w:type="spellStart"/>
      <w:r w:rsidRPr="006C54FE">
        <w:rPr>
          <w:rFonts w:ascii="Arial" w:hAnsi="Arial" w:cs="Arial"/>
        </w:rPr>
        <w:t>Super</w:t>
      </w:r>
      <w:proofErr w:type="spellEnd"/>
      <w:r w:rsidRPr="006C54FE">
        <w:rPr>
          <w:rFonts w:ascii="Arial" w:hAnsi="Arial" w:cs="Arial"/>
        </w:rPr>
        <w:t>).</w:t>
      </w:r>
    </w:p>
    <w:p w:rsidR="006C54FE" w:rsidRPr="006C54FE" w:rsidRDefault="006C54FE" w:rsidP="006C54FE">
      <w:pPr>
        <w:jc w:val="both"/>
        <w:rPr>
          <w:rFonts w:ascii="Arial" w:hAnsi="Arial" w:cs="Arial"/>
        </w:rPr>
      </w:pPr>
      <w:r w:rsidRPr="006C54FE">
        <w:rPr>
          <w:rFonts w:ascii="Arial" w:hAnsi="Arial" w:cs="Arial"/>
        </w:rPr>
        <w:t xml:space="preserve">La vicepresidenta de APRA, Helen </w:t>
      </w:r>
      <w:proofErr w:type="spellStart"/>
      <w:r w:rsidRPr="006C54FE">
        <w:rPr>
          <w:rFonts w:ascii="Arial" w:hAnsi="Arial" w:cs="Arial"/>
        </w:rPr>
        <w:t>Rowell</w:t>
      </w:r>
      <w:proofErr w:type="spellEnd"/>
      <w:r w:rsidRPr="006C54FE">
        <w:rPr>
          <w:rFonts w:ascii="Arial" w:hAnsi="Arial" w:cs="Arial"/>
        </w:rPr>
        <w:t>, dijo que la finalización de la Fase 1 sería un paso importante en los esfuerzos de APRA para elevar los estándares de la industria y eliminar los de bajo rendimiento.</w:t>
      </w:r>
    </w:p>
    <w:p w:rsidR="006C54FE" w:rsidRPr="006C54FE" w:rsidRDefault="006C54FE" w:rsidP="006C54FE">
      <w:pPr>
        <w:ind w:left="708"/>
        <w:jc w:val="both"/>
        <w:rPr>
          <w:rFonts w:ascii="Arial" w:hAnsi="Arial" w:cs="Arial"/>
        </w:rPr>
      </w:pPr>
      <w:r w:rsidRPr="006C54FE">
        <w:rPr>
          <w:rFonts w:ascii="Arial" w:hAnsi="Arial" w:cs="Arial"/>
        </w:rPr>
        <w:t>“Nuestro marco de informes significativamente mejorado brindará datos más precisos, consistentes y comparables sobre el desempeño de los fondos, especialmente en áreas donde los datos faltan o son inadecuados.</w:t>
      </w:r>
    </w:p>
    <w:p w:rsidR="00ED7650" w:rsidRDefault="006C54FE" w:rsidP="006C54FE">
      <w:pPr>
        <w:ind w:left="708"/>
        <w:jc w:val="both"/>
        <w:rPr>
          <w:rFonts w:ascii="Arial" w:hAnsi="Arial" w:cs="Arial"/>
        </w:rPr>
      </w:pPr>
      <w:r w:rsidRPr="006C54FE">
        <w:rPr>
          <w:rFonts w:ascii="Arial" w:hAnsi="Arial" w:cs="Arial"/>
        </w:rPr>
        <w:t>“Armados con conocimientos nuevos y más profundos sobre aspectos de la industria que durante mucho tiempo han sido difíciles de escrutar, los supervisores de APRA estarán en una posición más fuerte para hacer que los fideicomisarios rindan cuentas de sus decisiones y los resultados que entregan a todos sus miembros.</w:t>
      </w:r>
    </w:p>
    <w:p w:rsidR="006C54FE" w:rsidRPr="006C54FE" w:rsidRDefault="006C54FE" w:rsidP="006C54FE">
      <w:pPr>
        <w:ind w:left="708"/>
        <w:jc w:val="both"/>
        <w:rPr>
          <w:rFonts w:ascii="Arial" w:hAnsi="Arial" w:cs="Arial"/>
        </w:rPr>
      </w:pPr>
      <w:r w:rsidRPr="006C54FE">
        <w:rPr>
          <w:rFonts w:ascii="Arial" w:hAnsi="Arial" w:cs="Arial"/>
        </w:rPr>
        <w:t>“Los nuevos datos sobre productos selectos permitirán a APRA expandir análisis e información como mapas de calor y evaluaciones comparativas de desempeño en este sector del mercado, que tiene activos por más de $ 900 mil millones. Una información más detallada sobre los gastos de los fondos, incluidos el marketing y los patrocinios, proporcionará una mayor transparencia sobre cómo los fideicomisarios gastan el dinero de sus miembros. La nueva recopilación de datos también aporta más coherencia a las definiciones clave y permitirá a todas las partes interesadas hacer comparaciones más significativas al evaluar quién lo está haciendo bien y quién no.</w:t>
      </w:r>
    </w:p>
    <w:p w:rsidR="006C54FE" w:rsidRDefault="006C54FE" w:rsidP="006C54FE">
      <w:pPr>
        <w:ind w:left="708"/>
        <w:jc w:val="both"/>
        <w:rPr>
          <w:rFonts w:ascii="Arial" w:hAnsi="Arial" w:cs="Arial"/>
        </w:rPr>
      </w:pPr>
      <w:r w:rsidRPr="006C54FE">
        <w:rPr>
          <w:rFonts w:ascii="Arial" w:hAnsi="Arial" w:cs="Arial"/>
        </w:rPr>
        <w:lastRenderedPageBreak/>
        <w:t xml:space="preserve">“No solo recopilaremos más datos y de mejor calidad a través del SDT, sino que también aumentaremos sustancialmente la cantidad de datos que hacemos públicos, lo que permitirá al gobierno, reguladores pares, analistas y miembros tomar decisiones de jubilación mejor informadas”, dijo </w:t>
      </w:r>
      <w:proofErr w:type="spellStart"/>
      <w:r w:rsidRPr="006C54FE">
        <w:rPr>
          <w:rFonts w:ascii="Arial" w:hAnsi="Arial" w:cs="Arial"/>
        </w:rPr>
        <w:t>Rowell</w:t>
      </w:r>
      <w:proofErr w:type="spellEnd"/>
      <w:r w:rsidRPr="006C54FE">
        <w:rPr>
          <w:rFonts w:ascii="Arial" w:hAnsi="Arial" w:cs="Arial"/>
        </w:rPr>
        <w:t>. </w:t>
      </w:r>
    </w:p>
    <w:p w:rsidR="006C54FE" w:rsidRPr="006C54FE" w:rsidRDefault="006C54FE" w:rsidP="006C54FE">
      <w:pPr>
        <w:jc w:val="both"/>
        <w:rPr>
          <w:rFonts w:ascii="Arial" w:hAnsi="Arial" w:cs="Arial"/>
        </w:rPr>
      </w:pPr>
      <w:r w:rsidRPr="006C54FE">
        <w:rPr>
          <w:rFonts w:ascii="Arial" w:hAnsi="Arial" w:cs="Arial"/>
        </w:rPr>
        <w:t>La mayor parte de los nuevos datos se enviarán a partir de septiembre de 2021, sin embargo, APRA ha modificado el plazo de implementación en respuesta a los comentarios de la industria para permitir que los fideicomisarios difieran la presentación de algunos datos menos críticos durante un año.</w:t>
      </w:r>
    </w:p>
    <w:p w:rsidR="006C54FE" w:rsidRPr="006C54FE" w:rsidRDefault="006C54FE" w:rsidP="006C54FE">
      <w:pPr>
        <w:jc w:val="both"/>
        <w:rPr>
          <w:rFonts w:ascii="Arial" w:hAnsi="Arial" w:cs="Arial"/>
        </w:rPr>
      </w:pPr>
      <w:r w:rsidRPr="006C54FE">
        <w:rPr>
          <w:rFonts w:ascii="Arial" w:hAnsi="Arial" w:cs="Arial"/>
        </w:rPr>
        <w:t>La consulta sobre la Fase 2 (Profundidad), que aumentará aún más la granularidad de las recopilaciones de datos de jubilación e identificará las recopilaciones de datos que pueden interrumpirse, debe comenzar a fines de 2021. Una vez completada, APRA comenzará la Fase 3 (Calidad), que evaluar la calidad y consistencia de los resultados de las Fases 1 y 2 y abordar cualquier problema de implementación.</w:t>
      </w:r>
    </w:p>
    <w:p w:rsidR="006C54FE" w:rsidRPr="006C54FE" w:rsidRDefault="006C54FE" w:rsidP="006C54FE">
      <w:pPr>
        <w:jc w:val="both"/>
        <w:rPr>
          <w:rFonts w:ascii="Arial" w:hAnsi="Arial" w:cs="Arial"/>
        </w:rPr>
      </w:pPr>
      <w:r w:rsidRPr="006C54FE">
        <w:rPr>
          <w:rFonts w:ascii="Arial" w:hAnsi="Arial" w:cs="Arial"/>
        </w:rPr>
        <w:t>El documento de respuesta y los estándares de informes finalizados están disponibles en: </w:t>
      </w:r>
      <w:hyperlink r:id="rId5" w:tooltip="Consulta sobre la transformación de datos de jubilación de APRA " w:history="1">
        <w:r w:rsidRPr="006C54FE">
          <w:rPr>
            <w:rStyle w:val="Hipervnculo"/>
            <w:rFonts w:ascii="Arial" w:hAnsi="Arial" w:cs="Arial"/>
          </w:rPr>
          <w:t>Consulta sobre la transformación de datos de jubilación de APRA</w:t>
        </w:r>
      </w:hyperlink>
      <w:r w:rsidRPr="006C54FE">
        <w:rPr>
          <w:rFonts w:ascii="Arial" w:hAnsi="Arial" w:cs="Arial"/>
        </w:rPr>
        <w:t> .</w:t>
      </w:r>
    </w:p>
    <w:p w:rsidR="006C54FE" w:rsidRPr="006C54FE" w:rsidRDefault="006C54FE" w:rsidP="006C54FE">
      <w:pPr>
        <w:jc w:val="both"/>
        <w:rPr>
          <w:rFonts w:ascii="Arial" w:hAnsi="Arial" w:cs="Arial"/>
        </w:rPr>
      </w:pPr>
    </w:p>
    <w:p w:rsidR="006C54FE" w:rsidRPr="006C54FE" w:rsidRDefault="006C54FE" w:rsidP="006C54FE">
      <w:pPr>
        <w:jc w:val="both"/>
        <w:rPr>
          <w:rFonts w:ascii="Arial" w:hAnsi="Arial" w:cs="Arial"/>
        </w:rPr>
      </w:pPr>
    </w:p>
    <w:sectPr w:rsidR="006C54FE" w:rsidRPr="006C54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FE"/>
    <w:rsid w:val="000F4B68"/>
    <w:rsid w:val="001739B4"/>
    <w:rsid w:val="003B63A5"/>
    <w:rsid w:val="006C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C55D6-DB23-4E77-9777-A6317031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54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75396">
      <w:bodyDiv w:val="1"/>
      <w:marLeft w:val="0"/>
      <w:marRight w:val="0"/>
      <w:marTop w:val="0"/>
      <w:marBottom w:val="0"/>
      <w:divBdr>
        <w:top w:val="none" w:sz="0" w:space="0" w:color="auto"/>
        <w:left w:val="none" w:sz="0" w:space="0" w:color="auto"/>
        <w:bottom w:val="none" w:sz="0" w:space="0" w:color="auto"/>
        <w:right w:val="none" w:sz="0" w:space="0" w:color="auto"/>
      </w:divBdr>
      <w:divsChild>
        <w:div w:id="983197943">
          <w:marLeft w:val="0"/>
          <w:marRight w:val="0"/>
          <w:marTop w:val="0"/>
          <w:marBottom w:val="0"/>
          <w:divBdr>
            <w:top w:val="none" w:sz="0" w:space="0" w:color="auto"/>
            <w:left w:val="none" w:sz="0" w:space="0" w:color="auto"/>
            <w:bottom w:val="none" w:sz="0" w:space="0" w:color="auto"/>
            <w:right w:val="none" w:sz="0" w:space="0" w:color="auto"/>
          </w:divBdr>
          <w:divsChild>
            <w:div w:id="472406007">
              <w:marLeft w:val="0"/>
              <w:marRight w:val="0"/>
              <w:marTop w:val="0"/>
              <w:marBottom w:val="0"/>
              <w:divBdr>
                <w:top w:val="none" w:sz="0" w:space="0" w:color="auto"/>
                <w:left w:val="none" w:sz="0" w:space="0" w:color="auto"/>
                <w:bottom w:val="none" w:sz="0" w:space="0" w:color="auto"/>
                <w:right w:val="none" w:sz="0" w:space="0" w:color="auto"/>
              </w:divBdr>
              <w:divsChild>
                <w:div w:id="536507978">
                  <w:marLeft w:val="0"/>
                  <w:marRight w:val="0"/>
                  <w:marTop w:val="0"/>
                  <w:marBottom w:val="0"/>
                  <w:divBdr>
                    <w:top w:val="none" w:sz="0" w:space="0" w:color="auto"/>
                    <w:left w:val="none" w:sz="0" w:space="0" w:color="auto"/>
                    <w:bottom w:val="none" w:sz="0" w:space="0" w:color="auto"/>
                    <w:right w:val="none" w:sz="0" w:space="0" w:color="auto"/>
                  </w:divBdr>
                  <w:divsChild>
                    <w:div w:id="1228341349">
                      <w:marLeft w:val="0"/>
                      <w:marRight w:val="0"/>
                      <w:marTop w:val="0"/>
                      <w:marBottom w:val="0"/>
                      <w:divBdr>
                        <w:top w:val="none" w:sz="0" w:space="0" w:color="auto"/>
                        <w:left w:val="none" w:sz="0" w:space="0" w:color="auto"/>
                        <w:bottom w:val="none" w:sz="0" w:space="0" w:color="auto"/>
                        <w:right w:val="none" w:sz="0" w:space="0" w:color="auto"/>
                      </w:divBdr>
                      <w:divsChild>
                        <w:div w:id="11911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4594">
          <w:marLeft w:val="0"/>
          <w:marRight w:val="0"/>
          <w:marTop w:val="0"/>
          <w:marBottom w:val="0"/>
          <w:divBdr>
            <w:top w:val="none" w:sz="0" w:space="0" w:color="auto"/>
            <w:left w:val="none" w:sz="0" w:space="0" w:color="auto"/>
            <w:bottom w:val="none" w:sz="0" w:space="0" w:color="auto"/>
            <w:right w:val="none" w:sz="0" w:space="0" w:color="auto"/>
          </w:divBdr>
          <w:divsChild>
            <w:div w:id="1244022160">
              <w:marLeft w:val="0"/>
              <w:marRight w:val="0"/>
              <w:marTop w:val="0"/>
              <w:marBottom w:val="0"/>
              <w:divBdr>
                <w:top w:val="none" w:sz="0" w:space="0" w:color="auto"/>
                <w:left w:val="none" w:sz="0" w:space="0" w:color="auto"/>
                <w:bottom w:val="single" w:sz="6" w:space="0" w:color="E6E6E6"/>
                <w:right w:val="none" w:sz="0" w:space="0" w:color="auto"/>
              </w:divBdr>
              <w:divsChild>
                <w:div w:id="1419445684">
                  <w:marLeft w:val="0"/>
                  <w:marRight w:val="0"/>
                  <w:marTop w:val="0"/>
                  <w:marBottom w:val="0"/>
                  <w:divBdr>
                    <w:top w:val="none" w:sz="0" w:space="0" w:color="auto"/>
                    <w:left w:val="none" w:sz="0" w:space="0" w:color="auto"/>
                    <w:bottom w:val="none" w:sz="0" w:space="0" w:color="auto"/>
                    <w:right w:val="none" w:sz="0" w:space="0" w:color="auto"/>
                  </w:divBdr>
                  <w:divsChild>
                    <w:div w:id="1711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9453">
      <w:bodyDiv w:val="1"/>
      <w:marLeft w:val="0"/>
      <w:marRight w:val="0"/>
      <w:marTop w:val="0"/>
      <w:marBottom w:val="0"/>
      <w:divBdr>
        <w:top w:val="none" w:sz="0" w:space="0" w:color="auto"/>
        <w:left w:val="none" w:sz="0" w:space="0" w:color="auto"/>
        <w:bottom w:val="none" w:sz="0" w:space="0" w:color="auto"/>
        <w:right w:val="none" w:sz="0" w:space="0" w:color="auto"/>
      </w:divBdr>
    </w:div>
    <w:div w:id="1192231953">
      <w:bodyDiv w:val="1"/>
      <w:marLeft w:val="0"/>
      <w:marRight w:val="0"/>
      <w:marTop w:val="0"/>
      <w:marBottom w:val="0"/>
      <w:divBdr>
        <w:top w:val="none" w:sz="0" w:space="0" w:color="auto"/>
        <w:left w:val="none" w:sz="0" w:space="0" w:color="auto"/>
        <w:bottom w:val="none" w:sz="0" w:space="0" w:color="auto"/>
        <w:right w:val="none" w:sz="0" w:space="0" w:color="auto"/>
      </w:divBdr>
    </w:div>
    <w:div w:id="1493982187">
      <w:bodyDiv w:val="1"/>
      <w:marLeft w:val="0"/>
      <w:marRight w:val="0"/>
      <w:marTop w:val="0"/>
      <w:marBottom w:val="0"/>
      <w:divBdr>
        <w:top w:val="none" w:sz="0" w:space="0" w:color="auto"/>
        <w:left w:val="none" w:sz="0" w:space="0" w:color="auto"/>
        <w:bottom w:val="none" w:sz="0" w:space="0" w:color="auto"/>
        <w:right w:val="none" w:sz="0" w:space="0" w:color="auto"/>
      </w:divBdr>
    </w:div>
    <w:div w:id="200023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pra.gov.au/consultation-on-apras-superannuation-data-transformation" TargetMode="External"/><Relationship Id="rId4" Type="http://schemas.openxmlformats.org/officeDocument/2006/relationships/hyperlink" Target="https://www.apra.gov.au/news-and-publications/apra%E2%80%99s-superannuation-data-transformation-to-enhance-industry-transparenc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689</Words>
  <Characters>3791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2021-09-08T05:08:00Z</dcterms:created>
  <dcterms:modified xsi:type="dcterms:W3CDTF">2021-09-08T05:16:00Z</dcterms:modified>
</cp:coreProperties>
</file>