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6C8" w:rsidRPr="005636C8" w:rsidRDefault="005636C8" w:rsidP="005636C8">
      <w:pPr>
        <w:jc w:val="both"/>
        <w:rPr>
          <w:rFonts w:ascii="Arial" w:hAnsi="Arial" w:cs="Arial"/>
          <w:b/>
          <w:bCs/>
        </w:rPr>
      </w:pPr>
      <w:r w:rsidRPr="005636C8">
        <w:rPr>
          <w:rFonts w:ascii="Arial" w:hAnsi="Arial" w:cs="Arial"/>
          <w:b/>
          <w:bCs/>
        </w:rPr>
        <w:t>Aplicación de las NIIF: mejora de la posición y la competitividad de las empresas</w:t>
      </w:r>
    </w:p>
    <w:p w:rsidR="005636C8" w:rsidRDefault="005636C8" w:rsidP="005636C8">
      <w:pPr>
        <w:jc w:val="both"/>
        <w:rPr>
          <w:rFonts w:ascii="Arial" w:hAnsi="Arial" w:cs="Arial"/>
        </w:rPr>
      </w:pPr>
    </w:p>
    <w:p w:rsidR="005636C8" w:rsidRPr="005636C8" w:rsidRDefault="005636C8" w:rsidP="005636C8">
      <w:pPr>
        <w:jc w:val="both"/>
        <w:rPr>
          <w:rFonts w:ascii="Arial" w:hAnsi="Arial" w:cs="Arial"/>
        </w:rPr>
      </w:pPr>
      <w:r w:rsidRPr="005636C8">
        <w:rPr>
          <w:rFonts w:ascii="Arial" w:hAnsi="Arial" w:cs="Arial"/>
        </w:rPr>
        <w:t xml:space="preserve">08 de Marzo del 2021 </w:t>
      </w:r>
    </w:p>
    <w:p w:rsidR="005636C8" w:rsidRDefault="005636C8" w:rsidP="005636C8">
      <w:pPr>
        <w:jc w:val="both"/>
        <w:rPr>
          <w:rFonts w:ascii="Arial" w:hAnsi="Arial" w:cs="Arial"/>
          <w:b/>
          <w:bCs/>
        </w:rPr>
      </w:pPr>
      <w:bookmarkStart w:id="0" w:name="_GoBack"/>
      <w:bookmarkEnd w:id="0"/>
    </w:p>
    <w:p w:rsidR="005636C8" w:rsidRPr="005636C8" w:rsidRDefault="005636C8" w:rsidP="005636C8">
      <w:pPr>
        <w:jc w:val="both"/>
        <w:rPr>
          <w:rFonts w:ascii="Arial" w:hAnsi="Arial" w:cs="Arial"/>
          <w:b/>
          <w:bCs/>
        </w:rPr>
      </w:pPr>
      <w:r w:rsidRPr="005636C8">
        <w:rPr>
          <w:rFonts w:ascii="Arial" w:hAnsi="Arial" w:cs="Arial"/>
          <w:b/>
          <w:bCs/>
        </w:rPr>
        <w:t>(TBTCVN) - La aplicación de las Normas Internacionales de Información Financiera ayudará a las empresas vietnamitas a aumentar su prestigio y posición en el mercado internacional, así como a aumentar su atractivo al competir con empresas de otros países. Otra economía del mundo...</w:t>
      </w:r>
    </w:p>
    <w:p w:rsidR="005636C8" w:rsidRDefault="005636C8" w:rsidP="005636C8">
      <w:pPr>
        <w:jc w:val="both"/>
        <w:rPr>
          <w:rFonts w:ascii="Arial" w:hAnsi="Arial" w:cs="Arial"/>
          <w:i/>
          <w:iCs/>
        </w:rPr>
      </w:pPr>
    </w:p>
    <w:p w:rsidR="005636C8" w:rsidRPr="005636C8" w:rsidRDefault="005636C8" w:rsidP="005636C8">
      <w:pPr>
        <w:jc w:val="both"/>
        <w:rPr>
          <w:rFonts w:ascii="Arial" w:hAnsi="Arial" w:cs="Arial"/>
          <w:i/>
          <w:iCs/>
        </w:rPr>
      </w:pPr>
      <w:r w:rsidRPr="005636C8">
        <w:rPr>
          <w:rFonts w:ascii="Arial" w:hAnsi="Arial" w:cs="Arial"/>
          <w:i/>
          <w:iCs/>
        </w:rPr>
        <w:t>Según la hoja de ruta del Ministerio de Finanzas, a partir de 2022 Vietnam comenzará a aplicar las NIIF.</w:t>
      </w:r>
    </w:p>
    <w:p w:rsidR="005636C8" w:rsidRDefault="005636C8" w:rsidP="005636C8">
      <w:pPr>
        <w:jc w:val="both"/>
        <w:rPr>
          <w:rFonts w:ascii="Arial" w:hAnsi="Arial" w:cs="Arial"/>
        </w:rPr>
      </w:pPr>
    </w:p>
    <w:p w:rsidR="005636C8" w:rsidRPr="005636C8" w:rsidRDefault="005636C8" w:rsidP="005636C8">
      <w:pPr>
        <w:jc w:val="both"/>
        <w:rPr>
          <w:rFonts w:ascii="Arial" w:hAnsi="Arial" w:cs="Arial"/>
        </w:rPr>
      </w:pPr>
      <w:r w:rsidRPr="005636C8">
        <w:rPr>
          <w:rFonts w:ascii="Arial" w:hAnsi="Arial" w:cs="Arial"/>
        </w:rPr>
        <w:t xml:space="preserve">Esto lo comparte el Sr. Do Hong </w:t>
      </w:r>
      <w:proofErr w:type="spellStart"/>
      <w:r w:rsidRPr="005636C8">
        <w:rPr>
          <w:rFonts w:ascii="Arial" w:hAnsi="Arial" w:cs="Arial"/>
        </w:rPr>
        <w:t>Duong</w:t>
      </w:r>
      <w:proofErr w:type="spellEnd"/>
      <w:r w:rsidRPr="005636C8">
        <w:rPr>
          <w:rFonts w:ascii="Arial" w:hAnsi="Arial" w:cs="Arial"/>
        </w:rPr>
        <w:t xml:space="preserve">, Director de Servicios de Auditoría y Aseguramiento de </w:t>
      </w:r>
      <w:proofErr w:type="spellStart"/>
      <w:r w:rsidRPr="005636C8">
        <w:rPr>
          <w:rFonts w:ascii="Arial" w:hAnsi="Arial" w:cs="Arial"/>
        </w:rPr>
        <w:t>Deloitte</w:t>
      </w:r>
      <w:proofErr w:type="spellEnd"/>
      <w:r w:rsidRPr="005636C8">
        <w:rPr>
          <w:rFonts w:ascii="Arial" w:hAnsi="Arial" w:cs="Arial"/>
        </w:rPr>
        <w:t xml:space="preserve"> Vietnam, con un reportero de TBTCVN.</w:t>
      </w:r>
    </w:p>
    <w:p w:rsidR="005636C8" w:rsidRDefault="005636C8" w:rsidP="005636C8">
      <w:pPr>
        <w:jc w:val="both"/>
        <w:rPr>
          <w:rFonts w:ascii="Arial" w:hAnsi="Arial" w:cs="Arial"/>
          <w:i/>
          <w:iCs/>
        </w:rPr>
      </w:pPr>
    </w:p>
    <w:p w:rsidR="005636C8" w:rsidRPr="005636C8" w:rsidRDefault="005636C8" w:rsidP="005636C8">
      <w:pPr>
        <w:jc w:val="both"/>
        <w:rPr>
          <w:rFonts w:ascii="Arial" w:hAnsi="Arial" w:cs="Arial"/>
        </w:rPr>
      </w:pPr>
      <w:r w:rsidRPr="005636C8">
        <w:rPr>
          <w:rFonts w:ascii="Arial" w:hAnsi="Arial" w:cs="Arial"/>
          <w:i/>
          <w:iCs/>
        </w:rPr>
        <w:t>Ponente: De acuerdo con la Decisión núm. 345 / QD-BTC del Ministro de Finanzas por la que se aprueba el Plan sobre la aplicación de las normas de información financiera en Vietnam, se iniciará la hoja de ruta para la aplicación de las Normas internacionales de información financiera (NIIF). La implementación comenzará a partir de 2022, con la primera fase de solicitud voluntaria (2022 - 2025) y luego la solicitud obligatoria (después de 2025). ¿Cómo traerá beneficios la aplicación de las NIIF a las empresas (DN) y también a nivel nacional, señor?</w:t>
      </w:r>
    </w:p>
    <w:p w:rsidR="00ED7650" w:rsidRDefault="005636C8" w:rsidP="005636C8">
      <w:pPr>
        <w:jc w:val="both"/>
        <w:rPr>
          <w:rFonts w:ascii="Arial" w:hAnsi="Arial" w:cs="Arial"/>
        </w:rPr>
      </w:pPr>
      <w:r w:rsidRPr="005636C8">
        <w:rPr>
          <w:rFonts w:ascii="Arial" w:hAnsi="Arial" w:cs="Arial"/>
          <w:b/>
          <w:bCs/>
        </w:rPr>
        <w:t xml:space="preserve">Sr. Do Hong </w:t>
      </w:r>
      <w:proofErr w:type="spellStart"/>
      <w:r w:rsidRPr="005636C8">
        <w:rPr>
          <w:rFonts w:ascii="Arial" w:hAnsi="Arial" w:cs="Arial"/>
          <w:b/>
          <w:bCs/>
        </w:rPr>
        <w:t>Duong</w:t>
      </w:r>
      <w:proofErr w:type="spellEnd"/>
      <w:r w:rsidRPr="005636C8">
        <w:rPr>
          <w:rFonts w:ascii="Arial" w:hAnsi="Arial" w:cs="Arial"/>
          <w:b/>
          <w:bCs/>
        </w:rPr>
        <w:t>: La</w:t>
      </w:r>
      <w:r w:rsidRPr="005636C8">
        <w:rPr>
          <w:rFonts w:ascii="Arial" w:hAnsi="Arial" w:cs="Arial"/>
        </w:rPr>
        <w:t> Decisión 345 marca un gran paso adelante en el camino hacia la transición a las NIIF en Vietnam. Esto se considera como una declaración oficial de Vietnam a la comunidad internacional en apoyo de las NIIF, colocando a Vietnam en el mapa de países y territorios que aplican las NIIF.</w:t>
      </w:r>
    </w:p>
    <w:p w:rsidR="005636C8" w:rsidRDefault="005636C8" w:rsidP="005636C8">
      <w:pPr>
        <w:jc w:val="both"/>
        <w:rPr>
          <w:rFonts w:ascii="Arial" w:hAnsi="Arial" w:cs="Arial"/>
        </w:rPr>
      </w:pPr>
      <w:r w:rsidRPr="005636C8">
        <w:rPr>
          <w:rFonts w:ascii="Arial" w:hAnsi="Arial" w:cs="Arial"/>
        </w:rPr>
        <w:t>En consecuencia, la aplicación de las NIIF ayudará a aumentar la confiabilidad y transparencia del mercado vietnamita a los ojos de los inversores. Desde la perspectiva de las empresas, la aplicación y presentación de los estados financieros de acuerdo con las políticas contables internacionales ampliará las oportunidades comerciales, mejorará el prestigio, la posición y la competitividad de las empresas vietnamitas en el ámbito internacional.</w:t>
      </w:r>
    </w:p>
    <w:p w:rsidR="005636C8" w:rsidRDefault="005636C8" w:rsidP="005636C8">
      <w:pPr>
        <w:jc w:val="both"/>
        <w:rPr>
          <w:rFonts w:ascii="Arial" w:hAnsi="Arial" w:cs="Arial"/>
          <w:i/>
          <w:iCs/>
        </w:rPr>
      </w:pPr>
    </w:p>
    <w:p w:rsidR="005636C8" w:rsidRDefault="005636C8" w:rsidP="005636C8">
      <w:pPr>
        <w:jc w:val="both"/>
        <w:rPr>
          <w:rFonts w:ascii="Arial" w:hAnsi="Arial" w:cs="Arial"/>
          <w:i/>
          <w:iCs/>
        </w:rPr>
      </w:pPr>
      <w:r w:rsidRPr="005636C8">
        <w:rPr>
          <w:rFonts w:ascii="Arial" w:hAnsi="Arial" w:cs="Arial"/>
          <w:i/>
          <w:iCs/>
        </w:rPr>
        <w:t>Reportero: La transición de la presentación de informes y la etapa inicial de preparación de estados financieros según las NIIF pueden ser un gran desafío para muchas empresas. ¿Puede analizar algunos de los principales obstáculos que pueden enfrentar las empresas en la transición a la adopción de las NIIF?</w:t>
      </w:r>
    </w:p>
    <w:p w:rsidR="005636C8" w:rsidRPr="005636C8" w:rsidRDefault="005636C8" w:rsidP="005636C8">
      <w:pPr>
        <w:jc w:val="both"/>
        <w:rPr>
          <w:rFonts w:ascii="Arial" w:hAnsi="Arial" w:cs="Arial"/>
        </w:rPr>
      </w:pPr>
      <w:r w:rsidRPr="005636C8">
        <w:rPr>
          <w:rFonts w:ascii="Arial" w:hAnsi="Arial" w:cs="Arial"/>
          <w:b/>
          <w:bCs/>
        </w:rPr>
        <w:lastRenderedPageBreak/>
        <w:t xml:space="preserve">Sr. Do Hong </w:t>
      </w:r>
      <w:proofErr w:type="spellStart"/>
      <w:r w:rsidRPr="005636C8">
        <w:rPr>
          <w:rFonts w:ascii="Arial" w:hAnsi="Arial" w:cs="Arial"/>
          <w:b/>
          <w:bCs/>
        </w:rPr>
        <w:t>Duong</w:t>
      </w:r>
      <w:proofErr w:type="spellEnd"/>
      <w:r w:rsidRPr="005636C8">
        <w:rPr>
          <w:rFonts w:ascii="Arial" w:hAnsi="Arial" w:cs="Arial"/>
          <w:b/>
          <w:bCs/>
        </w:rPr>
        <w:t>: En</w:t>
      </w:r>
      <w:r w:rsidRPr="005636C8">
        <w:rPr>
          <w:rFonts w:ascii="Arial" w:hAnsi="Arial" w:cs="Arial"/>
        </w:rPr>
        <w:t> primer lugar, la aplicación de las NIIF requiere que tanto los administradores como los inversores tengan las calificaciones adecuadas para leer y comprender la información de los estados financieros, y así tomar las decisiones económicas adecuadas. En la primera etapa de transformación, las empresas deben dedicar mucho tiempo y esfuerzo a explicar las diferencias anormales en las cifras informadas. El hecho de que las Normas Internacionales de Contabilidad (NIC) y las NIIF se actualicen, revisen y complementen periódicamente también dificulta que las empresas las controlen y apliquen. Este es un problema casi impredecible, que puede consumir mucho tiempo y esfuerzo de las empresas.</w:t>
      </w:r>
    </w:p>
    <w:p w:rsidR="005636C8" w:rsidRPr="005636C8" w:rsidRDefault="005636C8" w:rsidP="005636C8">
      <w:pPr>
        <w:jc w:val="both"/>
        <w:rPr>
          <w:rFonts w:ascii="Arial" w:hAnsi="Arial" w:cs="Arial"/>
        </w:rPr>
      </w:pPr>
      <w:r w:rsidRPr="005636C8">
        <w:rPr>
          <w:rFonts w:ascii="Arial" w:hAnsi="Arial" w:cs="Arial"/>
        </w:rPr>
        <w:t>Además, debido a las características económicas, algunos mercados de reciente apertura no cuentan con la información completa requerida por las NIIF. La determinación precisa de factores como las tasas de interés basadas en las calificaciones crediticias cuando se aplican las NIIF también es una gran presión cuando el sistema de calificación crediticia en general es todavía bastante nuevo en Vietnam.</w:t>
      </w:r>
    </w:p>
    <w:p w:rsidR="005636C8" w:rsidRPr="005636C8" w:rsidRDefault="005636C8" w:rsidP="005636C8">
      <w:pPr>
        <w:jc w:val="both"/>
        <w:rPr>
          <w:rFonts w:ascii="Arial" w:hAnsi="Arial" w:cs="Arial"/>
        </w:rPr>
      </w:pPr>
      <w:r w:rsidRPr="005636C8">
        <w:rPr>
          <w:rFonts w:ascii="Arial" w:hAnsi="Arial" w:cs="Arial"/>
        </w:rPr>
        <w:t>Además, la aplicación de las NIIF requiere flexibilidad de acuerdo con el juicio subjetivo del operador, mientras que la contabilidad en Vietnam está influenciada por una cultura de estereotipos, principios y cumplimiento de las leyes. Este también es un desafío al que las empresas deben encontrar una respuesta.</w:t>
      </w:r>
    </w:p>
    <w:p w:rsidR="005636C8" w:rsidRDefault="005636C8" w:rsidP="005636C8">
      <w:pPr>
        <w:jc w:val="both"/>
        <w:rPr>
          <w:rFonts w:ascii="Arial" w:hAnsi="Arial" w:cs="Arial"/>
          <w:i/>
          <w:iCs/>
        </w:rPr>
      </w:pPr>
    </w:p>
    <w:p w:rsidR="005636C8" w:rsidRPr="005636C8" w:rsidRDefault="005636C8" w:rsidP="005636C8">
      <w:pPr>
        <w:jc w:val="both"/>
        <w:rPr>
          <w:rFonts w:ascii="Arial" w:hAnsi="Arial" w:cs="Arial"/>
        </w:rPr>
      </w:pPr>
      <w:r w:rsidRPr="005636C8">
        <w:rPr>
          <w:rFonts w:ascii="Arial" w:hAnsi="Arial" w:cs="Arial"/>
          <w:i/>
          <w:iCs/>
        </w:rPr>
        <w:t>Periodista: Entonces, para aplicar las NIIF con éxito, ¿qué deben preparar las empresas, señor?</w:t>
      </w:r>
    </w:p>
    <w:p w:rsidR="005636C8" w:rsidRPr="005636C8" w:rsidRDefault="005636C8" w:rsidP="005636C8">
      <w:pPr>
        <w:jc w:val="both"/>
        <w:rPr>
          <w:rFonts w:ascii="Arial" w:hAnsi="Arial" w:cs="Arial"/>
        </w:rPr>
      </w:pPr>
      <w:r w:rsidRPr="005636C8">
        <w:rPr>
          <w:rFonts w:ascii="Arial" w:hAnsi="Arial" w:cs="Arial"/>
          <w:b/>
          <w:bCs/>
        </w:rPr>
        <w:t xml:space="preserve">Sr. Do Hong </w:t>
      </w:r>
      <w:proofErr w:type="spellStart"/>
      <w:r w:rsidRPr="005636C8">
        <w:rPr>
          <w:rFonts w:ascii="Arial" w:hAnsi="Arial" w:cs="Arial"/>
          <w:b/>
          <w:bCs/>
        </w:rPr>
        <w:t>Duong</w:t>
      </w:r>
      <w:proofErr w:type="spellEnd"/>
      <w:r w:rsidRPr="005636C8">
        <w:rPr>
          <w:rFonts w:ascii="Arial" w:hAnsi="Arial" w:cs="Arial"/>
          <w:b/>
          <w:bCs/>
        </w:rPr>
        <w:t>:</w:t>
      </w:r>
      <w:r w:rsidRPr="005636C8">
        <w:rPr>
          <w:rFonts w:ascii="Arial" w:hAnsi="Arial" w:cs="Arial"/>
        </w:rPr>
        <w:t> El primer problema es el sistema y el proceso. Algunas soluciones de sistemas actuales permiten a las empresas cumplir con ambos principios contables al mismo tiempo (Normas de contabilidad de Vietnam (VAS) e IFRS). Los conceptos de sistemas contables primarios, secundarios o paralelos son comunes en estas soluciones de sistemas. La elección de qué principio de contabilidad para hacer los libros principales y auxiliares no reducirá el cumplimiento del principio de contabilidad seleccionado, sino solo la forma en que el sistema está configurado para crear cierta conveniencia para los usuarios y realizar informes. Para cumplir con las NIIF, además de editar los procesos financieros y contables, las empresas deben verificar el cumplimiento de otros procesos de producción y negocios, tales como procesos de ventas y devoluciones, procesos de adquisiciones, etc. activos… para asegurar el cumplimiento.</w:t>
      </w:r>
    </w:p>
    <w:p w:rsidR="005636C8" w:rsidRPr="005636C8" w:rsidRDefault="005636C8" w:rsidP="005636C8">
      <w:pPr>
        <w:jc w:val="both"/>
        <w:rPr>
          <w:rFonts w:ascii="Arial" w:hAnsi="Arial" w:cs="Arial"/>
        </w:rPr>
      </w:pPr>
      <w:r w:rsidRPr="005636C8">
        <w:rPr>
          <w:rFonts w:ascii="Arial" w:hAnsi="Arial" w:cs="Arial"/>
        </w:rPr>
        <w:t>Junto con eso, el sistema de cuentas debe rediseñarse para garantizar el cumplimiento y cumplir con los requisitos administrativos.</w:t>
      </w:r>
    </w:p>
    <w:p w:rsidR="005636C8" w:rsidRPr="005636C8" w:rsidRDefault="005636C8" w:rsidP="005636C8">
      <w:pPr>
        <w:jc w:val="both"/>
        <w:rPr>
          <w:rFonts w:ascii="Arial" w:hAnsi="Arial" w:cs="Arial"/>
        </w:rPr>
      </w:pPr>
      <w:r w:rsidRPr="005636C8">
        <w:rPr>
          <w:rFonts w:ascii="Arial" w:hAnsi="Arial" w:cs="Arial"/>
        </w:rPr>
        <w:t>En segundo lugar, está la cuestión del personal. El personal contable debe mejorar sus habilidades profesionales y de idiomas extranjeros y necesita mucho tiempo para adaptarse a la transformación de las NIIF. Sin embargo, no todas las empresas están dispuestas a invertir tiempo y dinero en la formación de sus empleados.</w:t>
      </w:r>
    </w:p>
    <w:p w:rsidR="005636C8" w:rsidRPr="005636C8" w:rsidRDefault="005636C8" w:rsidP="005636C8">
      <w:pPr>
        <w:jc w:val="both"/>
        <w:rPr>
          <w:rFonts w:ascii="Arial" w:hAnsi="Arial" w:cs="Arial"/>
        </w:rPr>
      </w:pPr>
      <w:r w:rsidRPr="005636C8">
        <w:rPr>
          <w:rFonts w:ascii="Arial" w:hAnsi="Arial" w:cs="Arial"/>
        </w:rPr>
        <w:t xml:space="preserve">En tercer lugar, las empresas a menudo se ven abrumadas por los costos y no se dan cuenta de los beneficios que aportan las NIIF. Las barreras al aumento de costos durante la transición, incluido el costo de actualizar y cambiar los sistemas de control interno, los costos incurridos al informar a dos estándares de contabilidad al mismo tiempo, los costos de minería que crean y mejoran las habilidades de recursos humanos ... lo que hace que </w:t>
      </w:r>
      <w:r w:rsidRPr="005636C8">
        <w:rPr>
          <w:rFonts w:ascii="Arial" w:hAnsi="Arial" w:cs="Arial"/>
        </w:rPr>
        <w:lastRenderedPageBreak/>
        <w:t>muchas empresas se demoren en aplicar NIIF. De hecho, las empresas deberían considerar esto como una inversión a largo plazo y generar beneficios en el futuro.</w:t>
      </w:r>
    </w:p>
    <w:p w:rsidR="005636C8" w:rsidRPr="005636C8" w:rsidRDefault="005636C8" w:rsidP="005636C8">
      <w:pPr>
        <w:jc w:val="both"/>
        <w:rPr>
          <w:rFonts w:ascii="Arial" w:hAnsi="Arial" w:cs="Arial"/>
        </w:rPr>
      </w:pPr>
      <w:r w:rsidRPr="005636C8">
        <w:rPr>
          <w:rFonts w:ascii="Arial" w:hAnsi="Arial" w:cs="Arial"/>
        </w:rPr>
        <w:t>En cuarto lugar, un error común entre la administración es que la transición a las NIIF es responsabilidad exclusiva del departamento de contabilidad / finanzas, por lo que la alta gerencia no estará muy involucrada en el proceso. Mientras tanto, las NIIF incluyen modelos computacionales complejos, juicios subjetivos y dependen en gran medida de los juicios de los gerentes. En consecuencia, esta transformación debe verse como un cambio necesario en la estrategia empresarial. Los niveles gerenciales necesitan más apoyo para promover la coordinación entre los departamentos de la empresa para optimizar la preparación y presentación de los estados financieros.</w:t>
      </w:r>
    </w:p>
    <w:p w:rsidR="005636C8" w:rsidRPr="005636C8" w:rsidRDefault="005636C8" w:rsidP="005636C8">
      <w:pPr>
        <w:jc w:val="both"/>
        <w:rPr>
          <w:rFonts w:ascii="Arial" w:hAnsi="Arial" w:cs="Arial"/>
        </w:rPr>
      </w:pPr>
      <w:r w:rsidRPr="005636C8">
        <w:rPr>
          <w:rFonts w:ascii="Arial" w:hAnsi="Arial" w:cs="Arial"/>
          <w:i/>
          <w:iCs/>
        </w:rPr>
        <w:t>PV: ¡Gracias señor!</w:t>
      </w:r>
    </w:p>
    <w:p w:rsidR="005636C8" w:rsidRDefault="005636C8" w:rsidP="005636C8">
      <w:pPr>
        <w:jc w:val="both"/>
        <w:rPr>
          <w:rFonts w:ascii="Arial" w:hAnsi="Arial" w:cs="Arial"/>
        </w:rPr>
      </w:pPr>
    </w:p>
    <w:p w:rsidR="005636C8" w:rsidRDefault="005636C8" w:rsidP="005636C8">
      <w:pPr>
        <w:jc w:val="both"/>
        <w:rPr>
          <w:rFonts w:ascii="Arial" w:hAnsi="Arial" w:cs="Arial"/>
        </w:rPr>
      </w:pPr>
    </w:p>
    <w:p w:rsidR="005636C8" w:rsidRPr="005636C8" w:rsidRDefault="005636C8" w:rsidP="005636C8">
      <w:pPr>
        <w:ind w:left="708"/>
        <w:jc w:val="both"/>
        <w:rPr>
          <w:rFonts w:ascii="Arial" w:hAnsi="Arial" w:cs="Arial"/>
        </w:rPr>
      </w:pPr>
      <w:r w:rsidRPr="005636C8">
        <w:rPr>
          <w:rFonts w:ascii="Arial" w:hAnsi="Arial" w:cs="Arial"/>
          <w:b/>
          <w:bCs/>
        </w:rPr>
        <w:t>Más del 55% de las empresas aplicarán la conversión antes de 2025</w:t>
      </w:r>
    </w:p>
    <w:p w:rsidR="005636C8" w:rsidRPr="005636C8" w:rsidRDefault="005636C8" w:rsidP="005636C8">
      <w:pPr>
        <w:ind w:left="708"/>
        <w:jc w:val="both"/>
        <w:rPr>
          <w:rFonts w:ascii="Arial" w:hAnsi="Arial" w:cs="Arial"/>
        </w:rPr>
      </w:pPr>
      <w:r w:rsidRPr="005636C8">
        <w:rPr>
          <w:rFonts w:ascii="Arial" w:hAnsi="Arial" w:cs="Arial"/>
        </w:rPr>
        <w:t xml:space="preserve">En 2020, </w:t>
      </w:r>
      <w:proofErr w:type="spellStart"/>
      <w:r w:rsidRPr="005636C8">
        <w:rPr>
          <w:rFonts w:ascii="Arial" w:hAnsi="Arial" w:cs="Arial"/>
        </w:rPr>
        <w:t>Deloitte</w:t>
      </w:r>
      <w:proofErr w:type="spellEnd"/>
      <w:r w:rsidRPr="005636C8">
        <w:rPr>
          <w:rFonts w:ascii="Arial" w:hAnsi="Arial" w:cs="Arial"/>
        </w:rPr>
        <w:t xml:space="preserve"> Vietnam cooperará con la Bolsa de Valores de Ciudad Ho Chi Minh. Ciudad Ho Chi Minh realizó una Encuesta sobre la disposición a aplicar las NIIF en las empresas (DN). Según los resultados de la encuesta, más del 50% de las empresas dijeron que han aplicado o se están preparando para realizar la conversión para aplicar las NIIF. Entre las empresas que están preparando o aun no aplicando las NIIF, más del 55% de las empresas respondieron que aplicarán la transformación antes de 2025. Esta es una señal optimista que muestra la recepción positiva de las empresas a la Decisión.345 así como el apoyo a la aplicación de las NIIF en la comunidad empresarial.</w:t>
      </w:r>
    </w:p>
    <w:p w:rsidR="005636C8" w:rsidRPr="005636C8" w:rsidRDefault="005636C8" w:rsidP="005636C8">
      <w:pPr>
        <w:jc w:val="both"/>
        <w:rPr>
          <w:rFonts w:ascii="Arial" w:hAnsi="Arial" w:cs="Arial"/>
        </w:rPr>
      </w:pPr>
    </w:p>
    <w:sectPr w:rsidR="005636C8" w:rsidRPr="005636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6C8"/>
    <w:rsid w:val="000F4B68"/>
    <w:rsid w:val="001739B4"/>
    <w:rsid w:val="003B63A5"/>
    <w:rsid w:val="005636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B1807-01DE-4283-9E47-A0865C89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78782">
      <w:bodyDiv w:val="1"/>
      <w:marLeft w:val="0"/>
      <w:marRight w:val="0"/>
      <w:marTop w:val="0"/>
      <w:marBottom w:val="0"/>
      <w:divBdr>
        <w:top w:val="none" w:sz="0" w:space="0" w:color="auto"/>
        <w:left w:val="none" w:sz="0" w:space="0" w:color="auto"/>
        <w:bottom w:val="none" w:sz="0" w:space="0" w:color="auto"/>
        <w:right w:val="none" w:sz="0" w:space="0" w:color="auto"/>
      </w:divBdr>
      <w:divsChild>
        <w:div w:id="656346016">
          <w:marLeft w:val="0"/>
          <w:marRight w:val="0"/>
          <w:marTop w:val="0"/>
          <w:marBottom w:val="0"/>
          <w:divBdr>
            <w:top w:val="none" w:sz="0" w:space="0" w:color="auto"/>
            <w:left w:val="none" w:sz="0" w:space="0" w:color="auto"/>
            <w:bottom w:val="none" w:sz="0" w:space="0" w:color="auto"/>
            <w:right w:val="none" w:sz="0" w:space="0" w:color="auto"/>
          </w:divBdr>
          <w:divsChild>
            <w:div w:id="1714379159">
              <w:marLeft w:val="0"/>
              <w:marRight w:val="0"/>
              <w:marTop w:val="0"/>
              <w:marBottom w:val="0"/>
              <w:divBdr>
                <w:top w:val="none" w:sz="0" w:space="0" w:color="auto"/>
                <w:left w:val="none" w:sz="0" w:space="0" w:color="auto"/>
                <w:bottom w:val="none" w:sz="0" w:space="0" w:color="auto"/>
                <w:right w:val="none" w:sz="0" w:space="0" w:color="auto"/>
              </w:divBdr>
            </w:div>
          </w:divsChild>
        </w:div>
        <w:div w:id="508254031">
          <w:marLeft w:val="0"/>
          <w:marRight w:val="0"/>
          <w:marTop w:val="0"/>
          <w:marBottom w:val="0"/>
          <w:divBdr>
            <w:top w:val="none" w:sz="0" w:space="0" w:color="auto"/>
            <w:left w:val="none" w:sz="0" w:space="0" w:color="auto"/>
            <w:bottom w:val="none" w:sz="0" w:space="0" w:color="auto"/>
            <w:right w:val="none" w:sz="0" w:space="0" w:color="auto"/>
          </w:divBdr>
          <w:divsChild>
            <w:div w:id="203464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4938">
      <w:bodyDiv w:val="1"/>
      <w:marLeft w:val="0"/>
      <w:marRight w:val="0"/>
      <w:marTop w:val="0"/>
      <w:marBottom w:val="0"/>
      <w:divBdr>
        <w:top w:val="none" w:sz="0" w:space="0" w:color="auto"/>
        <w:left w:val="none" w:sz="0" w:space="0" w:color="auto"/>
        <w:bottom w:val="none" w:sz="0" w:space="0" w:color="auto"/>
        <w:right w:val="none" w:sz="0" w:space="0" w:color="auto"/>
      </w:divBdr>
    </w:div>
    <w:div w:id="353962400">
      <w:bodyDiv w:val="1"/>
      <w:marLeft w:val="0"/>
      <w:marRight w:val="0"/>
      <w:marTop w:val="0"/>
      <w:marBottom w:val="0"/>
      <w:divBdr>
        <w:top w:val="none" w:sz="0" w:space="0" w:color="auto"/>
        <w:left w:val="none" w:sz="0" w:space="0" w:color="auto"/>
        <w:bottom w:val="none" w:sz="0" w:space="0" w:color="auto"/>
        <w:right w:val="none" w:sz="0" w:space="0" w:color="auto"/>
      </w:divBdr>
    </w:div>
    <w:div w:id="1025326870">
      <w:bodyDiv w:val="1"/>
      <w:marLeft w:val="0"/>
      <w:marRight w:val="0"/>
      <w:marTop w:val="0"/>
      <w:marBottom w:val="0"/>
      <w:divBdr>
        <w:top w:val="none" w:sz="0" w:space="0" w:color="auto"/>
        <w:left w:val="none" w:sz="0" w:space="0" w:color="auto"/>
        <w:bottom w:val="none" w:sz="0" w:space="0" w:color="auto"/>
        <w:right w:val="none" w:sz="0" w:space="0" w:color="auto"/>
      </w:divBdr>
    </w:div>
    <w:div w:id="1878153925">
      <w:bodyDiv w:val="1"/>
      <w:marLeft w:val="0"/>
      <w:marRight w:val="0"/>
      <w:marTop w:val="0"/>
      <w:marBottom w:val="0"/>
      <w:divBdr>
        <w:top w:val="none" w:sz="0" w:space="0" w:color="auto"/>
        <w:left w:val="none" w:sz="0" w:space="0" w:color="auto"/>
        <w:bottom w:val="none" w:sz="0" w:space="0" w:color="auto"/>
        <w:right w:val="none" w:sz="0" w:space="0" w:color="auto"/>
      </w:divBdr>
      <w:divsChild>
        <w:div w:id="1581409846">
          <w:marLeft w:val="0"/>
          <w:marRight w:val="0"/>
          <w:marTop w:val="0"/>
          <w:marBottom w:val="150"/>
          <w:divBdr>
            <w:top w:val="none" w:sz="0" w:space="0" w:color="auto"/>
            <w:left w:val="none" w:sz="0" w:space="0" w:color="auto"/>
            <w:bottom w:val="single" w:sz="6" w:space="4" w:color="E6E6E6"/>
            <w:right w:val="none" w:sz="0" w:space="0" w:color="auto"/>
          </w:divBdr>
        </w:div>
        <w:div w:id="335572679">
          <w:marLeft w:val="0"/>
          <w:marRight w:val="0"/>
          <w:marTop w:val="0"/>
          <w:marBottom w:val="0"/>
          <w:divBdr>
            <w:top w:val="none" w:sz="0" w:space="0" w:color="auto"/>
            <w:left w:val="none" w:sz="0" w:space="0" w:color="auto"/>
            <w:bottom w:val="none" w:sz="0" w:space="0" w:color="auto"/>
            <w:right w:val="none" w:sz="0" w:space="0" w:color="auto"/>
          </w:divBdr>
          <w:divsChild>
            <w:div w:id="11161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1107</Words>
  <Characters>6090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2021-09-08T03:48:00Z</dcterms:created>
  <dcterms:modified xsi:type="dcterms:W3CDTF">2021-09-08T03:54:00Z</dcterms:modified>
</cp:coreProperties>
</file>