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CAD" w:rsidRPr="009F4CAD" w:rsidRDefault="009F4CAD" w:rsidP="009F4CAD">
      <w:pPr>
        <w:jc w:val="both"/>
        <w:rPr>
          <w:rFonts w:ascii="Arial" w:hAnsi="Arial" w:cs="Arial"/>
          <w:b/>
          <w:bCs/>
        </w:rPr>
      </w:pPr>
      <w:r w:rsidRPr="009F4CAD">
        <w:rPr>
          <w:rFonts w:ascii="Arial" w:hAnsi="Arial" w:cs="Arial"/>
          <w:b/>
          <w:bCs/>
        </w:rPr>
        <w:t>Cómo la pandemia dio forma a los informes financieros, en cuatro gráficos (1)</w:t>
      </w:r>
    </w:p>
    <w:p w:rsidR="009F4CAD" w:rsidRPr="009F4CAD" w:rsidRDefault="009F4CAD" w:rsidP="009F4CAD">
      <w:pPr>
        <w:jc w:val="both"/>
        <w:rPr>
          <w:rFonts w:ascii="Arial" w:hAnsi="Arial" w:cs="Arial"/>
          <w:b/>
          <w:bCs/>
        </w:rPr>
      </w:pPr>
    </w:p>
    <w:p w:rsidR="009F4CAD" w:rsidRPr="003D516E" w:rsidRDefault="009F4CAD" w:rsidP="009F4CAD">
      <w:pPr>
        <w:jc w:val="both"/>
        <w:rPr>
          <w:rFonts w:ascii="Arial" w:hAnsi="Arial" w:cs="Arial"/>
          <w:bCs/>
        </w:rPr>
      </w:pPr>
      <w:r w:rsidRPr="003D516E">
        <w:rPr>
          <w:rFonts w:ascii="Arial" w:hAnsi="Arial" w:cs="Arial"/>
          <w:bCs/>
        </w:rPr>
        <w:t>31 de</w:t>
      </w:r>
      <w:r w:rsidR="003D516E" w:rsidRPr="003D516E">
        <w:rPr>
          <w:rFonts w:ascii="Arial" w:hAnsi="Arial" w:cs="Arial"/>
          <w:bCs/>
        </w:rPr>
        <w:t xml:space="preserve"> A</w:t>
      </w:r>
      <w:r w:rsidRPr="003D516E">
        <w:rPr>
          <w:rFonts w:ascii="Arial" w:hAnsi="Arial" w:cs="Arial"/>
          <w:bCs/>
        </w:rPr>
        <w:t>gosto, 2021</w:t>
      </w:r>
      <w:bookmarkStart w:id="0" w:name="_GoBack"/>
      <w:bookmarkEnd w:id="0"/>
    </w:p>
    <w:p w:rsidR="009F4CAD" w:rsidRPr="009F4CAD" w:rsidRDefault="009F4CAD" w:rsidP="009F4CAD">
      <w:pPr>
        <w:spacing w:after="0"/>
        <w:jc w:val="both"/>
        <w:rPr>
          <w:rFonts w:ascii="Arial" w:hAnsi="Arial" w:cs="Arial"/>
          <w:b/>
          <w:bCs/>
        </w:rPr>
      </w:pPr>
    </w:p>
    <w:p w:rsidR="00ED7650" w:rsidRPr="009F4CAD" w:rsidRDefault="009F4CAD" w:rsidP="009F4CAD">
      <w:pPr>
        <w:spacing w:after="0"/>
        <w:jc w:val="both"/>
        <w:rPr>
          <w:rFonts w:ascii="Arial" w:hAnsi="Arial" w:cs="Arial"/>
        </w:rPr>
      </w:pPr>
      <w:r w:rsidRPr="009F4CAD">
        <w:rPr>
          <w:rFonts w:ascii="Arial" w:hAnsi="Arial" w:cs="Arial"/>
          <w:noProof/>
          <w:lang w:eastAsia="es-MX"/>
        </w:rPr>
        <w:drawing>
          <wp:inline distT="0" distB="0" distL="0" distR="0" wp14:anchorId="5D724512" wp14:editId="35795812">
            <wp:extent cx="5612130" cy="2157162"/>
            <wp:effectExtent l="0" t="0" r="7620" b="0"/>
            <wp:docPr id="2" name="Imagen 2" descr="https://db0ip7zd23b50.cloudfront.net/dims4/default/e97a54d/2147483647/legacy_thumbnail/960x369%3E/quality/90/?url=http%3A%2F%2Fbloomberg-bna-brightspot.s3.amazonaws.com%2F61%2F7d%2F20f126804c9690df1a3ee8079573%2Fblw-covid-money-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b0ip7zd23b50.cloudfront.net/dims4/default/e97a54d/2147483647/legacy_thumbnail/960x369%3E/quality/90/?url=http%3A%2F%2Fbloomberg-bna-brightspot.s3.amazonaws.com%2F61%2F7d%2F20f126804c9690df1a3ee8079573%2Fblw-covid-money-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2157162"/>
                    </a:xfrm>
                    <a:prstGeom prst="rect">
                      <a:avLst/>
                    </a:prstGeom>
                    <a:noFill/>
                    <a:ln>
                      <a:noFill/>
                    </a:ln>
                  </pic:spPr>
                </pic:pic>
              </a:graphicData>
            </a:graphic>
          </wp:inline>
        </w:drawing>
      </w:r>
    </w:p>
    <w:p w:rsidR="009F4CAD" w:rsidRPr="009F4CAD" w:rsidRDefault="009F4CAD" w:rsidP="009F4CAD">
      <w:pPr>
        <w:spacing w:after="0"/>
        <w:jc w:val="both"/>
        <w:rPr>
          <w:rFonts w:ascii="Arial" w:hAnsi="Arial" w:cs="Arial"/>
          <w:bCs/>
          <w:sz w:val="18"/>
          <w:szCs w:val="18"/>
        </w:rPr>
      </w:pPr>
      <w:r w:rsidRPr="009F4CAD">
        <w:rPr>
          <w:rFonts w:ascii="Arial" w:hAnsi="Arial" w:cs="Arial"/>
          <w:bCs/>
          <w:sz w:val="18"/>
          <w:szCs w:val="18"/>
        </w:rPr>
        <w:t xml:space="preserve">Ilustración fotográfica: Jonathan Hurtarte / </w:t>
      </w:r>
      <w:proofErr w:type="spellStart"/>
      <w:r w:rsidRPr="009F4CAD">
        <w:rPr>
          <w:rFonts w:ascii="Arial" w:hAnsi="Arial" w:cs="Arial"/>
          <w:bCs/>
          <w:sz w:val="18"/>
          <w:szCs w:val="18"/>
        </w:rPr>
        <w:t>Bloomberg</w:t>
      </w:r>
      <w:proofErr w:type="spellEnd"/>
      <w:r w:rsidRPr="009F4CAD">
        <w:rPr>
          <w:rFonts w:ascii="Arial" w:hAnsi="Arial" w:cs="Arial"/>
          <w:bCs/>
          <w:sz w:val="18"/>
          <w:szCs w:val="18"/>
        </w:rPr>
        <w:t xml:space="preserve"> </w:t>
      </w:r>
      <w:proofErr w:type="spellStart"/>
      <w:r w:rsidRPr="009F4CAD">
        <w:rPr>
          <w:rFonts w:ascii="Arial" w:hAnsi="Arial" w:cs="Arial"/>
          <w:bCs/>
          <w:sz w:val="18"/>
          <w:szCs w:val="18"/>
        </w:rPr>
        <w:t>Law</w:t>
      </w:r>
      <w:proofErr w:type="spellEnd"/>
      <w:r w:rsidRPr="009F4CAD">
        <w:rPr>
          <w:rFonts w:ascii="Arial" w:hAnsi="Arial" w:cs="Arial"/>
          <w:bCs/>
          <w:sz w:val="18"/>
          <w:szCs w:val="18"/>
        </w:rPr>
        <w:t xml:space="preserve">; Fotos: </w:t>
      </w:r>
      <w:proofErr w:type="spellStart"/>
      <w:r w:rsidRPr="009F4CAD">
        <w:rPr>
          <w:rFonts w:ascii="Arial" w:hAnsi="Arial" w:cs="Arial"/>
          <w:bCs/>
          <w:sz w:val="18"/>
          <w:szCs w:val="18"/>
        </w:rPr>
        <w:t>Getty</w:t>
      </w:r>
      <w:proofErr w:type="spellEnd"/>
      <w:r w:rsidRPr="009F4CAD">
        <w:rPr>
          <w:rFonts w:ascii="Arial" w:hAnsi="Arial" w:cs="Arial"/>
          <w:bCs/>
          <w:sz w:val="18"/>
          <w:szCs w:val="18"/>
        </w:rPr>
        <w:t xml:space="preserve"> </w:t>
      </w:r>
      <w:proofErr w:type="spellStart"/>
      <w:r w:rsidRPr="009F4CAD">
        <w:rPr>
          <w:rFonts w:ascii="Arial" w:hAnsi="Arial" w:cs="Arial"/>
          <w:bCs/>
          <w:sz w:val="18"/>
          <w:szCs w:val="18"/>
        </w:rPr>
        <w:t>Images</w:t>
      </w:r>
      <w:proofErr w:type="spellEnd"/>
    </w:p>
    <w:p w:rsidR="009F4CAD" w:rsidRDefault="009F4CAD" w:rsidP="009F4CAD">
      <w:pPr>
        <w:spacing w:after="0"/>
        <w:jc w:val="both"/>
        <w:rPr>
          <w:rFonts w:ascii="Arial" w:hAnsi="Arial" w:cs="Arial"/>
          <w:b/>
          <w:bCs/>
        </w:rPr>
      </w:pPr>
    </w:p>
    <w:p w:rsidR="009F4CAD" w:rsidRPr="009F4CAD" w:rsidRDefault="009F4CAD" w:rsidP="009F4CAD">
      <w:pPr>
        <w:spacing w:after="0"/>
        <w:jc w:val="both"/>
        <w:rPr>
          <w:rFonts w:ascii="Arial" w:hAnsi="Arial" w:cs="Arial"/>
          <w:b/>
          <w:bCs/>
        </w:rPr>
      </w:pPr>
    </w:p>
    <w:p w:rsidR="009F4CAD" w:rsidRDefault="009F4CAD" w:rsidP="009F4CAD">
      <w:pPr>
        <w:numPr>
          <w:ilvl w:val="0"/>
          <w:numId w:val="1"/>
        </w:numPr>
        <w:spacing w:after="0"/>
        <w:jc w:val="both"/>
        <w:rPr>
          <w:rFonts w:ascii="Arial" w:hAnsi="Arial" w:cs="Arial"/>
        </w:rPr>
      </w:pPr>
      <w:r w:rsidRPr="009F4CAD">
        <w:rPr>
          <w:rFonts w:ascii="Arial" w:hAnsi="Arial" w:cs="Arial"/>
        </w:rPr>
        <w:t>Las deficiencias se dispararon mientras que las advertencias de empresa en funcionamiento disminuyeron</w:t>
      </w:r>
    </w:p>
    <w:p w:rsidR="009F4CAD" w:rsidRPr="009F4CAD" w:rsidRDefault="009F4CAD" w:rsidP="009F4CAD">
      <w:pPr>
        <w:spacing w:after="0"/>
        <w:ind w:left="720"/>
        <w:jc w:val="both"/>
        <w:rPr>
          <w:rFonts w:ascii="Arial" w:hAnsi="Arial" w:cs="Arial"/>
        </w:rPr>
      </w:pPr>
    </w:p>
    <w:p w:rsidR="009F4CAD" w:rsidRPr="009F4CAD" w:rsidRDefault="009F4CAD" w:rsidP="009F4CAD">
      <w:pPr>
        <w:numPr>
          <w:ilvl w:val="0"/>
          <w:numId w:val="1"/>
        </w:numPr>
        <w:spacing w:after="0"/>
        <w:jc w:val="both"/>
        <w:rPr>
          <w:rFonts w:ascii="Arial" w:hAnsi="Arial" w:cs="Arial"/>
        </w:rPr>
      </w:pPr>
      <w:r w:rsidRPr="009F4CAD">
        <w:rPr>
          <w:rFonts w:ascii="Arial" w:hAnsi="Arial" w:cs="Arial"/>
        </w:rPr>
        <w:t>La mayoría de los cambios de control interno relacionados con el coronavirus involucraron personal</w:t>
      </w:r>
    </w:p>
    <w:p w:rsidR="009F4CAD" w:rsidRP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sidRPr="009F4CAD">
        <w:rPr>
          <w:rFonts w:ascii="Arial" w:hAnsi="Arial" w:cs="Arial"/>
        </w:rPr>
        <w:t>Los auditores emitieron menos advertencias de que las empresas estadounidenses corren el riesgo de quebrar en 2020 a pesar de la amenaza letal que representa la pandemia de coronavirus para los minoristas, fabricantes y empresas hoteleras.</w:t>
      </w:r>
    </w:p>
    <w:p w:rsidR="009F4CAD" w:rsidRP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sidRPr="009F4CAD">
        <w:rPr>
          <w:rFonts w:ascii="Arial" w:hAnsi="Arial" w:cs="Arial"/>
        </w:rPr>
        <w:t xml:space="preserve">Las empresas que cotizan en los EE. UU. Generalmente se adaptaron a un panorama económico remodelado por Covid-19. Pero es posible que las consecuencias financieras aún no hayan terminado, ya que las empresas aún podrían descubrir y corregir errores pasados ​​en la forma en que informaron las cifras clave de gastos y activos durante el año pasado, según un informe de </w:t>
      </w:r>
      <w:proofErr w:type="spellStart"/>
      <w:r w:rsidRPr="009F4CAD">
        <w:rPr>
          <w:rFonts w:ascii="Arial" w:hAnsi="Arial" w:cs="Arial"/>
        </w:rPr>
        <w:t>Audit</w:t>
      </w:r>
      <w:proofErr w:type="spellEnd"/>
      <w:r w:rsidRPr="009F4CAD">
        <w:rPr>
          <w:rFonts w:ascii="Arial" w:hAnsi="Arial" w:cs="Arial"/>
        </w:rPr>
        <w:t xml:space="preserve"> </w:t>
      </w:r>
      <w:proofErr w:type="spellStart"/>
      <w:r w:rsidRPr="009F4CAD">
        <w:rPr>
          <w:rFonts w:ascii="Arial" w:hAnsi="Arial" w:cs="Arial"/>
        </w:rPr>
        <w:t>Analytics</w:t>
      </w:r>
      <w:proofErr w:type="spellEnd"/>
      <w:r w:rsidRPr="009F4CAD">
        <w:rPr>
          <w:rFonts w:ascii="Arial" w:hAnsi="Arial" w:cs="Arial"/>
        </w:rPr>
        <w:t xml:space="preserve"> publicado el martes.</w:t>
      </w:r>
    </w:p>
    <w:p w:rsid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sidRPr="009F4CAD">
        <w:rPr>
          <w:rFonts w:ascii="Arial" w:hAnsi="Arial" w:cs="Arial"/>
        </w:rPr>
        <w:t>El estudio analizó las métricas clave que se usan comúnmente para medir la confiabilidad de los informes financieros y cómo les fue en medio de la </w:t>
      </w:r>
      <w:hyperlink r:id="rId6" w:history="1">
        <w:r w:rsidRPr="009F4CAD">
          <w:rPr>
            <w:rStyle w:val="Hipervnculo"/>
            <w:rFonts w:ascii="Arial" w:hAnsi="Arial" w:cs="Arial"/>
          </w:rPr>
          <w:t>incertidumbre</w:t>
        </w:r>
      </w:hyperlink>
      <w:r w:rsidRPr="009F4CAD">
        <w:rPr>
          <w:rFonts w:ascii="Arial" w:hAnsi="Arial" w:cs="Arial"/>
        </w:rPr>
        <w:t> de una pandemia global con sus licencias, cierres y cadenas de suministro secas. A continuación, presentamos cuatro formas en las que la pandemia afectó los informes financieros.</w:t>
      </w:r>
    </w:p>
    <w:p w:rsidR="009F4CAD" w:rsidRDefault="009F4CAD" w:rsidP="009F4CAD">
      <w:pPr>
        <w:spacing w:after="0"/>
        <w:jc w:val="both"/>
        <w:rPr>
          <w:rFonts w:ascii="Arial" w:hAnsi="Arial" w:cs="Arial"/>
        </w:rPr>
      </w:pPr>
    </w:p>
    <w:p w:rsidR="009F4CAD" w:rsidRDefault="009F4CAD" w:rsidP="009F4CAD">
      <w:pPr>
        <w:spacing w:after="0"/>
        <w:jc w:val="both"/>
        <w:rPr>
          <w:rFonts w:ascii="Arial" w:hAnsi="Arial" w:cs="Arial"/>
          <w:b/>
          <w:bCs/>
        </w:rPr>
      </w:pPr>
      <w:r w:rsidRPr="009F4CAD">
        <w:rPr>
          <w:rFonts w:ascii="Arial" w:hAnsi="Arial" w:cs="Arial"/>
          <w:b/>
          <w:bCs/>
        </w:rPr>
        <w:t>Opiniones de auditoría de empresa en funcionamiento</w:t>
      </w:r>
    </w:p>
    <w:p w:rsidR="009F4CAD" w:rsidRPr="009F4CAD" w:rsidRDefault="009F4CAD" w:rsidP="009F4CAD">
      <w:pPr>
        <w:spacing w:after="0"/>
        <w:jc w:val="both"/>
        <w:rPr>
          <w:rFonts w:ascii="Arial" w:hAnsi="Arial" w:cs="Arial"/>
          <w:b/>
          <w:bCs/>
        </w:rPr>
      </w:pPr>
    </w:p>
    <w:p w:rsidR="009F4CAD" w:rsidRDefault="009F4CAD" w:rsidP="009F4CAD">
      <w:pPr>
        <w:spacing w:after="0"/>
        <w:jc w:val="both"/>
        <w:rPr>
          <w:rFonts w:ascii="Arial" w:hAnsi="Arial" w:cs="Arial"/>
        </w:rPr>
      </w:pPr>
      <w:r w:rsidRPr="009F4CAD">
        <w:rPr>
          <w:rFonts w:ascii="Arial" w:hAnsi="Arial" w:cs="Arial"/>
        </w:rPr>
        <w:t>La pandemia no tuvo tanto impacto en la capacidad de las empresas para sobrevivir a su impacto como se </w:t>
      </w:r>
      <w:hyperlink r:id="rId7" w:history="1">
        <w:r w:rsidRPr="009F4CAD">
          <w:rPr>
            <w:rStyle w:val="Hipervnculo"/>
            <w:rFonts w:ascii="Arial" w:hAnsi="Arial" w:cs="Arial"/>
          </w:rPr>
          <w:t>esperaba</w:t>
        </w:r>
      </w:hyperlink>
      <w:r w:rsidRPr="009F4CAD">
        <w:rPr>
          <w:rFonts w:ascii="Arial" w:hAnsi="Arial" w:cs="Arial"/>
        </w:rPr>
        <w:t> </w:t>
      </w:r>
      <w:proofErr w:type="gramStart"/>
      <w:r w:rsidRPr="009F4CAD">
        <w:rPr>
          <w:rFonts w:ascii="Arial" w:hAnsi="Arial" w:cs="Arial"/>
        </w:rPr>
        <w:t>originalmente ,</w:t>
      </w:r>
      <w:proofErr w:type="gramEnd"/>
      <w:r w:rsidRPr="009F4CAD">
        <w:rPr>
          <w:rFonts w:ascii="Arial" w:hAnsi="Arial" w:cs="Arial"/>
        </w:rPr>
        <w:t xml:space="preserve"> dijo </w:t>
      </w:r>
      <w:proofErr w:type="spellStart"/>
      <w:r w:rsidRPr="009F4CAD">
        <w:rPr>
          <w:rFonts w:ascii="Arial" w:hAnsi="Arial" w:cs="Arial"/>
        </w:rPr>
        <w:t>Derryck</w:t>
      </w:r>
      <w:proofErr w:type="spellEnd"/>
      <w:r w:rsidRPr="009F4CAD">
        <w:rPr>
          <w:rFonts w:ascii="Arial" w:hAnsi="Arial" w:cs="Arial"/>
        </w:rPr>
        <w:t xml:space="preserve"> Coleman, director de análisis de </w:t>
      </w:r>
      <w:r w:rsidRPr="009F4CAD">
        <w:rPr>
          <w:rFonts w:ascii="Arial" w:hAnsi="Arial" w:cs="Arial"/>
        </w:rPr>
        <w:lastRenderedPageBreak/>
        <w:t xml:space="preserve">investigación de </w:t>
      </w:r>
      <w:proofErr w:type="spellStart"/>
      <w:r w:rsidRPr="009F4CAD">
        <w:rPr>
          <w:rFonts w:ascii="Arial" w:hAnsi="Arial" w:cs="Arial"/>
        </w:rPr>
        <w:t>Audit</w:t>
      </w:r>
      <w:proofErr w:type="spellEnd"/>
      <w:r w:rsidRPr="009F4CAD">
        <w:rPr>
          <w:rFonts w:ascii="Arial" w:hAnsi="Arial" w:cs="Arial"/>
        </w:rPr>
        <w:t xml:space="preserve"> </w:t>
      </w:r>
      <w:proofErr w:type="spellStart"/>
      <w:r w:rsidRPr="009F4CAD">
        <w:rPr>
          <w:rFonts w:ascii="Arial" w:hAnsi="Arial" w:cs="Arial"/>
        </w:rPr>
        <w:t>Analytics</w:t>
      </w:r>
      <w:proofErr w:type="spellEnd"/>
      <w:r w:rsidRPr="009F4CAD">
        <w:rPr>
          <w:rFonts w:ascii="Arial" w:hAnsi="Arial" w:cs="Arial"/>
        </w:rPr>
        <w:t>. “Debido a que hubo tanta intervención del gobierno, en realidad vimos menos preocupaciones en marcha en 2020 que en años anteriores”, dijo.</w:t>
      </w:r>
    </w:p>
    <w:p w:rsid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Pr>
          <w:noProof/>
          <w:lang w:eastAsia="es-MX"/>
        </w:rPr>
        <w:drawing>
          <wp:inline distT="0" distB="0" distL="0" distR="0" wp14:anchorId="449B519F" wp14:editId="40BACC10">
            <wp:extent cx="5612130" cy="3218330"/>
            <wp:effectExtent l="0" t="0" r="7620" b="1270"/>
            <wp:docPr id="3" name="Imagen 3" descr="https://db0ip7zd23b50.cloudfront.net/dims4/default/dcbe325/2147483647/resize/633x10000%3E/quality/90/?url=http%3A%2F%2Fbloomberg-bna-brightspot.s3.amazonaws.com%2F13%2F02%2Fad481d804da698aa208fb6c8e806%2Fredflag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b0ip7zd23b50.cloudfront.net/dims4/default/dcbe325/2147483647/resize/633x10000%3E/quality/90/?url=http%3A%2F%2Fbloomberg-bna-brightspot.s3.amazonaws.com%2F13%2F02%2Fad481d804da698aa208fb6c8e806%2Fredflag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218330"/>
                    </a:xfrm>
                    <a:prstGeom prst="rect">
                      <a:avLst/>
                    </a:prstGeom>
                    <a:noFill/>
                    <a:ln>
                      <a:noFill/>
                    </a:ln>
                  </pic:spPr>
                </pic:pic>
              </a:graphicData>
            </a:graphic>
          </wp:inline>
        </w:drawing>
      </w:r>
    </w:p>
    <w:p w:rsid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sidRPr="009F4CAD">
        <w:rPr>
          <w:rFonts w:ascii="Arial" w:hAnsi="Arial" w:cs="Arial"/>
        </w:rPr>
        <w:t>Los auditores incluyen las advertencias en su informe anual a los inversionistas, aunque las normas contables también exigen que la gerencia corporativa emita advertencias similares si surgen ciertas condiciones a mitad de año. Entre las empresas con advertencias de empresa en funcionamiento preexistentes, 265 pudieron abordar esos riesgos y eliminar las advertencias en 2020, un salto con respecto a 2019, según el informe.</w:t>
      </w:r>
    </w:p>
    <w:p w:rsidR="009F4CAD" w:rsidRP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sidRPr="009F4CAD">
        <w:rPr>
          <w:rFonts w:ascii="Arial" w:hAnsi="Arial" w:cs="Arial"/>
        </w:rPr>
        <w:t xml:space="preserve">“Esta pandemia fue única dado el tamaño de la caída y luego la rapidez de la recuperación”, dijo Ron </w:t>
      </w:r>
      <w:proofErr w:type="spellStart"/>
      <w:r w:rsidRPr="009F4CAD">
        <w:rPr>
          <w:rFonts w:ascii="Arial" w:hAnsi="Arial" w:cs="Arial"/>
        </w:rPr>
        <w:t>Graziano</w:t>
      </w:r>
      <w:proofErr w:type="spellEnd"/>
      <w:r w:rsidRPr="009F4CAD">
        <w:rPr>
          <w:rFonts w:ascii="Arial" w:hAnsi="Arial" w:cs="Arial"/>
        </w:rPr>
        <w:t xml:space="preserve">, analista de investigación fiscal y contable de </w:t>
      </w:r>
      <w:proofErr w:type="spellStart"/>
      <w:r w:rsidRPr="009F4CAD">
        <w:rPr>
          <w:rFonts w:ascii="Arial" w:hAnsi="Arial" w:cs="Arial"/>
        </w:rPr>
        <w:t>Credit</w:t>
      </w:r>
      <w:proofErr w:type="spellEnd"/>
      <w:r w:rsidRPr="009F4CAD">
        <w:rPr>
          <w:rFonts w:ascii="Arial" w:hAnsi="Arial" w:cs="Arial"/>
        </w:rPr>
        <w:t xml:space="preserve"> </w:t>
      </w:r>
      <w:proofErr w:type="spellStart"/>
      <w:r w:rsidRPr="009F4CAD">
        <w:rPr>
          <w:rFonts w:ascii="Arial" w:hAnsi="Arial" w:cs="Arial"/>
        </w:rPr>
        <w:t>Suisse</w:t>
      </w:r>
      <w:proofErr w:type="spellEnd"/>
      <w:r w:rsidRPr="009F4CAD">
        <w:rPr>
          <w:rFonts w:ascii="Arial" w:hAnsi="Arial" w:cs="Arial"/>
        </w:rPr>
        <w:t xml:space="preserve"> LLC.</w:t>
      </w:r>
    </w:p>
    <w:p w:rsidR="009F4CAD" w:rsidRP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sidRPr="009F4CAD">
        <w:rPr>
          <w:rFonts w:ascii="Arial" w:hAnsi="Arial" w:cs="Arial"/>
        </w:rPr>
        <w:t>La liquidez proporcionada por la Reserva Federal y otros programas de estímulo ofrecidos por el gobierno federal impulsaron esa rápida recuperación, dijo.</w:t>
      </w:r>
    </w:p>
    <w:p w:rsidR="009F4CAD" w:rsidRDefault="009F4CAD" w:rsidP="009F4CAD">
      <w:pPr>
        <w:spacing w:after="0"/>
        <w:jc w:val="both"/>
        <w:rPr>
          <w:rFonts w:ascii="Arial" w:hAnsi="Arial" w:cs="Arial"/>
        </w:rPr>
      </w:pPr>
    </w:p>
    <w:p w:rsidR="009F4CAD" w:rsidRDefault="009F4CAD" w:rsidP="009F4CAD">
      <w:pPr>
        <w:spacing w:after="0"/>
        <w:jc w:val="both"/>
        <w:rPr>
          <w:rFonts w:ascii="Arial" w:hAnsi="Arial" w:cs="Arial"/>
          <w:b/>
          <w:bCs/>
        </w:rPr>
      </w:pPr>
    </w:p>
    <w:p w:rsidR="009F4CAD" w:rsidRDefault="009F4CAD" w:rsidP="009F4CAD">
      <w:pPr>
        <w:spacing w:after="0"/>
        <w:jc w:val="both"/>
        <w:rPr>
          <w:rFonts w:ascii="Arial" w:hAnsi="Arial" w:cs="Arial"/>
          <w:b/>
          <w:bCs/>
        </w:rPr>
      </w:pPr>
      <w:r w:rsidRPr="009F4CAD">
        <w:rPr>
          <w:rFonts w:ascii="Arial" w:hAnsi="Arial" w:cs="Arial"/>
          <w:b/>
          <w:bCs/>
        </w:rPr>
        <w:t>Deficiencias</w:t>
      </w:r>
    </w:p>
    <w:p w:rsidR="009F4CAD" w:rsidRPr="009F4CAD" w:rsidRDefault="009F4CAD" w:rsidP="009F4CAD">
      <w:pPr>
        <w:spacing w:after="0"/>
        <w:jc w:val="both"/>
        <w:rPr>
          <w:rFonts w:ascii="Arial" w:hAnsi="Arial" w:cs="Arial"/>
          <w:b/>
          <w:bCs/>
        </w:rPr>
      </w:pPr>
    </w:p>
    <w:p w:rsidR="009F4CAD" w:rsidRDefault="009F4CAD" w:rsidP="009F4CAD">
      <w:pPr>
        <w:spacing w:after="0"/>
        <w:jc w:val="both"/>
        <w:rPr>
          <w:rFonts w:ascii="Arial" w:hAnsi="Arial" w:cs="Arial"/>
        </w:rPr>
      </w:pPr>
      <w:r w:rsidRPr="009F4CAD">
        <w:rPr>
          <w:rFonts w:ascii="Arial" w:hAnsi="Arial" w:cs="Arial"/>
        </w:rPr>
        <w:t>Las pérdidas se dispararon en 2020 a $ 518 mil millones, casi el doble del total del año anterior y la mayor amortización colectiva en los últimos cinco años. La figura refleja pronósticos y supuestos alterados que sustentan los modelos utilizados para valorar activos físicos como tiendas minoristas y reservas de petróleo, así como propiedad intelectual como patentes y otros activos intangibles.</w:t>
      </w:r>
    </w:p>
    <w:p w:rsidR="009F4CAD" w:rsidRDefault="009F4CAD" w:rsidP="009F4CAD">
      <w:pPr>
        <w:spacing w:after="0"/>
        <w:jc w:val="both"/>
        <w:rPr>
          <w:rFonts w:ascii="Arial" w:hAnsi="Arial" w:cs="Arial"/>
        </w:rPr>
      </w:pPr>
    </w:p>
    <w:p w:rsidR="009F4CAD" w:rsidRP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Pr>
          <w:noProof/>
          <w:lang w:eastAsia="es-MX"/>
        </w:rPr>
        <w:lastRenderedPageBreak/>
        <w:drawing>
          <wp:inline distT="0" distB="0" distL="0" distR="0" wp14:anchorId="36E78E66" wp14:editId="1B25FE38">
            <wp:extent cx="5612130" cy="3218330"/>
            <wp:effectExtent l="0" t="0" r="7620" b="1270"/>
            <wp:docPr id="8" name="Imagen 8" descr="https://db0ip7zd23b50.cloudfront.net/dims4/default/24c9ff2/2147483647/resize/633x10000%3E/quality/90/?url=http%3A%2F%2Fbloomberg-bna-brightspot.s3.amazonaws.com%2F60%2Ffd%2F20857efd4872bce02dbbf0d3dbfb%2Fimpair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db0ip7zd23b50.cloudfront.net/dims4/default/24c9ff2/2147483647/resize/633x10000%3E/quality/90/?url=http%3A%2F%2Fbloomberg-bna-brightspot.s3.amazonaws.com%2F60%2Ffd%2F20857efd4872bce02dbbf0d3dbfb%2Fimpairment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218330"/>
                    </a:xfrm>
                    <a:prstGeom prst="rect">
                      <a:avLst/>
                    </a:prstGeom>
                    <a:noFill/>
                    <a:ln>
                      <a:noFill/>
                    </a:ln>
                  </pic:spPr>
                </pic:pic>
              </a:graphicData>
            </a:graphic>
          </wp:inline>
        </w:drawing>
      </w:r>
    </w:p>
    <w:p w:rsid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sidRPr="009F4CAD">
        <w:rPr>
          <w:rFonts w:ascii="Arial" w:hAnsi="Arial" w:cs="Arial"/>
        </w:rPr>
        <w:t>Las industrias minorista, minera y de servicios experimentaron algunos de los picos más grandes de 2019 a 2020, según el informe.</w:t>
      </w:r>
    </w:p>
    <w:p w:rsidR="009F4CAD" w:rsidRP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sidRPr="009F4CAD">
        <w:rPr>
          <w:rFonts w:ascii="Arial" w:hAnsi="Arial" w:cs="Arial"/>
        </w:rPr>
        <w:t xml:space="preserve">Los deterioros registrados durante el apogeo de la pandemia por las empresas más grandes ascendieron solo a un error de redondeo. Las empresas del S&amp;P 500 registraron más de $ 12 billones en ingresos en 2020 combinados, a pesar de las pérdidas o amortizaciones provocadas por la pandemia, dijo </w:t>
      </w:r>
      <w:proofErr w:type="spellStart"/>
      <w:r w:rsidRPr="009F4CAD">
        <w:rPr>
          <w:rFonts w:ascii="Arial" w:hAnsi="Arial" w:cs="Arial"/>
        </w:rPr>
        <w:t>Pranav</w:t>
      </w:r>
      <w:proofErr w:type="spellEnd"/>
      <w:r w:rsidRPr="009F4CAD">
        <w:rPr>
          <w:rFonts w:ascii="Arial" w:hAnsi="Arial" w:cs="Arial"/>
        </w:rPr>
        <w:t xml:space="preserve"> </w:t>
      </w:r>
      <w:proofErr w:type="spellStart"/>
      <w:r w:rsidRPr="009F4CAD">
        <w:rPr>
          <w:rFonts w:ascii="Arial" w:hAnsi="Arial" w:cs="Arial"/>
        </w:rPr>
        <w:t>Ghai</w:t>
      </w:r>
      <w:proofErr w:type="spellEnd"/>
      <w:r w:rsidRPr="009F4CAD">
        <w:rPr>
          <w:rFonts w:ascii="Arial" w:hAnsi="Arial" w:cs="Arial"/>
        </w:rPr>
        <w:t xml:space="preserve">, director ejecutivo de </w:t>
      </w:r>
      <w:proofErr w:type="spellStart"/>
      <w:r w:rsidRPr="009F4CAD">
        <w:rPr>
          <w:rFonts w:ascii="Arial" w:hAnsi="Arial" w:cs="Arial"/>
        </w:rPr>
        <w:t>Calcbench</w:t>
      </w:r>
      <w:proofErr w:type="spellEnd"/>
      <w:r w:rsidRPr="009F4CAD">
        <w:rPr>
          <w:rFonts w:ascii="Arial" w:hAnsi="Arial" w:cs="Arial"/>
        </w:rPr>
        <w:t xml:space="preserve"> Inc.</w:t>
      </w:r>
    </w:p>
    <w:p w:rsidR="009F4CAD" w:rsidRP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sidRPr="009F4CAD">
        <w:rPr>
          <w:rFonts w:ascii="Arial" w:hAnsi="Arial" w:cs="Arial"/>
        </w:rPr>
        <w:t xml:space="preserve">Casi se esperan deterioros de activos durante una crisis, y el mercado hizo caso omiso de las grandes amortizaciones durante el último año. Aun así, sí importan, porque las empresas anteriormente gastaban efectivo o se endeudaban para comprar esos activos, dijo </w:t>
      </w:r>
      <w:proofErr w:type="spellStart"/>
      <w:r w:rsidRPr="009F4CAD">
        <w:rPr>
          <w:rFonts w:ascii="Arial" w:hAnsi="Arial" w:cs="Arial"/>
        </w:rPr>
        <w:t>Graziano</w:t>
      </w:r>
      <w:proofErr w:type="spellEnd"/>
      <w:r w:rsidRPr="009F4CAD">
        <w:rPr>
          <w:rFonts w:ascii="Arial" w:hAnsi="Arial" w:cs="Arial"/>
        </w:rPr>
        <w:t>.</w:t>
      </w:r>
    </w:p>
    <w:p w:rsidR="009F4CAD" w:rsidRP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sidRPr="009F4CAD">
        <w:rPr>
          <w:rFonts w:ascii="Arial" w:hAnsi="Arial" w:cs="Arial"/>
        </w:rPr>
        <w:t>"Puede ser una señal reveladora para la empresa en el futuro", dijo. “Realmente puede restablecer las expectativas del mercado sobre los flujos de efectivo futuros. Su capacidad para desplegar capital es probablemente la mayor resaca que puede ocurrir cuando se toma uno de estos grandes impedimentos”.</w:t>
      </w:r>
    </w:p>
    <w:p w:rsidR="009F4CAD" w:rsidRDefault="009F4CAD" w:rsidP="009F4CAD">
      <w:pPr>
        <w:spacing w:after="0"/>
        <w:jc w:val="both"/>
        <w:rPr>
          <w:rFonts w:ascii="Arial" w:hAnsi="Arial" w:cs="Arial"/>
        </w:rPr>
      </w:pPr>
    </w:p>
    <w:p w:rsidR="009F4CAD" w:rsidRPr="009F4CAD" w:rsidRDefault="009F4CAD" w:rsidP="009F4CAD">
      <w:pPr>
        <w:spacing w:after="0"/>
        <w:jc w:val="both"/>
        <w:rPr>
          <w:rFonts w:ascii="Arial" w:hAnsi="Arial" w:cs="Arial"/>
        </w:rPr>
      </w:pPr>
    </w:p>
    <w:p w:rsidR="009F4CAD" w:rsidRDefault="009F4CAD" w:rsidP="009F4CAD">
      <w:pPr>
        <w:spacing w:after="0"/>
        <w:jc w:val="both"/>
        <w:rPr>
          <w:rFonts w:ascii="Arial" w:hAnsi="Arial" w:cs="Arial"/>
          <w:b/>
          <w:bCs/>
        </w:rPr>
      </w:pPr>
      <w:r w:rsidRPr="009F4CAD">
        <w:rPr>
          <w:rFonts w:ascii="Arial" w:hAnsi="Arial" w:cs="Arial"/>
          <w:b/>
          <w:bCs/>
        </w:rPr>
        <w:t>Controles internos</w:t>
      </w:r>
    </w:p>
    <w:p w:rsidR="009F4CAD" w:rsidRPr="009F4CAD" w:rsidRDefault="009F4CAD" w:rsidP="009F4CAD">
      <w:pPr>
        <w:spacing w:after="0"/>
        <w:jc w:val="both"/>
        <w:rPr>
          <w:rFonts w:ascii="Arial" w:hAnsi="Arial" w:cs="Arial"/>
          <w:b/>
          <w:bCs/>
        </w:rPr>
      </w:pPr>
    </w:p>
    <w:p w:rsidR="009F4CAD" w:rsidRDefault="009F4CAD" w:rsidP="009F4CAD">
      <w:pPr>
        <w:spacing w:after="0"/>
        <w:jc w:val="both"/>
        <w:rPr>
          <w:rFonts w:ascii="Arial" w:hAnsi="Arial" w:cs="Arial"/>
        </w:rPr>
      </w:pPr>
      <w:r w:rsidRPr="009F4CAD">
        <w:rPr>
          <w:rFonts w:ascii="Arial" w:hAnsi="Arial" w:cs="Arial"/>
        </w:rPr>
        <w:t>Más de 800 empresas revelaron cambios en sus </w:t>
      </w:r>
      <w:hyperlink r:id="rId10" w:history="1">
        <w:r w:rsidRPr="009F4CAD">
          <w:rPr>
            <w:rStyle w:val="Hipervnculo"/>
            <w:rFonts w:ascii="Arial" w:hAnsi="Arial" w:cs="Arial"/>
          </w:rPr>
          <w:t>controles internos</w:t>
        </w:r>
      </w:hyperlink>
      <w:r w:rsidRPr="009F4CAD">
        <w:rPr>
          <w:rFonts w:ascii="Arial" w:hAnsi="Arial" w:cs="Arial"/>
        </w:rPr>
        <w:t> relacionados con los riesgos cambiantes de la pandemia. Esas verificaciones internas, diseñadas para garantizar que los inversores puedan confiar en los informes corporativos, incluyen protecciones básicas como segregar las funciones de los contadores del personal. La mayoría de las divulgaciones de control interno abordaron cambios de personal como el trabajo remoto o la segregación de funciones, según el informe.</w:t>
      </w:r>
    </w:p>
    <w:p w:rsid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Pr>
          <w:noProof/>
          <w:lang w:eastAsia="es-MX"/>
        </w:rPr>
        <w:lastRenderedPageBreak/>
        <w:drawing>
          <wp:inline distT="0" distB="0" distL="0" distR="0" wp14:anchorId="19E6E5FB" wp14:editId="2A618F1D">
            <wp:extent cx="5612130" cy="3218330"/>
            <wp:effectExtent l="0" t="0" r="7620" b="1270"/>
            <wp:docPr id="9" name="Imagen 9" descr="https://db0ip7zd23b50.cloudfront.net/dims4/default/2f5bc2e/2147483647/resize/633x10000%3E/quality/90/?url=http%3A%2F%2Fbloomberg-bna-brightspot.s3.amazonaws.com%2F3e%2F19%2F902c1dd8490190cac5c379f420e8%2Finternal-control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b0ip7zd23b50.cloudfront.net/dims4/default/2f5bc2e/2147483647/resize/633x10000%3E/quality/90/?url=http%3A%2F%2Fbloomberg-bna-brightspot.s3.amazonaws.com%2F3e%2F19%2F902c1dd8490190cac5c379f420e8%2Finternal-control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218330"/>
                    </a:xfrm>
                    <a:prstGeom prst="rect">
                      <a:avLst/>
                    </a:prstGeom>
                    <a:noFill/>
                    <a:ln>
                      <a:noFill/>
                    </a:ln>
                  </pic:spPr>
                </pic:pic>
              </a:graphicData>
            </a:graphic>
          </wp:inline>
        </w:drawing>
      </w:r>
    </w:p>
    <w:p w:rsid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sidRPr="009F4CAD">
        <w:rPr>
          <w:rFonts w:ascii="Arial" w:hAnsi="Arial" w:cs="Arial"/>
        </w:rPr>
        <w:t>En general, el número de revisiones divulgadas a esas redes de seguridad de informes financieros estuvo en línea con años anteriores. Pero el entorno de control alterado plantea el riesgo de futuras reformulaciones, ya que algunas empresas también informaron que luchan por corregir las brechas en esos controles, dijo Coleman.</w:t>
      </w:r>
    </w:p>
    <w:p w:rsidR="009F4CAD" w:rsidRPr="009F4CAD" w:rsidRDefault="009F4CAD" w:rsidP="009F4CAD">
      <w:pPr>
        <w:spacing w:after="0"/>
        <w:jc w:val="both"/>
        <w:rPr>
          <w:rFonts w:ascii="Arial" w:hAnsi="Arial" w:cs="Arial"/>
        </w:rPr>
      </w:pPr>
    </w:p>
    <w:p w:rsidR="009F4CAD" w:rsidRDefault="009F4CAD" w:rsidP="009F4CAD">
      <w:pPr>
        <w:spacing w:after="0"/>
        <w:jc w:val="both"/>
        <w:rPr>
          <w:rFonts w:ascii="Arial" w:hAnsi="Arial" w:cs="Arial"/>
          <w:b/>
          <w:bCs/>
        </w:rPr>
      </w:pPr>
    </w:p>
    <w:p w:rsidR="009F4CAD" w:rsidRDefault="009F4CAD" w:rsidP="009F4CAD">
      <w:pPr>
        <w:spacing w:after="0"/>
        <w:jc w:val="both"/>
        <w:rPr>
          <w:rFonts w:ascii="Arial" w:hAnsi="Arial" w:cs="Arial"/>
          <w:b/>
          <w:bCs/>
        </w:rPr>
      </w:pPr>
      <w:proofErr w:type="spellStart"/>
      <w:r w:rsidRPr="009F4CAD">
        <w:rPr>
          <w:rFonts w:ascii="Arial" w:hAnsi="Arial" w:cs="Arial"/>
          <w:b/>
          <w:bCs/>
        </w:rPr>
        <w:t>Reexpresiones</w:t>
      </w:r>
      <w:proofErr w:type="spellEnd"/>
    </w:p>
    <w:p w:rsidR="009F4CAD" w:rsidRPr="009F4CAD" w:rsidRDefault="009F4CAD" w:rsidP="009F4CAD">
      <w:pPr>
        <w:spacing w:after="0"/>
        <w:jc w:val="both"/>
        <w:rPr>
          <w:rFonts w:ascii="Arial" w:hAnsi="Arial" w:cs="Arial"/>
          <w:b/>
          <w:bCs/>
        </w:rPr>
      </w:pPr>
    </w:p>
    <w:p w:rsidR="009F4CAD" w:rsidRDefault="009F4CAD" w:rsidP="009F4CAD">
      <w:pPr>
        <w:spacing w:after="0"/>
        <w:jc w:val="both"/>
        <w:rPr>
          <w:rFonts w:ascii="Arial" w:hAnsi="Arial" w:cs="Arial"/>
        </w:rPr>
      </w:pPr>
      <w:r w:rsidRPr="009F4CAD">
        <w:rPr>
          <w:rFonts w:ascii="Arial" w:hAnsi="Arial" w:cs="Arial"/>
        </w:rPr>
        <w:t xml:space="preserve">La investigación de </w:t>
      </w:r>
      <w:proofErr w:type="spellStart"/>
      <w:r w:rsidRPr="009F4CAD">
        <w:rPr>
          <w:rFonts w:ascii="Arial" w:hAnsi="Arial" w:cs="Arial"/>
        </w:rPr>
        <w:t>Audit</w:t>
      </w:r>
      <w:proofErr w:type="spellEnd"/>
      <w:r w:rsidRPr="009F4CAD">
        <w:rPr>
          <w:rFonts w:ascii="Arial" w:hAnsi="Arial" w:cs="Arial"/>
        </w:rPr>
        <w:t xml:space="preserve"> </w:t>
      </w:r>
      <w:proofErr w:type="spellStart"/>
      <w:r w:rsidRPr="009F4CAD">
        <w:rPr>
          <w:rFonts w:ascii="Arial" w:hAnsi="Arial" w:cs="Arial"/>
        </w:rPr>
        <w:t>Analytics</w:t>
      </w:r>
      <w:proofErr w:type="spellEnd"/>
      <w:r w:rsidRPr="009F4CAD">
        <w:rPr>
          <w:rFonts w:ascii="Arial" w:hAnsi="Arial" w:cs="Arial"/>
        </w:rPr>
        <w:t xml:space="preserve"> encontró solo siete reformulaciones, que involucraron a seis empresas, que estaban directamente relacionadas con la pandemia. Es un número pequeño en comparación con el número total de reformulaciones publicadas en los últimos dos años.</w:t>
      </w:r>
    </w:p>
    <w:p w:rsidR="009F4CAD" w:rsidRDefault="009F4CAD" w:rsidP="009F4CAD">
      <w:pPr>
        <w:spacing w:after="0"/>
        <w:jc w:val="both"/>
        <w:rPr>
          <w:rFonts w:ascii="Arial" w:hAnsi="Arial" w:cs="Arial"/>
        </w:rPr>
      </w:pPr>
    </w:p>
    <w:p w:rsidR="009F4CAD" w:rsidRP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Pr>
          <w:noProof/>
          <w:lang w:eastAsia="es-MX"/>
        </w:rPr>
        <w:drawing>
          <wp:inline distT="0" distB="0" distL="0" distR="0" wp14:anchorId="417C1A37" wp14:editId="264D5DDA">
            <wp:extent cx="5612130" cy="2056894"/>
            <wp:effectExtent l="0" t="0" r="7620" b="635"/>
            <wp:docPr id="10" name="Imagen 10" descr="https://db0ip7zd23b50.cloudfront.net/dims4/default/86b4775/2147483647/resize/633x10000%3E/quality/90/?url=http%3A%2F%2Fbloomberg-bna-brightspot.s3.amazonaws.com%2Fcb%2F73%2F0e77da5f4d36827015138eabb03d%2Frestatemen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db0ip7zd23b50.cloudfront.net/dims4/default/86b4775/2147483647/resize/633x10000%3E/quality/90/?url=http%3A%2F%2Fbloomberg-bna-brightspot.s3.amazonaws.com%2Fcb%2F73%2F0e77da5f4d36827015138eabb03d%2Frestatement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056894"/>
                    </a:xfrm>
                    <a:prstGeom prst="rect">
                      <a:avLst/>
                    </a:prstGeom>
                    <a:noFill/>
                    <a:ln>
                      <a:noFill/>
                    </a:ln>
                  </pic:spPr>
                </pic:pic>
              </a:graphicData>
            </a:graphic>
          </wp:inline>
        </w:drawing>
      </w:r>
    </w:p>
    <w:p w:rsidR="009F4CAD" w:rsidRDefault="009F4CAD" w:rsidP="009F4CAD">
      <w:pPr>
        <w:spacing w:after="0"/>
        <w:jc w:val="both"/>
        <w:rPr>
          <w:rFonts w:ascii="Arial" w:hAnsi="Arial" w:cs="Arial"/>
        </w:rPr>
      </w:pPr>
    </w:p>
    <w:p w:rsidR="009F4CAD" w:rsidRDefault="009F4CAD" w:rsidP="009F4CAD">
      <w:pPr>
        <w:spacing w:after="0"/>
        <w:jc w:val="both"/>
        <w:rPr>
          <w:rFonts w:ascii="Arial" w:hAnsi="Arial" w:cs="Arial"/>
        </w:rPr>
      </w:pPr>
      <w:r w:rsidRPr="009F4CAD">
        <w:rPr>
          <w:rFonts w:ascii="Arial" w:hAnsi="Arial" w:cs="Arial"/>
        </w:rPr>
        <w:lastRenderedPageBreak/>
        <w:t xml:space="preserve">Las empresas emitieron solo 80 </w:t>
      </w:r>
      <w:proofErr w:type="spellStart"/>
      <w:r w:rsidRPr="009F4CAD">
        <w:rPr>
          <w:rFonts w:ascii="Arial" w:hAnsi="Arial" w:cs="Arial"/>
        </w:rPr>
        <w:t>reexpresiones</w:t>
      </w:r>
      <w:proofErr w:type="spellEnd"/>
      <w:r w:rsidRPr="009F4CAD">
        <w:rPr>
          <w:rFonts w:ascii="Arial" w:hAnsi="Arial" w:cs="Arial"/>
        </w:rPr>
        <w:t xml:space="preserve"> en 2020, una ligera caída de las 85 del año anterior, continuando una tendencia a la baja para que las empresas informen y corrijan errores materiales. Esa línea de tendencia se habría extendido hasta 2021 si no fuera por una advertencia contable de la SEC que desencadenó un </w:t>
      </w:r>
      <w:hyperlink r:id="rId13" w:history="1">
        <w:r w:rsidRPr="009F4CAD">
          <w:rPr>
            <w:rStyle w:val="Hipervnculo"/>
            <w:rFonts w:ascii="Arial" w:hAnsi="Arial" w:cs="Arial"/>
          </w:rPr>
          <w:t xml:space="preserve">auge en las </w:t>
        </w:r>
        <w:proofErr w:type="spellStart"/>
        <w:r w:rsidRPr="009F4CAD">
          <w:rPr>
            <w:rStyle w:val="Hipervnculo"/>
            <w:rFonts w:ascii="Arial" w:hAnsi="Arial" w:cs="Arial"/>
          </w:rPr>
          <w:t>reexpresiones</w:t>
        </w:r>
        <w:proofErr w:type="spellEnd"/>
      </w:hyperlink>
      <w:r w:rsidRPr="009F4CAD">
        <w:rPr>
          <w:rFonts w:ascii="Arial" w:hAnsi="Arial" w:cs="Arial"/>
        </w:rPr>
        <w:t xml:space="preserve"> para las empresas de adquisición con fines especiales. De las 409 reformulaciones hasta fines de agosto, solo 45 involucraron empresas distintas de las SPAC, según </w:t>
      </w:r>
      <w:proofErr w:type="spellStart"/>
      <w:r w:rsidRPr="009F4CAD">
        <w:rPr>
          <w:rFonts w:ascii="Arial" w:hAnsi="Arial" w:cs="Arial"/>
        </w:rPr>
        <w:t>Audit</w:t>
      </w:r>
      <w:proofErr w:type="spellEnd"/>
      <w:r w:rsidRPr="009F4CAD">
        <w:rPr>
          <w:rFonts w:ascii="Arial" w:hAnsi="Arial" w:cs="Arial"/>
        </w:rPr>
        <w:t xml:space="preserve"> </w:t>
      </w:r>
      <w:proofErr w:type="spellStart"/>
      <w:r w:rsidRPr="009F4CAD">
        <w:rPr>
          <w:rFonts w:ascii="Arial" w:hAnsi="Arial" w:cs="Arial"/>
        </w:rPr>
        <w:t>Analytics</w:t>
      </w:r>
      <w:proofErr w:type="spellEnd"/>
      <w:r w:rsidRPr="009F4CAD">
        <w:rPr>
          <w:rFonts w:ascii="Arial" w:hAnsi="Arial" w:cs="Arial"/>
        </w:rPr>
        <w:t>.</w:t>
      </w:r>
    </w:p>
    <w:p w:rsidR="005001E8" w:rsidRPr="009F4CAD" w:rsidRDefault="005001E8" w:rsidP="009F4CAD">
      <w:pPr>
        <w:spacing w:after="0"/>
        <w:jc w:val="both"/>
        <w:rPr>
          <w:rFonts w:ascii="Arial" w:hAnsi="Arial" w:cs="Arial"/>
        </w:rPr>
      </w:pPr>
    </w:p>
    <w:p w:rsidR="009F4CAD" w:rsidRDefault="009F4CAD" w:rsidP="009F4CAD">
      <w:pPr>
        <w:spacing w:after="0"/>
        <w:jc w:val="both"/>
        <w:rPr>
          <w:rFonts w:ascii="Arial" w:hAnsi="Arial" w:cs="Arial"/>
          <w:i/>
          <w:iCs/>
        </w:rPr>
      </w:pPr>
      <w:r w:rsidRPr="009F4CAD">
        <w:rPr>
          <w:rFonts w:ascii="Arial" w:hAnsi="Arial" w:cs="Arial"/>
          <w:i/>
          <w:iCs/>
        </w:rPr>
        <w:t>—Con la asistencia de Nicola White.</w:t>
      </w:r>
    </w:p>
    <w:p w:rsidR="005001E8" w:rsidRPr="009F4CAD" w:rsidRDefault="005001E8" w:rsidP="009F4CAD">
      <w:pPr>
        <w:spacing w:after="0"/>
        <w:jc w:val="both"/>
        <w:rPr>
          <w:rFonts w:ascii="Arial" w:hAnsi="Arial" w:cs="Arial"/>
        </w:rPr>
      </w:pPr>
    </w:p>
    <w:p w:rsidR="009F4CAD" w:rsidRDefault="009F4CAD" w:rsidP="009F4CAD">
      <w:pPr>
        <w:spacing w:after="0"/>
        <w:jc w:val="both"/>
        <w:rPr>
          <w:rFonts w:ascii="Arial" w:hAnsi="Arial" w:cs="Arial"/>
        </w:rPr>
      </w:pPr>
      <w:r w:rsidRPr="009F4CAD">
        <w:rPr>
          <w:rFonts w:ascii="Arial" w:hAnsi="Arial" w:cs="Arial"/>
        </w:rPr>
        <w:t>(Actualizaciones con informes adicionales a partir del sexto párrafo).</w:t>
      </w:r>
    </w:p>
    <w:p w:rsidR="005001E8" w:rsidRPr="009F4CAD" w:rsidRDefault="005001E8" w:rsidP="009F4CAD">
      <w:pPr>
        <w:spacing w:after="0"/>
        <w:jc w:val="both"/>
        <w:rPr>
          <w:rFonts w:ascii="Arial" w:hAnsi="Arial" w:cs="Arial"/>
        </w:rPr>
      </w:pPr>
    </w:p>
    <w:p w:rsidR="005001E8" w:rsidRDefault="009F4CAD" w:rsidP="009F4CAD">
      <w:pPr>
        <w:spacing w:after="0"/>
        <w:jc w:val="both"/>
        <w:rPr>
          <w:rFonts w:ascii="Arial" w:hAnsi="Arial" w:cs="Arial"/>
        </w:rPr>
      </w:pPr>
      <w:r w:rsidRPr="009F4CAD">
        <w:rPr>
          <w:rFonts w:ascii="Arial" w:hAnsi="Arial" w:cs="Arial"/>
        </w:rPr>
        <w:t xml:space="preserve">Para contactar al reportero en esta historia: Amanda </w:t>
      </w:r>
      <w:proofErr w:type="spellStart"/>
      <w:r w:rsidRPr="009F4CAD">
        <w:rPr>
          <w:rFonts w:ascii="Arial" w:hAnsi="Arial" w:cs="Arial"/>
        </w:rPr>
        <w:t>Iaconeen</w:t>
      </w:r>
      <w:proofErr w:type="spellEnd"/>
      <w:r w:rsidRPr="009F4CAD">
        <w:rPr>
          <w:rFonts w:ascii="Arial" w:hAnsi="Arial" w:cs="Arial"/>
        </w:rPr>
        <w:t xml:space="preserve"> Washington en</w:t>
      </w:r>
    </w:p>
    <w:p w:rsidR="009F4CAD" w:rsidRDefault="009F4CAD" w:rsidP="009F4CAD">
      <w:pPr>
        <w:spacing w:after="0"/>
        <w:jc w:val="both"/>
        <w:rPr>
          <w:rFonts w:ascii="Arial" w:hAnsi="Arial" w:cs="Arial"/>
        </w:rPr>
      </w:pPr>
      <w:hyperlink r:id="rId14" w:history="1">
        <w:r w:rsidRPr="009F4CAD">
          <w:rPr>
            <w:rStyle w:val="Hipervnculo"/>
            <w:rFonts w:ascii="Arial" w:hAnsi="Arial" w:cs="Arial"/>
          </w:rPr>
          <w:t>aiacone@bloombergtax.com</w:t>
        </w:r>
      </w:hyperlink>
    </w:p>
    <w:p w:rsidR="005001E8" w:rsidRPr="009F4CAD" w:rsidRDefault="005001E8" w:rsidP="009F4CAD">
      <w:pPr>
        <w:spacing w:after="0"/>
        <w:jc w:val="both"/>
        <w:rPr>
          <w:rFonts w:ascii="Arial" w:hAnsi="Arial" w:cs="Arial"/>
        </w:rPr>
      </w:pPr>
    </w:p>
    <w:p w:rsidR="005001E8" w:rsidRDefault="009F4CAD" w:rsidP="009F4CAD">
      <w:pPr>
        <w:spacing w:after="0"/>
        <w:jc w:val="both"/>
        <w:rPr>
          <w:rFonts w:ascii="Arial" w:hAnsi="Arial" w:cs="Arial"/>
        </w:rPr>
      </w:pPr>
      <w:r w:rsidRPr="009F4CAD">
        <w:rPr>
          <w:rFonts w:ascii="Arial" w:hAnsi="Arial" w:cs="Arial"/>
        </w:rPr>
        <w:t>Para contactar a los editores responsables de esta historia: </w:t>
      </w:r>
    </w:p>
    <w:p w:rsidR="005001E8" w:rsidRDefault="009F4CAD" w:rsidP="009F4CAD">
      <w:pPr>
        <w:spacing w:after="0"/>
        <w:jc w:val="both"/>
        <w:rPr>
          <w:rFonts w:ascii="Arial" w:hAnsi="Arial" w:cs="Arial"/>
          <w:lang w:val="en-US"/>
        </w:rPr>
      </w:pPr>
      <w:r w:rsidRPr="005001E8">
        <w:rPr>
          <w:rFonts w:ascii="Arial" w:hAnsi="Arial" w:cs="Arial"/>
          <w:lang w:val="en-US"/>
        </w:rPr>
        <w:t>Jeff Harrington</w:t>
      </w:r>
      <w:r w:rsidR="005001E8" w:rsidRPr="005001E8">
        <w:rPr>
          <w:rFonts w:ascii="Arial" w:hAnsi="Arial" w:cs="Arial"/>
          <w:lang w:val="en-US"/>
        </w:rPr>
        <w:t xml:space="preserve"> </w:t>
      </w:r>
      <w:proofErr w:type="spellStart"/>
      <w:r w:rsidRPr="005001E8">
        <w:rPr>
          <w:rFonts w:ascii="Arial" w:hAnsi="Arial" w:cs="Arial"/>
          <w:lang w:val="en-US"/>
        </w:rPr>
        <w:t>en</w:t>
      </w:r>
      <w:proofErr w:type="spellEnd"/>
      <w:r w:rsidRPr="005001E8">
        <w:rPr>
          <w:rFonts w:ascii="Arial" w:hAnsi="Arial" w:cs="Arial"/>
          <w:lang w:val="en-US"/>
        </w:rPr>
        <w:t> </w:t>
      </w:r>
      <w:hyperlink r:id="rId15" w:history="1">
        <w:r w:rsidRPr="005001E8">
          <w:rPr>
            <w:rStyle w:val="Hipervnculo"/>
            <w:rFonts w:ascii="Arial" w:hAnsi="Arial" w:cs="Arial"/>
            <w:lang w:val="en-US"/>
          </w:rPr>
          <w:t>jharrington@bloombergindustry.com</w:t>
        </w:r>
      </w:hyperlink>
      <w:r w:rsidRPr="005001E8">
        <w:rPr>
          <w:rFonts w:ascii="Arial" w:hAnsi="Arial" w:cs="Arial"/>
          <w:lang w:val="en-US"/>
        </w:rPr>
        <w:t>;</w:t>
      </w:r>
    </w:p>
    <w:p w:rsidR="009F4CAD" w:rsidRPr="005001E8" w:rsidRDefault="009F4CAD" w:rsidP="009F4CAD">
      <w:pPr>
        <w:spacing w:after="0"/>
        <w:jc w:val="both"/>
        <w:rPr>
          <w:rFonts w:ascii="Arial" w:hAnsi="Arial" w:cs="Arial"/>
          <w:lang w:val="en-US"/>
        </w:rPr>
      </w:pPr>
      <w:r w:rsidRPr="005001E8">
        <w:rPr>
          <w:rFonts w:ascii="Arial" w:hAnsi="Arial" w:cs="Arial"/>
          <w:lang w:val="en-US"/>
        </w:rPr>
        <w:t xml:space="preserve">Kathy </w:t>
      </w:r>
      <w:proofErr w:type="spellStart"/>
      <w:r w:rsidRPr="005001E8">
        <w:rPr>
          <w:rFonts w:ascii="Arial" w:hAnsi="Arial" w:cs="Arial"/>
          <w:lang w:val="en-US"/>
        </w:rPr>
        <w:t>Larsenen</w:t>
      </w:r>
      <w:proofErr w:type="spellEnd"/>
      <w:r w:rsidRPr="005001E8">
        <w:rPr>
          <w:rFonts w:ascii="Arial" w:hAnsi="Arial" w:cs="Arial"/>
          <w:lang w:val="en-US"/>
        </w:rPr>
        <w:t> </w:t>
      </w:r>
      <w:hyperlink r:id="rId16" w:history="1">
        <w:r w:rsidRPr="005001E8">
          <w:rPr>
            <w:rStyle w:val="Hipervnculo"/>
            <w:rFonts w:ascii="Arial" w:hAnsi="Arial" w:cs="Arial"/>
            <w:lang w:val="en-US"/>
          </w:rPr>
          <w:t>klarsen@bloombergtax.com</w:t>
        </w:r>
      </w:hyperlink>
    </w:p>
    <w:p w:rsidR="009F4CAD" w:rsidRPr="005001E8" w:rsidRDefault="009F4CAD" w:rsidP="009F4CAD">
      <w:pPr>
        <w:spacing w:after="0"/>
        <w:jc w:val="both"/>
        <w:rPr>
          <w:rFonts w:ascii="Arial" w:hAnsi="Arial" w:cs="Arial"/>
          <w:lang w:val="en-US"/>
        </w:rPr>
      </w:pPr>
    </w:p>
    <w:p w:rsidR="009F4CAD" w:rsidRPr="005001E8" w:rsidRDefault="009F4CAD" w:rsidP="009F4CAD">
      <w:pPr>
        <w:spacing w:after="0"/>
        <w:jc w:val="both"/>
        <w:rPr>
          <w:rFonts w:ascii="Arial" w:hAnsi="Arial" w:cs="Arial"/>
          <w:lang w:val="en-US"/>
        </w:rPr>
      </w:pPr>
    </w:p>
    <w:p w:rsidR="009F4CAD" w:rsidRPr="005001E8" w:rsidRDefault="009F4CAD" w:rsidP="009F4CAD">
      <w:pPr>
        <w:spacing w:after="0"/>
        <w:jc w:val="both"/>
        <w:rPr>
          <w:rFonts w:ascii="Arial" w:hAnsi="Arial" w:cs="Arial"/>
          <w:lang w:val="en-US"/>
        </w:rPr>
      </w:pPr>
    </w:p>
    <w:p w:rsidR="009F4CAD" w:rsidRPr="005001E8" w:rsidRDefault="009F4CAD" w:rsidP="009F4CAD">
      <w:pPr>
        <w:spacing w:after="0"/>
        <w:jc w:val="both"/>
        <w:rPr>
          <w:rFonts w:ascii="Arial" w:hAnsi="Arial" w:cs="Arial"/>
          <w:lang w:val="en-US"/>
        </w:rPr>
      </w:pPr>
    </w:p>
    <w:p w:rsidR="009F4CAD" w:rsidRDefault="005001E8" w:rsidP="009F4CAD">
      <w:pPr>
        <w:spacing w:after="0"/>
        <w:jc w:val="both"/>
        <w:rPr>
          <w:rFonts w:ascii="Arial" w:hAnsi="Arial" w:cs="Arial"/>
        </w:rPr>
      </w:pPr>
      <w:r w:rsidRPr="005001E8">
        <w:rPr>
          <w:rFonts w:ascii="Arial" w:hAnsi="Arial" w:cs="Arial"/>
        </w:rPr>
        <w:t xml:space="preserve">Publicado originalmente en: </w:t>
      </w:r>
      <w:hyperlink r:id="rId17" w:history="1">
        <w:r w:rsidRPr="005E11E9">
          <w:rPr>
            <w:rStyle w:val="Hipervnculo"/>
            <w:rFonts w:ascii="Arial" w:hAnsi="Arial" w:cs="Arial"/>
          </w:rPr>
          <w:t>https://news.bloombergtax.com/financial-accounting/how-the-pandemic-shaped-financial-reporting-in-four-charts</w:t>
        </w:r>
      </w:hyperlink>
    </w:p>
    <w:p w:rsidR="005001E8" w:rsidRDefault="005001E8" w:rsidP="009F4CAD">
      <w:pPr>
        <w:spacing w:after="0"/>
        <w:jc w:val="both"/>
        <w:rPr>
          <w:rFonts w:ascii="Arial" w:hAnsi="Arial" w:cs="Arial"/>
        </w:rPr>
      </w:pPr>
    </w:p>
    <w:p w:rsidR="005001E8" w:rsidRPr="005001E8" w:rsidRDefault="005001E8" w:rsidP="009F4CAD">
      <w:pPr>
        <w:spacing w:after="0"/>
        <w:jc w:val="both"/>
        <w:rPr>
          <w:rFonts w:ascii="Arial" w:hAnsi="Arial" w:cs="Arial"/>
        </w:rPr>
      </w:pPr>
    </w:p>
    <w:p w:rsidR="009F4CAD" w:rsidRPr="005001E8" w:rsidRDefault="009F4CAD" w:rsidP="009F4CAD">
      <w:pPr>
        <w:spacing w:after="0"/>
        <w:jc w:val="both"/>
        <w:rPr>
          <w:rFonts w:ascii="Arial" w:hAnsi="Arial" w:cs="Arial"/>
        </w:rPr>
      </w:pPr>
    </w:p>
    <w:p w:rsidR="009F4CAD" w:rsidRPr="005001E8" w:rsidRDefault="009F4CAD" w:rsidP="009F4CAD">
      <w:pPr>
        <w:spacing w:after="0"/>
        <w:jc w:val="both"/>
        <w:rPr>
          <w:rFonts w:ascii="Arial" w:hAnsi="Arial" w:cs="Arial"/>
        </w:rPr>
      </w:pPr>
    </w:p>
    <w:sectPr w:rsidR="009F4CAD" w:rsidRPr="005001E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30F3D"/>
    <w:multiLevelType w:val="multilevel"/>
    <w:tmpl w:val="ACE8A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CAD"/>
    <w:rsid w:val="000F4B68"/>
    <w:rsid w:val="001739B4"/>
    <w:rsid w:val="003B63A5"/>
    <w:rsid w:val="003D516E"/>
    <w:rsid w:val="005001E8"/>
    <w:rsid w:val="009F4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D0324E-CAD3-4732-BCB2-FB790D98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F4CA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439392">
      <w:bodyDiv w:val="1"/>
      <w:marLeft w:val="0"/>
      <w:marRight w:val="0"/>
      <w:marTop w:val="0"/>
      <w:marBottom w:val="0"/>
      <w:divBdr>
        <w:top w:val="none" w:sz="0" w:space="0" w:color="auto"/>
        <w:left w:val="none" w:sz="0" w:space="0" w:color="auto"/>
        <w:bottom w:val="none" w:sz="0" w:space="0" w:color="auto"/>
        <w:right w:val="none" w:sz="0" w:space="0" w:color="auto"/>
      </w:divBdr>
    </w:div>
    <w:div w:id="307827657">
      <w:bodyDiv w:val="1"/>
      <w:marLeft w:val="0"/>
      <w:marRight w:val="0"/>
      <w:marTop w:val="0"/>
      <w:marBottom w:val="0"/>
      <w:divBdr>
        <w:top w:val="none" w:sz="0" w:space="0" w:color="auto"/>
        <w:left w:val="none" w:sz="0" w:space="0" w:color="auto"/>
        <w:bottom w:val="none" w:sz="0" w:space="0" w:color="auto"/>
        <w:right w:val="none" w:sz="0" w:space="0" w:color="auto"/>
      </w:divBdr>
    </w:div>
    <w:div w:id="323515544">
      <w:bodyDiv w:val="1"/>
      <w:marLeft w:val="0"/>
      <w:marRight w:val="0"/>
      <w:marTop w:val="0"/>
      <w:marBottom w:val="0"/>
      <w:divBdr>
        <w:top w:val="none" w:sz="0" w:space="0" w:color="auto"/>
        <w:left w:val="none" w:sz="0" w:space="0" w:color="auto"/>
        <w:bottom w:val="none" w:sz="0" w:space="0" w:color="auto"/>
        <w:right w:val="none" w:sz="0" w:space="0" w:color="auto"/>
      </w:divBdr>
      <w:divsChild>
        <w:div w:id="1583490025">
          <w:marLeft w:val="0"/>
          <w:marRight w:val="0"/>
          <w:marTop w:val="0"/>
          <w:marBottom w:val="0"/>
          <w:divBdr>
            <w:top w:val="none" w:sz="0" w:space="0" w:color="auto"/>
            <w:left w:val="none" w:sz="0" w:space="0" w:color="auto"/>
            <w:bottom w:val="none" w:sz="0" w:space="0" w:color="auto"/>
            <w:right w:val="none" w:sz="0" w:space="0" w:color="auto"/>
          </w:divBdr>
          <w:divsChild>
            <w:div w:id="1331178168">
              <w:marLeft w:val="0"/>
              <w:marRight w:val="0"/>
              <w:marTop w:val="0"/>
              <w:marBottom w:val="0"/>
              <w:divBdr>
                <w:top w:val="none" w:sz="0" w:space="0" w:color="auto"/>
                <w:left w:val="none" w:sz="0" w:space="0" w:color="auto"/>
                <w:bottom w:val="none" w:sz="0" w:space="0" w:color="auto"/>
                <w:right w:val="none" w:sz="0" w:space="0" w:color="auto"/>
              </w:divBdr>
            </w:div>
          </w:divsChild>
        </w:div>
        <w:div w:id="1062487013">
          <w:marLeft w:val="0"/>
          <w:marRight w:val="0"/>
          <w:marTop w:val="0"/>
          <w:marBottom w:val="0"/>
          <w:divBdr>
            <w:top w:val="none" w:sz="0" w:space="0" w:color="auto"/>
            <w:left w:val="none" w:sz="0" w:space="0" w:color="auto"/>
            <w:bottom w:val="none" w:sz="0" w:space="0" w:color="auto"/>
            <w:right w:val="none" w:sz="0" w:space="0" w:color="auto"/>
          </w:divBdr>
        </w:div>
        <w:div w:id="1152335333">
          <w:marLeft w:val="0"/>
          <w:marRight w:val="0"/>
          <w:marTop w:val="0"/>
          <w:marBottom w:val="0"/>
          <w:divBdr>
            <w:top w:val="none" w:sz="0" w:space="0" w:color="auto"/>
            <w:left w:val="none" w:sz="0" w:space="0" w:color="auto"/>
            <w:bottom w:val="none" w:sz="0" w:space="0" w:color="auto"/>
            <w:right w:val="none" w:sz="0" w:space="0" w:color="auto"/>
          </w:divBdr>
        </w:div>
      </w:divsChild>
    </w:div>
    <w:div w:id="714624275">
      <w:bodyDiv w:val="1"/>
      <w:marLeft w:val="0"/>
      <w:marRight w:val="0"/>
      <w:marTop w:val="0"/>
      <w:marBottom w:val="0"/>
      <w:divBdr>
        <w:top w:val="none" w:sz="0" w:space="0" w:color="auto"/>
        <w:left w:val="none" w:sz="0" w:space="0" w:color="auto"/>
        <w:bottom w:val="none" w:sz="0" w:space="0" w:color="auto"/>
        <w:right w:val="none" w:sz="0" w:space="0" w:color="auto"/>
      </w:divBdr>
    </w:div>
    <w:div w:id="798184102">
      <w:bodyDiv w:val="1"/>
      <w:marLeft w:val="0"/>
      <w:marRight w:val="0"/>
      <w:marTop w:val="0"/>
      <w:marBottom w:val="0"/>
      <w:divBdr>
        <w:top w:val="none" w:sz="0" w:space="0" w:color="auto"/>
        <w:left w:val="none" w:sz="0" w:space="0" w:color="auto"/>
        <w:bottom w:val="none" w:sz="0" w:space="0" w:color="auto"/>
        <w:right w:val="none" w:sz="0" w:space="0" w:color="auto"/>
      </w:divBdr>
    </w:div>
    <w:div w:id="867259980">
      <w:bodyDiv w:val="1"/>
      <w:marLeft w:val="0"/>
      <w:marRight w:val="0"/>
      <w:marTop w:val="0"/>
      <w:marBottom w:val="0"/>
      <w:divBdr>
        <w:top w:val="none" w:sz="0" w:space="0" w:color="auto"/>
        <w:left w:val="none" w:sz="0" w:space="0" w:color="auto"/>
        <w:bottom w:val="none" w:sz="0" w:space="0" w:color="auto"/>
        <w:right w:val="none" w:sz="0" w:space="0" w:color="auto"/>
      </w:divBdr>
    </w:div>
    <w:div w:id="1190026173">
      <w:bodyDiv w:val="1"/>
      <w:marLeft w:val="0"/>
      <w:marRight w:val="0"/>
      <w:marTop w:val="0"/>
      <w:marBottom w:val="0"/>
      <w:divBdr>
        <w:top w:val="none" w:sz="0" w:space="0" w:color="auto"/>
        <w:left w:val="none" w:sz="0" w:space="0" w:color="auto"/>
        <w:bottom w:val="none" w:sz="0" w:space="0" w:color="auto"/>
        <w:right w:val="none" w:sz="0" w:space="0" w:color="auto"/>
      </w:divBdr>
    </w:div>
    <w:div w:id="1222132067">
      <w:bodyDiv w:val="1"/>
      <w:marLeft w:val="0"/>
      <w:marRight w:val="0"/>
      <w:marTop w:val="0"/>
      <w:marBottom w:val="0"/>
      <w:divBdr>
        <w:top w:val="none" w:sz="0" w:space="0" w:color="auto"/>
        <w:left w:val="none" w:sz="0" w:space="0" w:color="auto"/>
        <w:bottom w:val="none" w:sz="0" w:space="0" w:color="auto"/>
        <w:right w:val="none" w:sz="0" w:space="0" w:color="auto"/>
      </w:divBdr>
    </w:div>
    <w:div w:id="1607688974">
      <w:bodyDiv w:val="1"/>
      <w:marLeft w:val="0"/>
      <w:marRight w:val="0"/>
      <w:marTop w:val="0"/>
      <w:marBottom w:val="0"/>
      <w:divBdr>
        <w:top w:val="none" w:sz="0" w:space="0" w:color="auto"/>
        <w:left w:val="none" w:sz="0" w:space="0" w:color="auto"/>
        <w:bottom w:val="none" w:sz="0" w:space="0" w:color="auto"/>
        <w:right w:val="none" w:sz="0" w:space="0" w:color="auto"/>
      </w:divBdr>
    </w:div>
    <w:div w:id="2069566888">
      <w:bodyDiv w:val="1"/>
      <w:marLeft w:val="0"/>
      <w:marRight w:val="0"/>
      <w:marTop w:val="0"/>
      <w:marBottom w:val="0"/>
      <w:divBdr>
        <w:top w:val="none" w:sz="0" w:space="0" w:color="auto"/>
        <w:left w:val="none" w:sz="0" w:space="0" w:color="auto"/>
        <w:bottom w:val="none" w:sz="0" w:space="0" w:color="auto"/>
        <w:right w:val="none" w:sz="0" w:space="0" w:color="auto"/>
      </w:divBdr>
    </w:div>
    <w:div w:id="2111969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news.bloombergtax.com/financial-accounting/pervasive-spac-accounting-error-prompts-mass-restateme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news.bloombergtax.com/financial-accounting/dave-busters-going-concern-warning-signals-wave-to-come" TargetMode="External"/><Relationship Id="rId12" Type="http://schemas.openxmlformats.org/officeDocument/2006/relationships/image" Target="media/image5.png"/><Relationship Id="rId17" Type="http://schemas.openxmlformats.org/officeDocument/2006/relationships/hyperlink" Target="https://news.bloombergtax.com/financial-accounting/how-the-pandemic-shaped-financial-reporting-in-four-charts" TargetMode="External"/><Relationship Id="rId2" Type="http://schemas.openxmlformats.org/officeDocument/2006/relationships/styles" Target="styles.xml"/><Relationship Id="rId16" Type="http://schemas.openxmlformats.org/officeDocument/2006/relationships/hyperlink" Target="mailto:klarsen@bloombergtax.com" TargetMode="External"/><Relationship Id="rId1" Type="http://schemas.openxmlformats.org/officeDocument/2006/relationships/numbering" Target="numbering.xml"/><Relationship Id="rId6" Type="http://schemas.openxmlformats.org/officeDocument/2006/relationships/hyperlink" Target="https://news.bloombergtax.com/financial-accounting/preparing-year-end-reports-shaken-by-fundamental-uncertainty"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mailto:jharrington@bloombergindustry.com" TargetMode="External"/><Relationship Id="rId10" Type="http://schemas.openxmlformats.org/officeDocument/2006/relationships/hyperlink" Target="https://news.bloombergtax.com/financial-accounting/covid-fallout-threatens-financial-reporting-guardrails-cfos-sa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aiacone@bloombergtax.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Pages>
  <Words>1073</Words>
  <Characters>5902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1</cp:revision>
  <dcterms:created xsi:type="dcterms:W3CDTF">2021-10-13T18:24:00Z</dcterms:created>
  <dcterms:modified xsi:type="dcterms:W3CDTF">2021-10-13T19:21:00Z</dcterms:modified>
</cp:coreProperties>
</file>