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5B3" w:rsidRPr="007E65B3" w:rsidRDefault="007E65B3" w:rsidP="007E65B3">
      <w:pPr>
        <w:jc w:val="both"/>
        <w:rPr>
          <w:rFonts w:ascii="Arial" w:hAnsi="Arial" w:cs="Arial"/>
          <w:b/>
        </w:rPr>
      </w:pPr>
      <w:r w:rsidRPr="007E65B3">
        <w:rPr>
          <w:rFonts w:ascii="Arial" w:hAnsi="Arial" w:cs="Arial"/>
          <w:b/>
        </w:rPr>
        <w:t xml:space="preserve">DTCC Propone el camino a seguir para lograr la armonización de datos globales en los informes comerciales de derivados. </w:t>
      </w:r>
    </w:p>
    <w:p w:rsidR="007E65B3" w:rsidRDefault="007E65B3" w:rsidP="007E65B3">
      <w:pPr>
        <w:jc w:val="both"/>
        <w:rPr>
          <w:rFonts w:ascii="Arial" w:hAnsi="Arial" w:cs="Arial"/>
        </w:rPr>
      </w:pPr>
    </w:p>
    <w:p w:rsidR="00ED7650" w:rsidRPr="007E65B3" w:rsidRDefault="007E65B3" w:rsidP="007E65B3">
      <w:pPr>
        <w:jc w:val="both"/>
        <w:rPr>
          <w:rFonts w:ascii="Arial" w:hAnsi="Arial" w:cs="Arial"/>
        </w:rPr>
      </w:pPr>
      <w:r w:rsidRPr="007E65B3">
        <w:rPr>
          <w:rFonts w:ascii="Arial" w:hAnsi="Arial" w:cs="Arial"/>
        </w:rPr>
        <w:t>16 de marzo de 2021 </w:t>
      </w:r>
    </w:p>
    <w:p w:rsidR="007E65B3" w:rsidRDefault="007E65B3" w:rsidP="007E65B3">
      <w:pPr>
        <w:jc w:val="both"/>
        <w:rPr>
          <w:rFonts w:ascii="Arial" w:hAnsi="Arial" w:cs="Arial"/>
          <w:b/>
          <w:bCs/>
          <w:i/>
          <w:iCs/>
        </w:rPr>
      </w:pPr>
      <w:bookmarkStart w:id="0" w:name="_GoBack"/>
      <w:bookmarkEnd w:id="0"/>
    </w:p>
    <w:p w:rsidR="007E65B3" w:rsidRPr="007E65B3" w:rsidRDefault="007E65B3" w:rsidP="007E65B3">
      <w:pPr>
        <w:jc w:val="both"/>
        <w:rPr>
          <w:rFonts w:ascii="Arial" w:hAnsi="Arial" w:cs="Arial"/>
        </w:rPr>
      </w:pPr>
      <w:r w:rsidRPr="007E65B3">
        <w:rPr>
          <w:rFonts w:ascii="Arial" w:hAnsi="Arial" w:cs="Arial"/>
          <w:b/>
          <w:bCs/>
          <w:i/>
          <w:iCs/>
        </w:rPr>
        <w:t>El documento de nuevas perspectivas recomienda la corrección del curso para eliminar las diferencias entre jurisdicciones en los estándares de informes comerciales para impulsar la transparencia y el monitoreo del riesgo sistémico.</w:t>
      </w:r>
    </w:p>
    <w:p w:rsidR="007E65B3" w:rsidRDefault="007E65B3" w:rsidP="007E65B3">
      <w:pPr>
        <w:jc w:val="both"/>
        <w:rPr>
          <w:rFonts w:ascii="Arial" w:hAnsi="Arial" w:cs="Arial"/>
          <w:b/>
          <w:bCs/>
        </w:rPr>
      </w:pPr>
    </w:p>
    <w:p w:rsidR="007E65B3" w:rsidRDefault="007E65B3" w:rsidP="007E65B3">
      <w:pPr>
        <w:jc w:val="both"/>
        <w:rPr>
          <w:rFonts w:ascii="Arial" w:hAnsi="Arial" w:cs="Arial"/>
        </w:rPr>
      </w:pPr>
      <w:r w:rsidRPr="007E65B3">
        <w:rPr>
          <w:rFonts w:ascii="Arial" w:hAnsi="Arial" w:cs="Arial"/>
          <w:b/>
          <w:bCs/>
        </w:rPr>
        <w:t>Nueva York / Londres / Hong Kong / Singapur / Sídney, 16 de marzo de 2021</w:t>
      </w:r>
      <w:r w:rsidRPr="007E65B3">
        <w:rPr>
          <w:rFonts w:ascii="Arial" w:hAnsi="Arial" w:cs="Arial"/>
        </w:rPr>
        <w:t xml:space="preserve"> - </w:t>
      </w:r>
      <w:proofErr w:type="spellStart"/>
      <w:r w:rsidRPr="007E65B3">
        <w:rPr>
          <w:rFonts w:ascii="Arial" w:hAnsi="Arial" w:cs="Arial"/>
        </w:rPr>
        <w:t>Depository</w:t>
      </w:r>
      <w:proofErr w:type="spellEnd"/>
      <w:r w:rsidRPr="007E65B3">
        <w:rPr>
          <w:rFonts w:ascii="Arial" w:hAnsi="Arial" w:cs="Arial"/>
        </w:rPr>
        <w:t xml:space="preserve"> Trust &amp; </w:t>
      </w:r>
      <w:proofErr w:type="spellStart"/>
      <w:r w:rsidRPr="007E65B3">
        <w:rPr>
          <w:rFonts w:ascii="Arial" w:hAnsi="Arial" w:cs="Arial"/>
        </w:rPr>
        <w:t>Clearing</w:t>
      </w:r>
      <w:proofErr w:type="spellEnd"/>
      <w:r w:rsidRPr="007E65B3">
        <w:rPr>
          <w:rFonts w:ascii="Arial" w:hAnsi="Arial" w:cs="Arial"/>
        </w:rPr>
        <w:t xml:space="preserve"> </w:t>
      </w:r>
      <w:proofErr w:type="spellStart"/>
      <w:r w:rsidRPr="007E65B3">
        <w:rPr>
          <w:rFonts w:ascii="Arial" w:hAnsi="Arial" w:cs="Arial"/>
        </w:rPr>
        <w:t>Corporation</w:t>
      </w:r>
      <w:proofErr w:type="spellEnd"/>
      <w:r w:rsidRPr="007E65B3">
        <w:rPr>
          <w:rFonts w:ascii="Arial" w:hAnsi="Arial" w:cs="Arial"/>
        </w:rPr>
        <w:t xml:space="preserve"> (DTCC), la principal infraestructura de mercado para la industria de servicios financieros global, describió hoy un plan de tres pilares para armonizar aún más los informes comerciales de derivados requisitos y cumplir con los objetivos que fueron establecidos originalmente por el Grupo de los 20 (G20) en su histórica cumbre de 2009 en Pittsburgh.</w:t>
      </w:r>
    </w:p>
    <w:p w:rsidR="007E65B3" w:rsidRDefault="007E65B3" w:rsidP="007E65B3">
      <w:pPr>
        <w:jc w:val="both"/>
        <w:rPr>
          <w:rFonts w:ascii="Arial" w:hAnsi="Arial" w:cs="Arial"/>
        </w:rPr>
      </w:pPr>
      <w:r w:rsidRPr="007E65B3">
        <w:rPr>
          <w:rFonts w:ascii="Arial" w:hAnsi="Arial" w:cs="Arial"/>
        </w:rPr>
        <w:t>En un nuevo documento publicado hoy, titulado </w:t>
      </w:r>
      <w:hyperlink r:id="rId4" w:tgtFrame="_blank" w:history="1">
        <w:r w:rsidRPr="007E65B3">
          <w:rPr>
            <w:rStyle w:val="Hipervnculo"/>
            <w:rFonts w:ascii="Arial" w:hAnsi="Arial" w:cs="Arial"/>
            <w:i/>
            <w:iCs/>
          </w:rPr>
          <w:t>Corrección del curso: encontrar un nuevo camino hacia la armonización de datos globales en los informes de comercio de derivados</w:t>
        </w:r>
      </w:hyperlink>
      <w:r w:rsidRPr="007E65B3">
        <w:rPr>
          <w:rFonts w:ascii="Arial" w:hAnsi="Arial" w:cs="Arial"/>
        </w:rPr>
        <w:t> ”, DTCC describe sus recomendaciones para avanzar hacia la armonización global de datos en el mercado de derivados extrabursátiles (OTC).</w:t>
      </w:r>
    </w:p>
    <w:p w:rsidR="007E65B3" w:rsidRPr="007E65B3" w:rsidRDefault="007E65B3" w:rsidP="007E65B3">
      <w:pPr>
        <w:jc w:val="both"/>
        <w:rPr>
          <w:rFonts w:ascii="Arial" w:hAnsi="Arial" w:cs="Arial"/>
        </w:rPr>
      </w:pPr>
      <w:r w:rsidRPr="007E65B3">
        <w:rPr>
          <w:rFonts w:ascii="Arial" w:hAnsi="Arial" w:cs="Arial"/>
        </w:rPr>
        <w:t xml:space="preserve">“La estandarización de informes de comercio de derivados OTC permitiría a los reguladores alcanzar el nivel de transparencia y monitoreo de riesgo global identificado como crítico por la cumbre del G20, pero ha sido un desafío para jurisdicciones individuales”, dijo Chris </w:t>
      </w:r>
      <w:proofErr w:type="spellStart"/>
      <w:r w:rsidRPr="007E65B3">
        <w:rPr>
          <w:rFonts w:ascii="Arial" w:hAnsi="Arial" w:cs="Arial"/>
        </w:rPr>
        <w:t>Childs</w:t>
      </w:r>
      <w:proofErr w:type="spellEnd"/>
      <w:r w:rsidRPr="007E65B3">
        <w:rPr>
          <w:rFonts w:ascii="Arial" w:hAnsi="Arial" w:cs="Arial"/>
        </w:rPr>
        <w:t>, Director Gerente y Jefe de Repositorio de DTCC y servicios derivados. “Con varios conjuntos de reglas de informes comerciales actualmente bajo revisión regulatoria, ahora es el momento de trabajar juntos y continuar avanzando hacia estos objetivos, y más específicamente, alinear las reglas de informes comerciales de jurisdicciones individuales para facilitar la transparencia del mercado global”.</w:t>
      </w:r>
    </w:p>
    <w:p w:rsidR="007E65B3" w:rsidRDefault="007E65B3" w:rsidP="007E65B3">
      <w:pPr>
        <w:jc w:val="both"/>
        <w:rPr>
          <w:rFonts w:ascii="Arial" w:hAnsi="Arial" w:cs="Arial"/>
          <w:b/>
          <w:bCs/>
        </w:rPr>
      </w:pPr>
    </w:p>
    <w:p w:rsidR="007E65B3" w:rsidRPr="007E65B3" w:rsidRDefault="007E65B3" w:rsidP="007E65B3">
      <w:pPr>
        <w:jc w:val="both"/>
        <w:rPr>
          <w:rFonts w:ascii="Arial" w:hAnsi="Arial" w:cs="Arial"/>
        </w:rPr>
      </w:pPr>
      <w:r w:rsidRPr="007E65B3">
        <w:rPr>
          <w:rFonts w:ascii="Arial" w:hAnsi="Arial" w:cs="Arial"/>
          <w:b/>
          <w:bCs/>
        </w:rPr>
        <w:t>Desafíos para lograr la estandarización en la presentación de informes comerciales</w:t>
      </w:r>
    </w:p>
    <w:p w:rsidR="007E65B3" w:rsidRPr="007E65B3" w:rsidRDefault="007E65B3" w:rsidP="007E65B3">
      <w:pPr>
        <w:jc w:val="both"/>
        <w:rPr>
          <w:rFonts w:ascii="Arial" w:hAnsi="Arial" w:cs="Arial"/>
        </w:rPr>
      </w:pPr>
      <w:r w:rsidRPr="007E65B3">
        <w:rPr>
          <w:rFonts w:ascii="Arial" w:hAnsi="Arial" w:cs="Arial"/>
        </w:rPr>
        <w:t>Si bien la industria y los reguladores ahora tienen una mayor comprensión del riesgo del mercado local, la alineación insuficiente de los requisitos de presentación de informes en las jurisdicciones podría impedir la agregación y el análisis global de los datos de transacciones de derivados OTC notificados a los repositorios de operaciones. Esto podría conducir a una falta de transparencia en las jurisdicciones, lo que podría obstaculizar la capacidad de los reguladores para monitorear adecuadamente el riesgo sistémico.</w:t>
      </w:r>
    </w:p>
    <w:p w:rsidR="007E65B3" w:rsidRPr="007E65B3" w:rsidRDefault="007E65B3" w:rsidP="007E65B3">
      <w:pPr>
        <w:jc w:val="both"/>
        <w:rPr>
          <w:rFonts w:ascii="Arial" w:hAnsi="Arial" w:cs="Arial"/>
        </w:rPr>
      </w:pPr>
      <w:r w:rsidRPr="007E65B3">
        <w:rPr>
          <w:rFonts w:ascii="Arial" w:hAnsi="Arial" w:cs="Arial"/>
        </w:rPr>
        <w:t xml:space="preserve">Varios organismos reguladores se están embarcando en la adopción de elementos de datos críticos (CDE) para la presentación de informes sobre el comercio de derivados según lo identificado por el Comité de Pagos e Infraestructuras de Mercado (CPMI) y el grupo de trabajo de la Junta de la Organización Internacional de Comisiones de Valores (IOSCO) sobre armonización. (Grupo de Armonización). La iniciativa CDE fue diseñada para </w:t>
      </w:r>
      <w:r w:rsidRPr="007E65B3">
        <w:rPr>
          <w:rFonts w:ascii="Arial" w:hAnsi="Arial" w:cs="Arial"/>
        </w:rPr>
        <w:lastRenderedPageBreak/>
        <w:t>promover la armonización de datos crítica para permitir la agregación de datos y la transparencia del riesgo sistémico. Sin embargo, la adopción desigual del CDE y otros estándares de información en las jurisdicciones obstaculizará el logro de los objetivos de mitigación de riesgos del G20 y creará cargas de implementación complejas para los participantes del mercado.</w:t>
      </w:r>
    </w:p>
    <w:p w:rsidR="007E65B3" w:rsidRDefault="007E65B3" w:rsidP="007E65B3">
      <w:pPr>
        <w:jc w:val="both"/>
        <w:rPr>
          <w:rFonts w:ascii="Arial" w:hAnsi="Arial" w:cs="Arial"/>
          <w:b/>
          <w:bCs/>
        </w:rPr>
      </w:pPr>
    </w:p>
    <w:p w:rsidR="007E65B3" w:rsidRPr="007E65B3" w:rsidRDefault="007E65B3" w:rsidP="007E65B3">
      <w:pPr>
        <w:jc w:val="both"/>
        <w:rPr>
          <w:rFonts w:ascii="Arial" w:hAnsi="Arial" w:cs="Arial"/>
        </w:rPr>
      </w:pPr>
      <w:r w:rsidRPr="007E65B3">
        <w:rPr>
          <w:rFonts w:ascii="Arial" w:hAnsi="Arial" w:cs="Arial"/>
          <w:b/>
          <w:bCs/>
        </w:rPr>
        <w:t>Un nuevo camino a seguir</w:t>
      </w:r>
    </w:p>
    <w:p w:rsidR="007E65B3" w:rsidRPr="007E65B3" w:rsidRDefault="007E65B3" w:rsidP="007E65B3">
      <w:pPr>
        <w:jc w:val="both"/>
        <w:rPr>
          <w:rFonts w:ascii="Arial" w:hAnsi="Arial" w:cs="Arial"/>
        </w:rPr>
      </w:pPr>
      <w:r w:rsidRPr="007E65B3">
        <w:rPr>
          <w:rFonts w:ascii="Arial" w:hAnsi="Arial" w:cs="Arial"/>
        </w:rPr>
        <w:t>En el documento, DTCC describe tres pasos que la industria debe tomar para mejorar en esta área y avanzar hacia los objetivos de transparencia y monitoreo de riesgos sistémicos previstos por el G20.</w:t>
      </w:r>
    </w:p>
    <w:p w:rsidR="007E65B3" w:rsidRDefault="007E65B3" w:rsidP="007E65B3">
      <w:pPr>
        <w:jc w:val="both"/>
        <w:rPr>
          <w:rFonts w:ascii="Arial" w:hAnsi="Arial" w:cs="Arial"/>
        </w:rPr>
      </w:pPr>
    </w:p>
    <w:p w:rsidR="007E65B3" w:rsidRPr="007E65B3" w:rsidRDefault="007E65B3" w:rsidP="007E65B3">
      <w:pPr>
        <w:jc w:val="both"/>
        <w:rPr>
          <w:rFonts w:ascii="Arial" w:hAnsi="Arial" w:cs="Arial"/>
        </w:rPr>
      </w:pPr>
      <w:r w:rsidRPr="007E65B3">
        <w:rPr>
          <w:rFonts w:ascii="Arial" w:hAnsi="Arial" w:cs="Arial"/>
        </w:rPr>
        <w:t>1. </w:t>
      </w:r>
      <w:r w:rsidRPr="007E65B3">
        <w:rPr>
          <w:rFonts w:ascii="Arial" w:hAnsi="Arial" w:cs="Arial"/>
          <w:b/>
          <w:bCs/>
        </w:rPr>
        <w:t>Diferencias entre jurisdicciones</w:t>
      </w:r>
      <w:r w:rsidRPr="007E65B3">
        <w:rPr>
          <w:rFonts w:ascii="Arial" w:hAnsi="Arial" w:cs="Arial"/>
        </w:rPr>
        <w:t>: la industria, los reguladores y otras partes interesadas clave deben trabajar juntos para eliminar las diferencias entre jurisdicciones en la adopción de los requisitos de informes comerciales de CDE para evitar esfuerzos continuos de re-armonización y futuras enmiendas regulatorias. Esto implicaría reducir la lista CPMI IOSCO de 110 CDE a solo los elementos más importantes que luego se pueden agregar entre jurisdicciones.</w:t>
      </w:r>
    </w:p>
    <w:p w:rsidR="007E65B3" w:rsidRDefault="007E65B3" w:rsidP="007E65B3">
      <w:pPr>
        <w:jc w:val="both"/>
        <w:rPr>
          <w:rFonts w:ascii="Arial" w:hAnsi="Arial" w:cs="Arial"/>
        </w:rPr>
      </w:pPr>
    </w:p>
    <w:p w:rsidR="007E65B3" w:rsidRPr="007E65B3" w:rsidRDefault="007E65B3" w:rsidP="007E65B3">
      <w:pPr>
        <w:jc w:val="both"/>
        <w:rPr>
          <w:rFonts w:ascii="Arial" w:hAnsi="Arial" w:cs="Arial"/>
        </w:rPr>
      </w:pPr>
      <w:r w:rsidRPr="007E65B3">
        <w:rPr>
          <w:rFonts w:ascii="Arial" w:hAnsi="Arial" w:cs="Arial"/>
        </w:rPr>
        <w:t>2. </w:t>
      </w:r>
      <w:r w:rsidRPr="007E65B3">
        <w:rPr>
          <w:rFonts w:ascii="Arial" w:hAnsi="Arial" w:cs="Arial"/>
          <w:b/>
          <w:bCs/>
        </w:rPr>
        <w:t>ISO 20022</w:t>
      </w:r>
      <w:r w:rsidRPr="007E65B3">
        <w:rPr>
          <w:rFonts w:ascii="Arial" w:hAnsi="Arial" w:cs="Arial"/>
        </w:rPr>
        <w:t> : Con la ayuda del grupo de trabajo </w:t>
      </w:r>
      <w:proofErr w:type="spellStart"/>
      <w:r w:rsidRPr="007E65B3">
        <w:rPr>
          <w:rFonts w:ascii="Arial" w:hAnsi="Arial" w:cs="Arial"/>
        </w:rPr>
        <w:fldChar w:fldCharType="begin"/>
      </w:r>
      <w:r w:rsidRPr="007E65B3">
        <w:rPr>
          <w:rFonts w:ascii="Arial" w:hAnsi="Arial" w:cs="Arial"/>
        </w:rPr>
        <w:instrText xml:space="preserve"> HYPERLINK "https://www.iso20022.org/securities-seg-and-derivatives-subseg" </w:instrText>
      </w:r>
      <w:r w:rsidRPr="007E65B3">
        <w:rPr>
          <w:rFonts w:ascii="Arial" w:hAnsi="Arial" w:cs="Arial"/>
        </w:rPr>
        <w:fldChar w:fldCharType="separate"/>
      </w:r>
      <w:r w:rsidRPr="007E65B3">
        <w:rPr>
          <w:rStyle w:val="Hipervnculo"/>
          <w:rFonts w:ascii="Arial" w:hAnsi="Arial" w:cs="Arial"/>
        </w:rPr>
        <w:t>SubSEG</w:t>
      </w:r>
      <w:proofErr w:type="spellEnd"/>
      <w:r w:rsidRPr="007E65B3">
        <w:rPr>
          <w:rStyle w:val="Hipervnculo"/>
          <w:rFonts w:ascii="Arial" w:hAnsi="Arial" w:cs="Arial"/>
        </w:rPr>
        <w:t xml:space="preserve"> de derivados</w:t>
      </w:r>
      <w:r w:rsidRPr="007E65B3">
        <w:rPr>
          <w:rFonts w:ascii="Arial" w:hAnsi="Arial" w:cs="Arial"/>
        </w:rPr>
        <w:fldChar w:fldCharType="end"/>
      </w:r>
      <w:r w:rsidRPr="007E65B3">
        <w:rPr>
          <w:rFonts w:ascii="Arial" w:hAnsi="Arial" w:cs="Arial"/>
        </w:rPr>
        <w:t> de </w:t>
      </w:r>
      <w:hyperlink r:id="rId5" w:history="1">
        <w:r w:rsidRPr="007E65B3">
          <w:rPr>
            <w:rStyle w:val="Hipervnculo"/>
            <w:rFonts w:ascii="Arial" w:hAnsi="Arial" w:cs="Arial"/>
          </w:rPr>
          <w:t>ISO 20022</w:t>
        </w:r>
      </w:hyperlink>
      <w:r w:rsidRPr="007E65B3">
        <w:rPr>
          <w:rFonts w:ascii="Arial" w:hAnsi="Arial" w:cs="Arial"/>
        </w:rPr>
        <w:t> , la industria debe finalizar el esquema de mensajes CDE de ISO 20022 para derivados OTC, establecer un calendario definitivo para su finalización y adoptar universalmente un único mensaje de ISO 20022 como estándar común de datos y formato para informar a los registros de operaciones. Un estándar de mensajería común ayudaría a impulsar la coherencia de los datos en los repositorios comerciales y jurisdicciones.</w:t>
      </w:r>
    </w:p>
    <w:p w:rsidR="007E65B3" w:rsidRDefault="007E65B3" w:rsidP="007E65B3">
      <w:pPr>
        <w:jc w:val="both"/>
        <w:rPr>
          <w:rFonts w:ascii="Arial" w:hAnsi="Arial" w:cs="Arial"/>
        </w:rPr>
      </w:pPr>
    </w:p>
    <w:p w:rsidR="007E65B3" w:rsidRPr="007E65B3" w:rsidRDefault="007E65B3" w:rsidP="007E65B3">
      <w:pPr>
        <w:jc w:val="both"/>
        <w:rPr>
          <w:rFonts w:ascii="Arial" w:hAnsi="Arial" w:cs="Arial"/>
        </w:rPr>
      </w:pPr>
      <w:r w:rsidRPr="007E65B3">
        <w:rPr>
          <w:rFonts w:ascii="Arial" w:hAnsi="Arial" w:cs="Arial"/>
        </w:rPr>
        <w:t>3. </w:t>
      </w:r>
      <w:r w:rsidRPr="007E65B3">
        <w:rPr>
          <w:rFonts w:ascii="Arial" w:hAnsi="Arial" w:cs="Arial"/>
          <w:b/>
          <w:bCs/>
        </w:rPr>
        <w:t xml:space="preserve">LEI </w:t>
      </w:r>
      <w:proofErr w:type="gramStart"/>
      <w:r w:rsidRPr="007E65B3">
        <w:rPr>
          <w:rFonts w:ascii="Arial" w:hAnsi="Arial" w:cs="Arial"/>
          <w:b/>
          <w:bCs/>
        </w:rPr>
        <w:t>ROC</w:t>
      </w:r>
      <w:r w:rsidRPr="007E65B3">
        <w:rPr>
          <w:rFonts w:ascii="Arial" w:hAnsi="Arial" w:cs="Arial"/>
        </w:rPr>
        <w:t> :</w:t>
      </w:r>
      <w:proofErr w:type="gramEnd"/>
      <w:r w:rsidRPr="007E65B3">
        <w:rPr>
          <w:rFonts w:ascii="Arial" w:hAnsi="Arial" w:cs="Arial"/>
        </w:rPr>
        <w:t xml:space="preserve"> La industria debe proporcionar al LEI ROC los recursos adecuados para que pueda servir con éxito como el organismo de gobierno central para CDE, identificadores universales de productos (UPI) e identificadores universales de transacciones (UTI), según lo designado por el Departamento de Estabilidad Financiera. </w:t>
      </w:r>
      <w:proofErr w:type="spellStart"/>
      <w:r w:rsidRPr="007E65B3">
        <w:rPr>
          <w:rFonts w:ascii="Arial" w:hAnsi="Arial" w:cs="Arial"/>
        </w:rPr>
        <w:t>Board</w:t>
      </w:r>
      <w:proofErr w:type="spellEnd"/>
      <w:r w:rsidRPr="007E65B3">
        <w:rPr>
          <w:rFonts w:ascii="Arial" w:hAnsi="Arial" w:cs="Arial"/>
        </w:rPr>
        <w:t xml:space="preserve"> (FSB) el 1 de octubre de 2020.</w:t>
      </w:r>
    </w:p>
    <w:p w:rsidR="007E65B3" w:rsidRPr="007E65B3" w:rsidRDefault="007E65B3" w:rsidP="007E65B3">
      <w:pPr>
        <w:jc w:val="both"/>
        <w:rPr>
          <w:rFonts w:ascii="Arial" w:hAnsi="Arial" w:cs="Arial"/>
        </w:rPr>
      </w:pPr>
      <w:proofErr w:type="spellStart"/>
      <w:r w:rsidRPr="007E65B3">
        <w:rPr>
          <w:rFonts w:ascii="Arial" w:hAnsi="Arial" w:cs="Arial"/>
        </w:rPr>
        <w:t>Childs</w:t>
      </w:r>
      <w:proofErr w:type="spellEnd"/>
      <w:r w:rsidRPr="007E65B3">
        <w:rPr>
          <w:rFonts w:ascii="Arial" w:hAnsi="Arial" w:cs="Arial"/>
        </w:rPr>
        <w:t xml:space="preserve"> concluyó: “Es de vital importancia que nos embarquemos en estos esfuerzos ahora y capitalicemos este momento único para mejorar la mitigación del riesgo sistémico antes de que los participantes del mercado comiencen su próxima ronda de actualizaciones para cumplir con las últimas revisiones de las reglas, algunas de las cuales están proyectadas para su implementación. </w:t>
      </w:r>
      <w:proofErr w:type="gramStart"/>
      <w:r w:rsidRPr="007E65B3">
        <w:rPr>
          <w:rFonts w:ascii="Arial" w:hAnsi="Arial" w:cs="Arial"/>
        </w:rPr>
        <w:t>en</w:t>
      </w:r>
      <w:proofErr w:type="gramEnd"/>
      <w:r w:rsidRPr="007E65B3">
        <w:rPr>
          <w:rFonts w:ascii="Arial" w:hAnsi="Arial" w:cs="Arial"/>
        </w:rPr>
        <w:t xml:space="preserve"> 2022 ".</w:t>
      </w:r>
    </w:p>
    <w:p w:rsidR="007E65B3" w:rsidRDefault="007E65B3" w:rsidP="007E65B3">
      <w:pPr>
        <w:jc w:val="both"/>
        <w:rPr>
          <w:rFonts w:ascii="Arial" w:hAnsi="Arial" w:cs="Arial"/>
          <w:b/>
          <w:bCs/>
        </w:rPr>
      </w:pPr>
    </w:p>
    <w:p w:rsidR="007E65B3" w:rsidRPr="007E65B3" w:rsidRDefault="007E65B3" w:rsidP="007E65B3">
      <w:pPr>
        <w:jc w:val="both"/>
        <w:rPr>
          <w:rFonts w:ascii="Arial" w:hAnsi="Arial" w:cs="Arial"/>
        </w:rPr>
      </w:pPr>
      <w:r w:rsidRPr="007E65B3">
        <w:rPr>
          <w:rFonts w:ascii="Arial" w:hAnsi="Arial" w:cs="Arial"/>
          <w:b/>
          <w:bCs/>
        </w:rPr>
        <w:t>Sobre DTCC</w:t>
      </w:r>
    </w:p>
    <w:p w:rsidR="007E65B3" w:rsidRPr="007E65B3" w:rsidRDefault="007E65B3" w:rsidP="007E65B3">
      <w:pPr>
        <w:jc w:val="both"/>
        <w:rPr>
          <w:rFonts w:ascii="Arial" w:hAnsi="Arial" w:cs="Arial"/>
        </w:rPr>
      </w:pPr>
      <w:r w:rsidRPr="007E65B3">
        <w:rPr>
          <w:rFonts w:ascii="Arial" w:hAnsi="Arial" w:cs="Arial"/>
        </w:rPr>
        <w:t xml:space="preserve">Con más de 45 años de experiencia, DTCC es la principal infraestructura de mercado posterior a la negociación para la industria global de servicios financieros. Desde instalaciones operativas, centros de datos y oficinas en 15 países, DTCC, a través de sus </w:t>
      </w:r>
      <w:r w:rsidRPr="007E65B3">
        <w:rPr>
          <w:rFonts w:ascii="Arial" w:hAnsi="Arial" w:cs="Arial"/>
        </w:rPr>
        <w:lastRenderedPageBreak/>
        <w:t xml:space="preserve">subsidiarias, automatiza, centraliza y estandariza el procesamiento de transacciones financieras, mitigando el riesgo, aumentando la transparencia e impulsando la eficiencia para miles de corredores / agentes, bancos custodios y administradores de activos. La empresa, de propiedad y gobierno de la industria, simplifica las complejidades de la compensación, la liquidación, el servicio de activos, la gestión de datos, la presentación de informes de datos y los servicios de información en todas las clases de activos, lo que brinda mayor seguridad y solidez a los mercados financieros. En 2019, las subsidiarias de DTCC procesaron transacciones de valores valoradas en más de 2,15 billones de dólares estadounidenses. Su depositario ofrece servicios de custodia y activos para emisiones de valores de 170 países y territorios valorados en 63,0 billones de dólares. El servicio Global </w:t>
      </w:r>
      <w:proofErr w:type="spellStart"/>
      <w:r w:rsidRPr="007E65B3">
        <w:rPr>
          <w:rFonts w:ascii="Arial" w:hAnsi="Arial" w:cs="Arial"/>
        </w:rPr>
        <w:t>Trade</w:t>
      </w:r>
      <w:proofErr w:type="spellEnd"/>
      <w:r w:rsidRPr="007E65B3">
        <w:rPr>
          <w:rFonts w:ascii="Arial" w:hAnsi="Arial" w:cs="Arial"/>
        </w:rPr>
        <w:t xml:space="preserve"> </w:t>
      </w:r>
      <w:proofErr w:type="spellStart"/>
      <w:r w:rsidRPr="007E65B3">
        <w:rPr>
          <w:rFonts w:ascii="Arial" w:hAnsi="Arial" w:cs="Arial"/>
        </w:rPr>
        <w:t>Repository</w:t>
      </w:r>
      <w:proofErr w:type="spellEnd"/>
      <w:r w:rsidRPr="007E65B3">
        <w:rPr>
          <w:rFonts w:ascii="Arial" w:hAnsi="Arial" w:cs="Arial"/>
        </w:rPr>
        <w:t xml:space="preserve"> de DTCC, a través de repositorios comerciales registrados, autorizados o aprobados localmente, procesa más de 14 mil millones de mensajes al año. Para obtener más información, visítenos en</w:t>
      </w:r>
      <w:hyperlink r:id="rId6" w:history="1">
        <w:r w:rsidRPr="007E65B3">
          <w:rPr>
            <w:rStyle w:val="Hipervnculo"/>
            <w:rFonts w:ascii="Arial" w:hAnsi="Arial" w:cs="Arial"/>
          </w:rPr>
          <w:t>www.dtcc.com</w:t>
        </w:r>
      </w:hyperlink>
      <w:r w:rsidRPr="007E65B3">
        <w:rPr>
          <w:rFonts w:ascii="Arial" w:hAnsi="Arial" w:cs="Arial"/>
        </w:rPr>
        <w:t> o conéctese con nosotros en </w:t>
      </w:r>
      <w:hyperlink r:id="rId7" w:history="1">
        <w:r w:rsidRPr="007E65B3">
          <w:rPr>
            <w:rStyle w:val="Hipervnculo"/>
            <w:rFonts w:ascii="Arial" w:hAnsi="Arial" w:cs="Arial"/>
          </w:rPr>
          <w:t>LinkedIn</w:t>
        </w:r>
      </w:hyperlink>
      <w:r w:rsidRPr="007E65B3">
        <w:rPr>
          <w:rFonts w:ascii="Arial" w:hAnsi="Arial" w:cs="Arial"/>
        </w:rPr>
        <w:t> , </w:t>
      </w:r>
      <w:hyperlink r:id="rId8" w:history="1">
        <w:r w:rsidRPr="007E65B3">
          <w:rPr>
            <w:rStyle w:val="Hipervnculo"/>
            <w:rFonts w:ascii="Arial" w:hAnsi="Arial" w:cs="Arial"/>
          </w:rPr>
          <w:t>Twitter</w:t>
        </w:r>
      </w:hyperlink>
      <w:r w:rsidRPr="007E65B3">
        <w:rPr>
          <w:rFonts w:ascii="Arial" w:hAnsi="Arial" w:cs="Arial"/>
        </w:rPr>
        <w:t> , </w:t>
      </w:r>
      <w:hyperlink r:id="rId9" w:history="1">
        <w:r w:rsidRPr="007E65B3">
          <w:rPr>
            <w:rStyle w:val="Hipervnculo"/>
            <w:rFonts w:ascii="Arial" w:hAnsi="Arial" w:cs="Arial"/>
          </w:rPr>
          <w:t>YouTube</w:t>
        </w:r>
      </w:hyperlink>
      <w:r w:rsidRPr="007E65B3">
        <w:rPr>
          <w:rFonts w:ascii="Arial" w:hAnsi="Arial" w:cs="Arial"/>
        </w:rPr>
        <w:t> y </w:t>
      </w:r>
      <w:hyperlink r:id="rId10" w:history="1">
        <w:r w:rsidRPr="007E65B3">
          <w:rPr>
            <w:rStyle w:val="Hipervnculo"/>
            <w:rFonts w:ascii="Arial" w:hAnsi="Arial" w:cs="Arial"/>
          </w:rPr>
          <w:t>Facebook</w:t>
        </w:r>
      </w:hyperlink>
      <w:r w:rsidRPr="007E65B3">
        <w:rPr>
          <w:rFonts w:ascii="Arial" w:hAnsi="Arial" w:cs="Arial"/>
        </w:rPr>
        <w:t> .</w:t>
      </w:r>
    </w:p>
    <w:p w:rsidR="007E65B3" w:rsidRPr="007E65B3" w:rsidRDefault="007E65B3" w:rsidP="007E65B3">
      <w:pPr>
        <w:jc w:val="both"/>
        <w:rPr>
          <w:rFonts w:ascii="Arial" w:hAnsi="Arial" w:cs="Arial"/>
        </w:rPr>
      </w:pPr>
    </w:p>
    <w:p w:rsidR="007E65B3" w:rsidRPr="007E65B3" w:rsidRDefault="007E65B3" w:rsidP="007E65B3">
      <w:pPr>
        <w:jc w:val="both"/>
        <w:rPr>
          <w:rFonts w:ascii="Arial" w:hAnsi="Arial" w:cs="Arial"/>
        </w:rPr>
      </w:pPr>
    </w:p>
    <w:sectPr w:rsidR="007E65B3" w:rsidRPr="007E65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B3"/>
    <w:rsid w:val="000F4B68"/>
    <w:rsid w:val="001739B4"/>
    <w:rsid w:val="003B63A5"/>
    <w:rsid w:val="007E65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79F81-0518-4AA7-89B2-F240BEF1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65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7996">
      <w:bodyDiv w:val="1"/>
      <w:marLeft w:val="0"/>
      <w:marRight w:val="0"/>
      <w:marTop w:val="0"/>
      <w:marBottom w:val="0"/>
      <w:divBdr>
        <w:top w:val="none" w:sz="0" w:space="0" w:color="auto"/>
        <w:left w:val="none" w:sz="0" w:space="0" w:color="auto"/>
        <w:bottom w:val="none" w:sz="0" w:space="0" w:color="auto"/>
        <w:right w:val="none" w:sz="0" w:space="0" w:color="auto"/>
      </w:divBdr>
    </w:div>
    <w:div w:id="414209940">
      <w:bodyDiv w:val="1"/>
      <w:marLeft w:val="0"/>
      <w:marRight w:val="0"/>
      <w:marTop w:val="0"/>
      <w:marBottom w:val="0"/>
      <w:divBdr>
        <w:top w:val="none" w:sz="0" w:space="0" w:color="auto"/>
        <w:left w:val="none" w:sz="0" w:space="0" w:color="auto"/>
        <w:bottom w:val="none" w:sz="0" w:space="0" w:color="auto"/>
        <w:right w:val="none" w:sz="0" w:space="0" w:color="auto"/>
      </w:divBdr>
    </w:div>
    <w:div w:id="1051149299">
      <w:bodyDiv w:val="1"/>
      <w:marLeft w:val="0"/>
      <w:marRight w:val="0"/>
      <w:marTop w:val="0"/>
      <w:marBottom w:val="0"/>
      <w:divBdr>
        <w:top w:val="none" w:sz="0" w:space="0" w:color="auto"/>
        <w:left w:val="none" w:sz="0" w:space="0" w:color="auto"/>
        <w:bottom w:val="none" w:sz="0" w:space="0" w:color="auto"/>
        <w:right w:val="none" w:sz="0" w:space="0" w:color="auto"/>
      </w:divBdr>
    </w:div>
    <w:div w:id="1220870475">
      <w:bodyDiv w:val="1"/>
      <w:marLeft w:val="0"/>
      <w:marRight w:val="0"/>
      <w:marTop w:val="0"/>
      <w:marBottom w:val="0"/>
      <w:divBdr>
        <w:top w:val="none" w:sz="0" w:space="0" w:color="auto"/>
        <w:left w:val="none" w:sz="0" w:space="0" w:color="auto"/>
        <w:bottom w:val="none" w:sz="0" w:space="0" w:color="auto"/>
        <w:right w:val="none" w:sz="0" w:space="0" w:color="auto"/>
      </w:divBdr>
    </w:div>
    <w:div w:id="1886599984">
      <w:bodyDiv w:val="1"/>
      <w:marLeft w:val="0"/>
      <w:marRight w:val="0"/>
      <w:marTop w:val="0"/>
      <w:marBottom w:val="0"/>
      <w:divBdr>
        <w:top w:val="none" w:sz="0" w:space="0" w:color="auto"/>
        <w:left w:val="none" w:sz="0" w:space="0" w:color="auto"/>
        <w:bottom w:val="none" w:sz="0" w:space="0" w:color="auto"/>
        <w:right w:val="none" w:sz="0" w:space="0" w:color="auto"/>
      </w:divBdr>
    </w:div>
    <w:div w:id="21155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he_dtcc" TargetMode="External"/><Relationship Id="rId3" Type="http://schemas.openxmlformats.org/officeDocument/2006/relationships/webSettings" Target="webSettings.xml"/><Relationship Id="rId7" Type="http://schemas.openxmlformats.org/officeDocument/2006/relationships/hyperlink" Target="http://www.linkedin.com/company/dtc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tcc.com/" TargetMode="External"/><Relationship Id="rId11" Type="http://schemas.openxmlformats.org/officeDocument/2006/relationships/fontTable" Target="fontTable.xml"/><Relationship Id="rId5" Type="http://schemas.openxmlformats.org/officeDocument/2006/relationships/hyperlink" Target="https://www.iso20022.org/securities-seg-and-derivatives-subseg" TargetMode="External"/><Relationship Id="rId10" Type="http://schemas.openxmlformats.org/officeDocument/2006/relationships/hyperlink" Target="https://www.facebook.com/thedtcc" TargetMode="External"/><Relationship Id="rId4" Type="http://schemas.openxmlformats.org/officeDocument/2006/relationships/hyperlink" Target="https://perspectives.dtcc.com/articles/advancing-global-data-harmonization-in-derivatives-trade-reporting" TargetMode="External"/><Relationship Id="rId9" Type="http://schemas.openxmlformats.org/officeDocument/2006/relationships/hyperlink" Target="https://www.youtube.com/c/TheDTCC197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1101</Words>
  <Characters>6061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2021-09-08T05:28:00Z</dcterms:created>
  <dcterms:modified xsi:type="dcterms:W3CDTF">2021-09-08T05:35:00Z</dcterms:modified>
</cp:coreProperties>
</file>