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EC" w:rsidRPr="00FC33EC" w:rsidRDefault="00FC33EC" w:rsidP="00FC33EC">
      <w:pPr>
        <w:jc w:val="both"/>
        <w:rPr>
          <w:rFonts w:ascii="Arial" w:hAnsi="Arial" w:cs="Arial"/>
          <w:b/>
        </w:rPr>
      </w:pPr>
      <w:bookmarkStart w:id="0" w:name="_GoBack"/>
      <w:r w:rsidRPr="00FC33EC">
        <w:rPr>
          <w:rFonts w:ascii="Arial" w:hAnsi="Arial" w:cs="Arial"/>
          <w:b/>
        </w:rPr>
        <w:t>Declaración sobre la importancia de la información financiera de alta calidad a la luz de los impactos significativos de COVID-19</w:t>
      </w:r>
    </w:p>
    <w:bookmarkEnd w:id="0"/>
    <w:p w:rsidR="00FC33EC" w:rsidRPr="00FC33EC" w:rsidRDefault="00FC33EC" w:rsidP="00FC33EC">
      <w:pPr>
        <w:jc w:val="both"/>
        <w:rPr>
          <w:rStyle w:val="Hipervnculo"/>
          <w:rFonts w:ascii="Arial" w:hAnsi="Arial" w:cs="Arial"/>
        </w:rPr>
      </w:pPr>
      <w:r w:rsidRPr="00FC33EC">
        <w:rPr>
          <w:rFonts w:ascii="Arial" w:hAnsi="Arial" w:cs="Arial"/>
          <w:b/>
          <w:bCs/>
        </w:rPr>
        <w:fldChar w:fldCharType="begin"/>
      </w:r>
      <w:r w:rsidRPr="00FC33EC">
        <w:rPr>
          <w:rFonts w:ascii="Arial" w:hAnsi="Arial" w:cs="Arial"/>
          <w:b/>
          <w:bCs/>
        </w:rPr>
        <w:instrText xml:space="preserve"> HYPERLINK "https://www.sec.gov/biography/sagar-teotia" </w:instrText>
      </w:r>
      <w:r w:rsidRPr="00FC33EC">
        <w:rPr>
          <w:rFonts w:ascii="Arial" w:hAnsi="Arial" w:cs="Arial"/>
          <w:b/>
          <w:bCs/>
        </w:rPr>
        <w:fldChar w:fldCharType="separate"/>
      </w:r>
    </w:p>
    <w:p w:rsidR="00FC33EC" w:rsidRPr="00FC33EC" w:rsidRDefault="00FC33EC" w:rsidP="00FC33EC">
      <w:pPr>
        <w:jc w:val="both"/>
        <w:rPr>
          <w:rStyle w:val="Hipervnculo"/>
          <w:rFonts w:ascii="Arial" w:hAnsi="Arial" w:cs="Arial"/>
        </w:rPr>
      </w:pPr>
      <w:r w:rsidRPr="00FC33EC">
        <w:rPr>
          <w:rStyle w:val="Hipervnculo"/>
          <w:rFonts w:ascii="Arial" w:hAnsi="Arial" w:cs="Arial"/>
          <w:b/>
          <w:bCs/>
        </w:rPr>
        <w:drawing>
          <wp:inline distT="0" distB="0" distL="0" distR="0">
            <wp:extent cx="723900" cy="952500"/>
            <wp:effectExtent l="0" t="0" r="0" b="0"/>
            <wp:docPr id="1" name="Imagen 1" descr="Sagar Teot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ar Teot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rsidR="00FC33EC" w:rsidRDefault="00FC33EC" w:rsidP="00FC33EC">
      <w:pPr>
        <w:jc w:val="both"/>
        <w:rPr>
          <w:rStyle w:val="Hipervnculo"/>
          <w:rFonts w:ascii="Arial" w:hAnsi="Arial" w:cs="Arial"/>
          <w:b/>
          <w:bCs/>
        </w:rPr>
      </w:pPr>
      <w:proofErr w:type="spellStart"/>
      <w:r w:rsidRPr="00FC33EC">
        <w:rPr>
          <w:rStyle w:val="Hipervnculo"/>
          <w:rFonts w:ascii="Arial" w:hAnsi="Arial" w:cs="Arial"/>
          <w:b/>
          <w:bCs/>
        </w:rPr>
        <w:t>Sagar</w:t>
      </w:r>
      <w:proofErr w:type="spellEnd"/>
      <w:r w:rsidRPr="00FC33EC">
        <w:rPr>
          <w:rStyle w:val="Hipervnculo"/>
          <w:rFonts w:ascii="Arial" w:hAnsi="Arial" w:cs="Arial"/>
          <w:b/>
          <w:bCs/>
        </w:rPr>
        <w:t xml:space="preserve"> </w:t>
      </w:r>
      <w:proofErr w:type="spellStart"/>
      <w:r w:rsidRPr="00FC33EC">
        <w:rPr>
          <w:rStyle w:val="Hipervnculo"/>
          <w:rFonts w:ascii="Arial" w:hAnsi="Arial" w:cs="Arial"/>
          <w:b/>
          <w:bCs/>
        </w:rPr>
        <w:t>Teotia</w:t>
      </w:r>
      <w:proofErr w:type="spellEnd"/>
      <w:r>
        <w:rPr>
          <w:rStyle w:val="Hipervnculo"/>
          <w:rFonts w:ascii="Arial" w:hAnsi="Arial" w:cs="Arial"/>
          <w:b/>
          <w:bCs/>
        </w:rPr>
        <w:t>.</w:t>
      </w:r>
    </w:p>
    <w:p w:rsidR="00FC33EC" w:rsidRPr="00FC33EC" w:rsidRDefault="00FC33EC" w:rsidP="00FC33EC">
      <w:pPr>
        <w:jc w:val="both"/>
        <w:rPr>
          <w:rStyle w:val="Hipervnculo"/>
          <w:rFonts w:ascii="Arial" w:hAnsi="Arial" w:cs="Arial"/>
          <w:b/>
          <w:bCs/>
        </w:rPr>
      </w:pPr>
      <w:r w:rsidRPr="00FC33EC">
        <w:rPr>
          <w:rStyle w:val="Hipervnculo"/>
          <w:rFonts w:ascii="Arial" w:hAnsi="Arial" w:cs="Arial"/>
          <w:b/>
          <w:bCs/>
          <w:i/>
          <w:iCs/>
        </w:rPr>
        <w:t>Contador jefe</w:t>
      </w:r>
    </w:p>
    <w:p w:rsidR="00FC33EC" w:rsidRPr="00FC33EC" w:rsidRDefault="00FC33EC" w:rsidP="00FC33EC">
      <w:pPr>
        <w:jc w:val="both"/>
        <w:rPr>
          <w:rFonts w:ascii="Arial" w:hAnsi="Arial" w:cs="Arial"/>
          <w:b/>
          <w:bCs/>
        </w:rPr>
      </w:pPr>
      <w:r w:rsidRPr="00FC33EC">
        <w:rPr>
          <w:rFonts w:ascii="Arial" w:hAnsi="Arial" w:cs="Arial"/>
        </w:rPr>
        <w:fldChar w:fldCharType="end"/>
      </w:r>
    </w:p>
    <w:p w:rsidR="00FC33EC" w:rsidRPr="00FC33EC" w:rsidRDefault="00FC33EC" w:rsidP="00FC33EC">
      <w:pPr>
        <w:jc w:val="both"/>
        <w:rPr>
          <w:rFonts w:ascii="Arial" w:hAnsi="Arial" w:cs="Arial"/>
          <w:bCs/>
        </w:rPr>
      </w:pPr>
      <w:r w:rsidRPr="00FC33EC">
        <w:rPr>
          <w:rFonts w:ascii="Arial" w:hAnsi="Arial" w:cs="Arial"/>
          <w:bCs/>
        </w:rPr>
        <w:t>3 de abril de 2020</w:t>
      </w:r>
    </w:p>
    <w:p w:rsidR="00FC33EC" w:rsidRDefault="00FC33EC" w:rsidP="00FC33EC">
      <w:pPr>
        <w:jc w:val="both"/>
        <w:rPr>
          <w:rFonts w:ascii="Arial" w:hAnsi="Arial" w:cs="Arial"/>
          <w:b/>
          <w:bCs/>
        </w:rPr>
      </w:pPr>
    </w:p>
    <w:p w:rsidR="00FC33EC" w:rsidRPr="00FC33EC" w:rsidRDefault="00FC33EC" w:rsidP="00FC33EC">
      <w:pPr>
        <w:jc w:val="both"/>
        <w:rPr>
          <w:rFonts w:ascii="Arial" w:hAnsi="Arial" w:cs="Arial"/>
          <w:b/>
          <w:bCs/>
        </w:rPr>
      </w:pPr>
      <w:r w:rsidRPr="00FC33EC">
        <w:rPr>
          <w:rFonts w:ascii="Arial" w:hAnsi="Arial" w:cs="Arial"/>
          <w:b/>
          <w:bCs/>
        </w:rPr>
        <w:t>Introducción </w:t>
      </w:r>
      <w:bookmarkStart w:id="1" w:name="_ednref1"/>
      <w:r w:rsidRPr="00FC33EC">
        <w:rPr>
          <w:rFonts w:ascii="Arial" w:hAnsi="Arial" w:cs="Arial"/>
          <w:b/>
          <w:bCs/>
        </w:rPr>
        <w:fldChar w:fldCharType="begin"/>
      </w:r>
      <w:r w:rsidRPr="00FC33EC">
        <w:rPr>
          <w:rFonts w:ascii="Arial" w:hAnsi="Arial" w:cs="Arial"/>
          <w:b/>
          <w:bCs/>
        </w:rPr>
        <w:instrText xml:space="preserve"> HYPERLINK "https://www.sec.gov/news/public-statement/statement-teotia-financial-reporting-covid-19-2020-04-03" \l "_edn1" \o "" </w:instrText>
      </w:r>
      <w:r w:rsidRPr="00FC33EC">
        <w:rPr>
          <w:rFonts w:ascii="Arial" w:hAnsi="Arial" w:cs="Arial"/>
          <w:b/>
          <w:bCs/>
        </w:rPr>
        <w:fldChar w:fldCharType="separate"/>
      </w:r>
      <w:r w:rsidRPr="00FC33EC">
        <w:rPr>
          <w:rStyle w:val="Hipervnculo"/>
          <w:rFonts w:ascii="Arial" w:hAnsi="Arial" w:cs="Arial"/>
          <w:b/>
          <w:bCs/>
        </w:rPr>
        <w:t>[1]</w:t>
      </w:r>
      <w:r w:rsidRPr="00FC33EC">
        <w:rPr>
          <w:rFonts w:ascii="Arial" w:hAnsi="Arial" w:cs="Arial"/>
        </w:rPr>
        <w:fldChar w:fldCharType="end"/>
      </w:r>
      <w:bookmarkEnd w:id="1"/>
    </w:p>
    <w:p w:rsidR="00FC33EC" w:rsidRDefault="00FC33EC" w:rsidP="00FC33EC">
      <w:pPr>
        <w:jc w:val="both"/>
        <w:rPr>
          <w:rFonts w:ascii="Arial" w:hAnsi="Arial" w:cs="Arial"/>
        </w:rPr>
      </w:pPr>
      <w:r w:rsidRPr="00FC33EC">
        <w:rPr>
          <w:rFonts w:ascii="Arial" w:hAnsi="Arial" w:cs="Arial"/>
        </w:rPr>
        <w:t>La Oficina del Contador Jefe (OCA), junto con la Comisión y otras Divisiones y Oficinas de la SEC, está monitoreando de cerca el impacto de los problemas planteados por la enfermedad del coronavirus 2019 (COVID-19) en los inversores y los mercados de capital globales. </w:t>
      </w:r>
      <w:bookmarkStart w:id="2" w:name="_ednref2"/>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"_edn2" \o "" </w:instrText>
      </w:r>
      <w:r w:rsidRPr="00FC33EC">
        <w:rPr>
          <w:rFonts w:ascii="Arial" w:hAnsi="Arial" w:cs="Arial"/>
        </w:rPr>
        <w:fldChar w:fldCharType="separate"/>
      </w:r>
      <w:r w:rsidRPr="00FC33EC">
        <w:rPr>
          <w:rStyle w:val="Hipervnculo"/>
          <w:rFonts w:ascii="Arial" w:hAnsi="Arial" w:cs="Arial"/>
        </w:rPr>
        <w:t>[2]</w:t>
      </w:r>
      <w:r w:rsidRPr="00FC33EC">
        <w:rPr>
          <w:rFonts w:ascii="Arial" w:hAnsi="Arial" w:cs="Arial"/>
        </w:rPr>
        <w:fldChar w:fldCharType="end"/>
      </w:r>
      <w:bookmarkEnd w:id="2"/>
      <w:r w:rsidRPr="00FC33EC">
        <w:rPr>
          <w:rFonts w:ascii="Arial" w:hAnsi="Arial" w:cs="Arial"/>
        </w:rPr>
        <w:t>  Como dijo el presidente Clayton en su reciente declaración, nos enfrentamos a un desafío nacional sin precedentes, un desafío que tiene implicaciones significativas para los informes financieros, nuestros mercados y nuestra economía en general. </w:t>
      </w:r>
      <w:bookmarkStart w:id="3" w:name="_ednref3"/>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"_edn3" \o "" </w:instrText>
      </w:r>
      <w:r w:rsidRPr="00FC33EC">
        <w:rPr>
          <w:rFonts w:ascii="Arial" w:hAnsi="Arial" w:cs="Arial"/>
        </w:rPr>
        <w:fldChar w:fldCharType="separate"/>
      </w:r>
      <w:r w:rsidRPr="00FC33EC">
        <w:rPr>
          <w:rStyle w:val="Hipervnculo"/>
          <w:rFonts w:ascii="Arial" w:hAnsi="Arial" w:cs="Arial"/>
        </w:rPr>
        <w:t>[3]</w:t>
      </w:r>
      <w:r w:rsidRPr="00FC33EC">
        <w:rPr>
          <w:rFonts w:ascii="Arial" w:hAnsi="Arial" w:cs="Arial"/>
        </w:rPr>
        <w:fldChar w:fldCharType="end"/>
      </w:r>
      <w:bookmarkEnd w:id="3"/>
    </w:p>
    <w:p w:rsidR="00FC33EC" w:rsidRPr="00FC33EC" w:rsidRDefault="00FC33EC" w:rsidP="00FC33EC">
      <w:pPr>
        <w:jc w:val="both"/>
        <w:rPr>
          <w:rFonts w:ascii="Arial" w:hAnsi="Arial" w:cs="Arial"/>
        </w:rPr>
      </w:pPr>
      <w:r>
        <w:rPr>
          <w:rFonts w:ascii="Arial" w:hAnsi="Arial" w:cs="Arial"/>
        </w:rPr>
        <w:t xml:space="preserve">Al </w:t>
      </w:r>
      <w:r w:rsidRPr="00FC33EC">
        <w:rPr>
          <w:rFonts w:ascii="Arial" w:hAnsi="Arial" w:cs="Arial"/>
        </w:rPr>
        <w:t>afrontar estos tiempos difíciles, los inversores y otras partes interesadas necesitan más que nunca información financiera de alta calidad. El funcionamiento adecuado de nuestros mercados de capitales depende de un suministro regular de información financiera de alta calidad que permita a los inversores, prestamistas y otras partes interesadas tomar decisiones informadas. Aunque los mercados y las empresas enfrentan incertidumbres, contamos con un sistema de informes financieros sólido y de larga data, que incluye modelos de contabilidad, divulgación y auditoría que nos ayudarán a abordar los desafíos recientes.  </w:t>
      </w:r>
    </w:p>
    <w:p w:rsidR="00FC33EC" w:rsidRDefault="00FC33EC" w:rsidP="00FC33EC">
      <w:pPr>
        <w:jc w:val="both"/>
        <w:rPr>
          <w:rFonts w:ascii="Arial" w:hAnsi="Arial" w:cs="Arial"/>
        </w:rPr>
      </w:pPr>
      <w:r w:rsidRPr="00FC33EC">
        <w:rPr>
          <w:rFonts w:ascii="Arial" w:hAnsi="Arial" w:cs="Arial"/>
        </w:rPr>
        <w:t>En su caso, la Comisión y el personal han estado dispuestos a ayudar a los participantes del mercado con problemas de información financiera. Por ejemplo, la Comisión emitió recientemente una orden que extiende condicionalmente el período de gracia temporal de 45 días para que los registrantes afectados por COVID-19 presenten informes de la Ley de Intercambio para incluir los informes previstos hasta el 1 de julio de 2020. </w:t>
      </w:r>
      <w:bookmarkStart w:id="4" w:name="_ednref4"/>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"_edn4" \o "" </w:instrText>
      </w:r>
      <w:r w:rsidRPr="00FC33EC">
        <w:rPr>
          <w:rFonts w:ascii="Arial" w:hAnsi="Arial" w:cs="Arial"/>
        </w:rPr>
        <w:fldChar w:fldCharType="separate"/>
      </w:r>
      <w:r w:rsidRPr="00FC33EC">
        <w:rPr>
          <w:rStyle w:val="Hipervnculo"/>
          <w:rFonts w:ascii="Arial" w:hAnsi="Arial" w:cs="Arial"/>
        </w:rPr>
        <w:t>[4]</w:t>
      </w:r>
      <w:r w:rsidRPr="00FC33EC">
        <w:rPr>
          <w:rFonts w:ascii="Arial" w:hAnsi="Arial" w:cs="Arial"/>
        </w:rPr>
        <w:fldChar w:fldCharType="end"/>
      </w:r>
      <w:bookmarkEnd w:id="4"/>
      <w:r w:rsidRPr="00FC33EC">
        <w:rPr>
          <w:rFonts w:ascii="Arial" w:hAnsi="Arial" w:cs="Arial"/>
        </w:rPr>
        <w:t>  La División de Finanzas Corporativas también proporcionó orientación para las empresas a medida que evalúan los efectos relacionados con COVID-19 y consideran sus obligaciones de divulgación. </w:t>
      </w:r>
      <w:bookmarkStart w:id="5" w:name="_ednref5"/>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"_edn5" \o "" </w:instrText>
      </w:r>
      <w:r w:rsidRPr="00FC33EC">
        <w:rPr>
          <w:rFonts w:ascii="Arial" w:hAnsi="Arial" w:cs="Arial"/>
        </w:rPr>
        <w:fldChar w:fldCharType="separate"/>
      </w:r>
      <w:r w:rsidRPr="00FC33EC">
        <w:rPr>
          <w:rStyle w:val="Hipervnculo"/>
          <w:rFonts w:ascii="Arial" w:hAnsi="Arial" w:cs="Arial"/>
        </w:rPr>
        <w:t>[5]</w:t>
      </w:r>
      <w:r w:rsidRPr="00FC33EC">
        <w:rPr>
          <w:rFonts w:ascii="Arial" w:hAnsi="Arial" w:cs="Arial"/>
        </w:rPr>
        <w:fldChar w:fldCharType="end"/>
      </w:r>
      <w:bookmarkEnd w:id="5"/>
    </w:p>
    <w:p w:rsidR="00FC33EC" w:rsidRPr="00FC33EC" w:rsidRDefault="00FC33EC" w:rsidP="00FC33EC">
      <w:pPr>
        <w:jc w:val="both"/>
        <w:rPr>
          <w:rFonts w:ascii="Arial" w:hAnsi="Arial" w:cs="Arial"/>
        </w:rPr>
      </w:pPr>
      <w:r w:rsidRPr="00FC33EC">
        <w:rPr>
          <w:rFonts w:ascii="Arial" w:hAnsi="Arial" w:cs="Arial"/>
        </w:rPr>
        <w:t>OCA</w:t>
      </w:r>
      <w:r w:rsidRPr="00FC33EC">
        <w:rPr>
          <w:rFonts w:ascii="Helvetica" w:eastAsia="Times New Roman" w:hAnsi="Helvetica" w:cs="Times New Roman"/>
          <w:color w:val="000000"/>
          <w:sz w:val="20"/>
          <w:szCs w:val="20"/>
          <w:lang w:eastAsia="es-MX"/>
        </w:rPr>
        <w:t xml:space="preserve"> </w:t>
      </w:r>
      <w:r w:rsidRPr="00FC33EC">
        <w:rPr>
          <w:rFonts w:ascii="Arial" w:hAnsi="Arial" w:cs="Arial"/>
        </w:rPr>
        <w:t>continúa enfocándose en la necesidad de los inversionistas de obtener información financiera de alta calidad, y en nuestra misión y prioridades, como se describe en nuestra </w:t>
      </w:r>
      <w:r w:rsidRPr="00FC33EC">
        <w:rPr>
          <w:rFonts w:ascii="Arial" w:hAnsi="Arial" w:cs="Arial"/>
          <w:i/>
          <w:iCs/>
        </w:rPr>
        <w:t xml:space="preserve">Declaración en relación con la Conferencia AICPA de 2019 sobre los desarrollos </w:t>
      </w:r>
      <w:r w:rsidRPr="00FC33EC">
        <w:rPr>
          <w:rFonts w:ascii="Arial" w:hAnsi="Arial" w:cs="Arial"/>
          <w:i/>
          <w:iCs/>
        </w:rPr>
        <w:lastRenderedPageBreak/>
        <w:t xml:space="preserve">actuales de la SEC y la </w:t>
      </w:r>
      <w:proofErr w:type="gramStart"/>
      <w:r w:rsidRPr="00FC33EC">
        <w:rPr>
          <w:rFonts w:ascii="Arial" w:hAnsi="Arial" w:cs="Arial"/>
          <w:i/>
          <w:iCs/>
        </w:rPr>
        <w:t>PCAOB</w:t>
      </w:r>
      <w:r w:rsidRPr="00FC33EC">
        <w:rPr>
          <w:rFonts w:ascii="Arial" w:hAnsi="Arial" w:cs="Arial"/>
        </w:rPr>
        <w:t> . </w:t>
      </w:r>
      <w:bookmarkStart w:id="6" w:name="_ednref6"/>
      <w:proofErr w:type="gramEnd"/>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"_edn6" \o "" </w:instrText>
      </w:r>
      <w:r w:rsidRPr="00FC33EC">
        <w:rPr>
          <w:rFonts w:ascii="Arial" w:hAnsi="Arial" w:cs="Arial"/>
        </w:rPr>
        <w:fldChar w:fldCharType="separate"/>
      </w:r>
      <w:r w:rsidRPr="00FC33EC">
        <w:rPr>
          <w:rStyle w:val="Hipervnculo"/>
          <w:rFonts w:ascii="Arial" w:hAnsi="Arial" w:cs="Arial"/>
        </w:rPr>
        <w:t>[6]</w:t>
      </w:r>
      <w:r w:rsidRPr="00FC33EC">
        <w:rPr>
          <w:rFonts w:ascii="Arial" w:hAnsi="Arial" w:cs="Arial"/>
        </w:rPr>
        <w:fldChar w:fldCharType="end"/>
      </w:r>
      <w:bookmarkEnd w:id="6"/>
      <w:r w:rsidRPr="00FC33EC">
        <w:rPr>
          <w:rFonts w:ascii="Arial" w:hAnsi="Arial" w:cs="Arial"/>
        </w:rPr>
        <w:t>  Es importante destacar que, para obtener información financiera de alta calidad, estamos disponibles para ayudar a empresas, auditores y otros con problemas complejos de contabilidad, informes financieros, independencia y auditoría. Estamos adoptando un enfoque proactivo y nos hemos comprometido con las partes interesadas en todo el ecosistema de informes financieros, por ejemplo, preparadores, auditores, miembros del comité de auditoría, inversores, emisores de normas y otros reguladores, en temas relacionados con los desarrollos actuales del mercado. Seguimos disponibles para consultas y alentamos a las partes interesadas a que se comuniquen con nuestra oficina con preguntas que encuentren como resultado de COVID-19. </w:t>
      </w:r>
      <w:bookmarkStart w:id="7" w:name="_ednref7"/>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"_edn7" \o "" </w:instrText>
      </w:r>
      <w:r w:rsidRPr="00FC33EC">
        <w:rPr>
          <w:rFonts w:ascii="Arial" w:hAnsi="Arial" w:cs="Arial"/>
        </w:rPr>
        <w:fldChar w:fldCharType="separate"/>
      </w:r>
      <w:r w:rsidRPr="00FC33EC">
        <w:rPr>
          <w:rStyle w:val="Hipervnculo"/>
          <w:rFonts w:ascii="Arial" w:hAnsi="Arial" w:cs="Arial"/>
        </w:rPr>
        <w:t>[7]</w:t>
      </w:r>
      <w:r w:rsidRPr="00FC33EC">
        <w:rPr>
          <w:rFonts w:ascii="Arial" w:hAnsi="Arial" w:cs="Arial"/>
        </w:rPr>
        <w:fldChar w:fldCharType="end"/>
      </w:r>
      <w:bookmarkEnd w:id="7"/>
    </w:p>
    <w:p w:rsidR="00FC33EC" w:rsidRDefault="00FC33EC" w:rsidP="00FC33EC">
      <w:pPr>
        <w:jc w:val="both"/>
        <w:rPr>
          <w:rFonts w:ascii="Arial" w:hAnsi="Arial" w:cs="Arial"/>
        </w:rPr>
      </w:pPr>
      <w:r w:rsidRPr="00FC33EC">
        <w:rPr>
          <w:rFonts w:ascii="Arial" w:hAnsi="Arial" w:cs="Arial"/>
        </w:rPr>
        <w:t>Los siguientes párrafos abordan parte del trabajo de OCA y cómo hemos estado respondiendo al COVID-19. Esperamos que nuestro trabajo en esta área continúe en el futuro previsible.</w:t>
      </w:r>
    </w:p>
    <w:p w:rsidR="00FC33EC" w:rsidRPr="00FC33EC" w:rsidRDefault="00FC33EC" w:rsidP="00FC33EC">
      <w:pPr>
        <w:jc w:val="both"/>
        <w:rPr>
          <w:rFonts w:ascii="Arial" w:hAnsi="Arial" w:cs="Arial"/>
        </w:rPr>
      </w:pPr>
    </w:p>
    <w:p w:rsidR="00FC33EC" w:rsidRPr="00FC33EC" w:rsidRDefault="00FC33EC" w:rsidP="00FC33EC">
      <w:pPr>
        <w:jc w:val="both"/>
        <w:rPr>
          <w:rFonts w:ascii="Arial" w:hAnsi="Arial" w:cs="Arial"/>
          <w:b/>
          <w:bCs/>
        </w:rPr>
      </w:pPr>
      <w:r w:rsidRPr="00FC33EC">
        <w:rPr>
          <w:rFonts w:ascii="Arial" w:hAnsi="Arial" w:cs="Arial"/>
          <w:b/>
          <w:bCs/>
        </w:rPr>
        <w:t>Contabilidad: trabajar con FASB; Juicios y estimaciones; Ley CARES</w:t>
      </w:r>
    </w:p>
    <w:p w:rsidR="00FC33EC" w:rsidRPr="00FC33EC" w:rsidRDefault="00FC33EC" w:rsidP="00FC33EC">
      <w:pPr>
        <w:jc w:val="both"/>
        <w:rPr>
          <w:rFonts w:ascii="Arial" w:hAnsi="Arial" w:cs="Arial"/>
        </w:rPr>
      </w:pPr>
      <w:r w:rsidRPr="00FC33EC">
        <w:rPr>
          <w:rFonts w:ascii="Arial" w:hAnsi="Arial" w:cs="Arial"/>
        </w:rPr>
        <w:t>OCA participa activamente con el Consejo de Normas de Contabilidad Financiera (FASB) y apoyamos sus esfuerzos hasta la fecha para abordar los impactos de COVID-19. Seguimos teniendo una relación muy sólida y de colaboración con FASB y estamos teniendo un diálogo constructivo con ellos sobre temas emergentes.</w:t>
      </w:r>
    </w:p>
    <w:p w:rsidR="00FC33EC" w:rsidRPr="00FC33EC" w:rsidRDefault="00FC33EC" w:rsidP="00FC33EC">
      <w:pPr>
        <w:jc w:val="both"/>
        <w:rPr>
          <w:rFonts w:ascii="Arial" w:hAnsi="Arial" w:cs="Arial"/>
        </w:rPr>
      </w:pPr>
      <w:r w:rsidRPr="00FC33EC">
        <w:rPr>
          <w:rFonts w:ascii="Arial" w:hAnsi="Arial" w:cs="Arial"/>
        </w:rPr>
        <w:t>Reconocemos que las implicaciones contables y de informes financieros de COVID-19 pueden requerir que las empresas hagan juicios y estimaciones importantes. Ciertos juicios y estimaciones pueden ser desafiantes en un entorno de incertidumbre. Como hemos dicho durante varios años, OCA no ha objetado consistentemente los juicios bien razonados que las entidades han hecho, y continuaremos aplicando esta perspectiva. </w:t>
      </w:r>
      <w:bookmarkStart w:id="8" w:name="_ednref8"/>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"_edn8" \o "" </w:instrText>
      </w:r>
      <w:r w:rsidRPr="00FC33EC">
        <w:rPr>
          <w:rFonts w:ascii="Arial" w:hAnsi="Arial" w:cs="Arial"/>
        </w:rPr>
        <w:fldChar w:fldCharType="separate"/>
      </w:r>
      <w:r w:rsidRPr="00FC33EC">
        <w:rPr>
          <w:rStyle w:val="Hipervnculo"/>
          <w:rFonts w:ascii="Arial" w:hAnsi="Arial" w:cs="Arial"/>
        </w:rPr>
        <w:t>[8]</w:t>
      </w:r>
      <w:r w:rsidRPr="00FC33EC">
        <w:rPr>
          <w:rFonts w:ascii="Arial" w:hAnsi="Arial" w:cs="Arial"/>
        </w:rPr>
        <w:fldChar w:fldCharType="end"/>
      </w:r>
      <w:bookmarkEnd w:id="8"/>
      <w:r w:rsidRPr="00FC33EC">
        <w:rPr>
          <w:rFonts w:ascii="Arial" w:hAnsi="Arial" w:cs="Arial"/>
        </w:rPr>
        <w:t>  </w:t>
      </w:r>
    </w:p>
    <w:p w:rsidR="00FC33EC" w:rsidRPr="00FC33EC" w:rsidRDefault="00FC33EC" w:rsidP="00FC33EC">
      <w:pPr>
        <w:jc w:val="both"/>
        <w:rPr>
          <w:rFonts w:ascii="Arial" w:hAnsi="Arial" w:cs="Arial"/>
        </w:rPr>
      </w:pPr>
      <w:r w:rsidRPr="00FC33EC">
        <w:rPr>
          <w:rFonts w:ascii="Arial" w:hAnsi="Arial" w:cs="Arial"/>
        </w:rPr>
        <w:t>Algunas de las muchas áreas contables que pueden involucrar juicios y estimaciones importantes a la luz del estado evolutivo de COVID-19 incluyen, pero no se limitan a:</w:t>
      </w:r>
    </w:p>
    <w:p w:rsidR="00FC33EC" w:rsidRPr="00FC33EC" w:rsidRDefault="00FC33EC" w:rsidP="00FC33EC">
      <w:pPr>
        <w:numPr>
          <w:ilvl w:val="0"/>
          <w:numId w:val="1"/>
        </w:numPr>
        <w:jc w:val="both"/>
        <w:rPr>
          <w:rFonts w:ascii="Arial" w:hAnsi="Arial" w:cs="Arial"/>
        </w:rPr>
      </w:pPr>
      <w:r w:rsidRPr="00FC33EC">
        <w:rPr>
          <w:rFonts w:ascii="Arial" w:hAnsi="Arial" w:cs="Arial"/>
        </w:rPr>
        <w:t>Consideraciones de valor razonable y deterioro;</w:t>
      </w:r>
    </w:p>
    <w:p w:rsidR="00FC33EC" w:rsidRPr="00FC33EC" w:rsidRDefault="00FC33EC" w:rsidP="00FC33EC">
      <w:pPr>
        <w:numPr>
          <w:ilvl w:val="0"/>
          <w:numId w:val="1"/>
        </w:numPr>
        <w:jc w:val="both"/>
        <w:rPr>
          <w:rFonts w:ascii="Arial" w:hAnsi="Arial" w:cs="Arial"/>
        </w:rPr>
      </w:pPr>
      <w:r w:rsidRPr="00FC33EC">
        <w:rPr>
          <w:rFonts w:ascii="Arial" w:hAnsi="Arial" w:cs="Arial"/>
        </w:rPr>
        <w:t>Arrendamientos;</w:t>
      </w:r>
    </w:p>
    <w:p w:rsidR="00FC33EC" w:rsidRPr="00FC33EC" w:rsidRDefault="00FC33EC" w:rsidP="00FC33EC">
      <w:pPr>
        <w:numPr>
          <w:ilvl w:val="0"/>
          <w:numId w:val="1"/>
        </w:numPr>
        <w:jc w:val="both"/>
        <w:rPr>
          <w:rFonts w:ascii="Arial" w:hAnsi="Arial" w:cs="Arial"/>
        </w:rPr>
      </w:pPr>
      <w:r w:rsidRPr="00FC33EC">
        <w:rPr>
          <w:rFonts w:ascii="Arial" w:hAnsi="Arial" w:cs="Arial"/>
        </w:rPr>
        <w:t>Modificaciones o reestructuraciones de deuda;</w:t>
      </w:r>
    </w:p>
    <w:p w:rsidR="00FC33EC" w:rsidRPr="00FC33EC" w:rsidRDefault="00FC33EC" w:rsidP="00FC33EC">
      <w:pPr>
        <w:numPr>
          <w:ilvl w:val="0"/>
          <w:numId w:val="1"/>
        </w:numPr>
        <w:jc w:val="both"/>
        <w:rPr>
          <w:rFonts w:ascii="Arial" w:hAnsi="Arial" w:cs="Arial"/>
        </w:rPr>
      </w:pPr>
      <w:r w:rsidRPr="00FC33EC">
        <w:rPr>
          <w:rFonts w:ascii="Arial" w:hAnsi="Arial" w:cs="Arial"/>
        </w:rPr>
        <w:t>Cobertura;</w:t>
      </w:r>
    </w:p>
    <w:p w:rsidR="00FC33EC" w:rsidRPr="00FC33EC" w:rsidRDefault="00FC33EC" w:rsidP="00FC33EC">
      <w:pPr>
        <w:numPr>
          <w:ilvl w:val="0"/>
          <w:numId w:val="1"/>
        </w:numPr>
        <w:jc w:val="both"/>
        <w:rPr>
          <w:rFonts w:ascii="Arial" w:hAnsi="Arial" w:cs="Arial"/>
        </w:rPr>
      </w:pPr>
      <w:r w:rsidRPr="00FC33EC">
        <w:rPr>
          <w:rFonts w:ascii="Arial" w:hAnsi="Arial" w:cs="Arial"/>
        </w:rPr>
        <w:t>Reconocimiento de ingresos;</w:t>
      </w:r>
    </w:p>
    <w:p w:rsidR="00FC33EC" w:rsidRPr="00FC33EC" w:rsidRDefault="00FC33EC" w:rsidP="00FC33EC">
      <w:pPr>
        <w:numPr>
          <w:ilvl w:val="0"/>
          <w:numId w:val="1"/>
        </w:numPr>
        <w:jc w:val="both"/>
        <w:rPr>
          <w:rFonts w:ascii="Arial" w:hAnsi="Arial" w:cs="Arial"/>
        </w:rPr>
      </w:pPr>
      <w:r w:rsidRPr="00FC33EC">
        <w:rPr>
          <w:rFonts w:ascii="Arial" w:hAnsi="Arial" w:cs="Arial"/>
        </w:rPr>
        <w:t>Impuestos sobre la renta;</w:t>
      </w:r>
    </w:p>
    <w:p w:rsidR="00FC33EC" w:rsidRPr="00FC33EC" w:rsidRDefault="00FC33EC" w:rsidP="00FC33EC">
      <w:pPr>
        <w:numPr>
          <w:ilvl w:val="0"/>
          <w:numId w:val="1"/>
        </w:numPr>
        <w:jc w:val="both"/>
        <w:rPr>
          <w:rFonts w:ascii="Arial" w:hAnsi="Arial" w:cs="Arial"/>
        </w:rPr>
      </w:pPr>
      <w:r w:rsidRPr="00FC33EC">
        <w:rPr>
          <w:rFonts w:ascii="Arial" w:hAnsi="Arial" w:cs="Arial"/>
        </w:rPr>
        <w:t>Preocupación continua;</w:t>
      </w:r>
    </w:p>
    <w:p w:rsidR="00FC33EC" w:rsidRPr="00FC33EC" w:rsidRDefault="00FC33EC" w:rsidP="00FC33EC">
      <w:pPr>
        <w:numPr>
          <w:ilvl w:val="0"/>
          <w:numId w:val="1"/>
        </w:numPr>
        <w:jc w:val="both"/>
        <w:rPr>
          <w:rFonts w:ascii="Arial" w:hAnsi="Arial" w:cs="Arial"/>
        </w:rPr>
      </w:pPr>
      <w:r w:rsidRPr="00FC33EC">
        <w:rPr>
          <w:rFonts w:ascii="Arial" w:hAnsi="Arial" w:cs="Arial"/>
        </w:rPr>
        <w:t>Eventos subsecuentes; y</w:t>
      </w:r>
    </w:p>
    <w:p w:rsidR="00FC33EC" w:rsidRPr="00FC33EC" w:rsidRDefault="00FC33EC" w:rsidP="00FC33EC">
      <w:pPr>
        <w:numPr>
          <w:ilvl w:val="0"/>
          <w:numId w:val="1"/>
        </w:numPr>
        <w:jc w:val="both"/>
        <w:rPr>
          <w:rFonts w:ascii="Arial" w:hAnsi="Arial" w:cs="Arial"/>
        </w:rPr>
      </w:pPr>
      <w:r w:rsidRPr="00FC33EC">
        <w:rPr>
          <w:rFonts w:ascii="Arial" w:hAnsi="Arial" w:cs="Arial"/>
        </w:rPr>
        <w:t>Adopción de nuevas normas contables (por ejemplo, la nueva norma sobre pérdidas crediticias </w:t>
      </w:r>
      <w:bookmarkStart w:id="9" w:name="_ednref9"/>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"_edn9" \o "" </w:instrText>
      </w:r>
      <w:r w:rsidRPr="00FC33EC">
        <w:rPr>
          <w:rFonts w:ascii="Arial" w:hAnsi="Arial" w:cs="Arial"/>
        </w:rPr>
        <w:fldChar w:fldCharType="separate"/>
      </w:r>
      <w:r w:rsidRPr="00FC33EC">
        <w:rPr>
          <w:rStyle w:val="Hipervnculo"/>
          <w:rFonts w:ascii="Arial" w:hAnsi="Arial" w:cs="Arial"/>
        </w:rPr>
        <w:t>[9]</w:t>
      </w:r>
      <w:r w:rsidRPr="00FC33EC">
        <w:rPr>
          <w:rFonts w:ascii="Arial" w:hAnsi="Arial" w:cs="Arial"/>
        </w:rPr>
        <w:fldChar w:fldCharType="end"/>
      </w:r>
      <w:bookmarkEnd w:id="9"/>
      <w:r w:rsidRPr="00FC33EC">
        <w:rPr>
          <w:rFonts w:ascii="Arial" w:hAnsi="Arial" w:cs="Arial"/>
        </w:rPr>
        <w:t> ).</w:t>
      </w:r>
    </w:p>
    <w:p w:rsidR="00FC33EC" w:rsidRDefault="00FC33EC" w:rsidP="00FC33EC">
      <w:pPr>
        <w:jc w:val="both"/>
        <w:rPr>
          <w:rFonts w:ascii="Arial" w:hAnsi="Arial" w:cs="Arial"/>
        </w:rPr>
      </w:pPr>
      <w:r w:rsidRPr="00FC33EC">
        <w:rPr>
          <w:rFonts w:ascii="Arial" w:hAnsi="Arial" w:cs="Arial"/>
        </w:rPr>
        <w:t>Hacemos hincapié en la importancia de las revelaciones requeridas de juicios y estimaciones en estas y otras áreas.</w:t>
      </w:r>
    </w:p>
    <w:p w:rsidR="00FC33EC" w:rsidRDefault="00FC33EC" w:rsidP="00FC33EC">
      <w:pPr>
        <w:jc w:val="both"/>
        <w:rPr>
          <w:rFonts w:ascii="Arial" w:hAnsi="Arial" w:cs="Arial"/>
        </w:rPr>
      </w:pPr>
    </w:p>
    <w:p w:rsidR="00FC33EC" w:rsidRPr="00FC33EC" w:rsidRDefault="00FC33EC" w:rsidP="00FC33EC">
      <w:pPr>
        <w:jc w:val="both"/>
        <w:rPr>
          <w:rFonts w:ascii="Arial" w:hAnsi="Arial" w:cs="Arial"/>
        </w:rPr>
      </w:pPr>
      <w:r w:rsidRPr="00FC33EC">
        <w:rPr>
          <w:rFonts w:ascii="Arial" w:hAnsi="Arial" w:cs="Arial"/>
        </w:rPr>
        <w:t>También estamos trabajando con los participantes del mercado con respecto a la Ley de Ayuda, Alivio y Seguridad Económica por el Coronavirus (la “Ley CARES”). La Ley CARES, que fue promulgada por el presidente el 27 de marzo de 2020, permite a un número limitado de entidades la opción de diferir o suspender temporalmente la aplicación de dos disposiciones de los Principios de Contabilidad Generalmente Aceptados (PCGA) de EE. UU. </w:t>
      </w:r>
      <w:bookmarkStart w:id="10" w:name="_ednref10"/>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"_edn10" \o "" </w:instrText>
      </w:r>
      <w:r w:rsidRPr="00FC33EC">
        <w:rPr>
          <w:rFonts w:ascii="Arial" w:hAnsi="Arial" w:cs="Arial"/>
        </w:rPr>
        <w:fldChar w:fldCharType="separate"/>
      </w:r>
      <w:r w:rsidRPr="00FC33EC">
        <w:rPr>
          <w:rStyle w:val="Hipervnculo"/>
          <w:rFonts w:ascii="Arial" w:hAnsi="Arial" w:cs="Arial"/>
        </w:rPr>
        <w:t>[10]</w:t>
      </w:r>
      <w:r w:rsidRPr="00FC33EC">
        <w:rPr>
          <w:rFonts w:ascii="Arial" w:hAnsi="Arial" w:cs="Arial"/>
        </w:rPr>
        <w:fldChar w:fldCharType="end"/>
      </w:r>
      <w:bookmarkEnd w:id="10"/>
      <w:r w:rsidRPr="00FC33EC">
        <w:rPr>
          <w:rFonts w:ascii="Arial" w:hAnsi="Arial" w:cs="Arial"/>
        </w:rPr>
        <w:t>  OCA ha recibido consultas de preparadores y auditores donde el preparador ha concluido que la elección de estas opciones limitadas y limitadas en las Secciones 4013 y 4014 de la Ley CARES se consideraría de acuerdo con los PCGA. Para aquellas entidades que son elegibles para, y eligen postularse, ya sea de las Secciones 4013 o 4014 de la Ley CARES, el personal no objetaría la conclusión de que esto está de acuerdo con GAAP para los períodos para los cuales tales elecciones están disponibles.</w:t>
      </w:r>
    </w:p>
    <w:p w:rsidR="00FC33EC" w:rsidRDefault="00FC33EC" w:rsidP="00FC33EC">
      <w:pPr>
        <w:jc w:val="both"/>
        <w:rPr>
          <w:rFonts w:ascii="Arial" w:hAnsi="Arial" w:cs="Arial"/>
          <w:b/>
          <w:bCs/>
        </w:rPr>
      </w:pPr>
    </w:p>
    <w:p w:rsidR="00FC33EC" w:rsidRPr="00FC33EC" w:rsidRDefault="00FC33EC" w:rsidP="00FC33EC">
      <w:pPr>
        <w:jc w:val="both"/>
        <w:rPr>
          <w:rFonts w:ascii="Arial" w:hAnsi="Arial" w:cs="Arial"/>
          <w:b/>
          <w:bCs/>
        </w:rPr>
      </w:pPr>
      <w:r w:rsidRPr="00FC33EC">
        <w:rPr>
          <w:rFonts w:ascii="Arial" w:hAnsi="Arial" w:cs="Arial"/>
          <w:b/>
          <w:bCs/>
        </w:rPr>
        <w:t>Auditoría: trabajar con la PCAOB</w:t>
      </w:r>
    </w:p>
    <w:p w:rsidR="00FC33EC" w:rsidRPr="00FC33EC" w:rsidRDefault="00FC33EC" w:rsidP="00FC33EC">
      <w:pPr>
        <w:jc w:val="both"/>
        <w:rPr>
          <w:rFonts w:ascii="Arial" w:hAnsi="Arial" w:cs="Arial"/>
        </w:rPr>
      </w:pPr>
      <w:r w:rsidRPr="00FC33EC">
        <w:rPr>
          <w:rFonts w:ascii="Arial" w:hAnsi="Arial" w:cs="Arial"/>
        </w:rPr>
        <w:t>La OCA también ha participado activamente y ha trabajado en colaboración y de manera constructiva con la Junta de Supervisión Contable de Empresas Públicas (PCAOB) para abordar los problemas emergentes relacionados con COVID-19. Apoyamos el trabajo continuo de la PCAOB para abordar estos problemas y continuamos manteniendo un diálogo constructivo y continuo sobre estos y otros asuntos.</w:t>
      </w:r>
    </w:p>
    <w:p w:rsidR="00FC33EC" w:rsidRPr="00FC33EC" w:rsidRDefault="00FC33EC" w:rsidP="00FC33EC">
      <w:pPr>
        <w:jc w:val="both"/>
        <w:rPr>
          <w:rFonts w:ascii="Arial" w:hAnsi="Arial" w:cs="Arial"/>
        </w:rPr>
      </w:pPr>
      <w:r w:rsidRPr="00FC33EC">
        <w:rPr>
          <w:rFonts w:ascii="Arial" w:hAnsi="Arial" w:cs="Arial"/>
        </w:rPr>
        <w:t>Por ejemplo, la PCAOB ha proporcionado a las firmas de auditoría registradas en la PCAOB un período de exención de hasta 45 días de las inspecciones, con la excepción de proporcionar acceso a la documentación de auditoría para ciertos compromisos, </w:t>
      </w:r>
      <w:bookmarkStart w:id="11" w:name="_ednref11"/>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"_edn11" \o "" </w:instrText>
      </w:r>
      <w:r w:rsidRPr="00FC33EC">
        <w:rPr>
          <w:rFonts w:ascii="Arial" w:hAnsi="Arial" w:cs="Arial"/>
        </w:rPr>
        <w:fldChar w:fldCharType="separate"/>
      </w:r>
      <w:r w:rsidRPr="00FC33EC">
        <w:rPr>
          <w:rStyle w:val="Hipervnculo"/>
          <w:rFonts w:ascii="Arial" w:hAnsi="Arial" w:cs="Arial"/>
        </w:rPr>
        <w:t>[11]</w:t>
      </w:r>
      <w:r w:rsidRPr="00FC33EC">
        <w:rPr>
          <w:rFonts w:ascii="Arial" w:hAnsi="Arial" w:cs="Arial"/>
        </w:rPr>
        <w:fldChar w:fldCharType="end"/>
      </w:r>
      <w:bookmarkEnd w:id="11"/>
      <w:r w:rsidRPr="00FC33EC">
        <w:rPr>
          <w:rFonts w:ascii="Arial" w:hAnsi="Arial" w:cs="Arial"/>
        </w:rPr>
        <w:t> y ha suspendido temporalmente los viajes internacionales, incluidos los Inspecciones de empresas estadounidenses. </w:t>
      </w:r>
      <w:bookmarkStart w:id="12" w:name="_ednref12"/>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"_edn12" \o "" </w:instrText>
      </w:r>
      <w:r w:rsidRPr="00FC33EC">
        <w:rPr>
          <w:rFonts w:ascii="Arial" w:hAnsi="Arial" w:cs="Arial"/>
        </w:rPr>
        <w:fldChar w:fldCharType="separate"/>
      </w:r>
      <w:r w:rsidRPr="00FC33EC">
        <w:rPr>
          <w:rStyle w:val="Hipervnculo"/>
          <w:rFonts w:ascii="Arial" w:hAnsi="Arial" w:cs="Arial"/>
        </w:rPr>
        <w:t>[12]</w:t>
      </w:r>
      <w:r w:rsidRPr="00FC33EC">
        <w:rPr>
          <w:rFonts w:ascii="Arial" w:hAnsi="Arial" w:cs="Arial"/>
        </w:rPr>
        <w:fldChar w:fldCharType="end"/>
      </w:r>
      <w:bookmarkEnd w:id="12"/>
      <w:r w:rsidRPr="00FC33EC">
        <w:rPr>
          <w:rFonts w:ascii="Arial" w:hAnsi="Arial" w:cs="Arial"/>
        </w:rPr>
        <w:t>  Estas decisiones tomaron en cuenta consideraciones de salud y seguridad, así como consideraciones prácticas durante este tiempo desafiante. Apoyamos el enfoque reflexivo de la PCAOB sobre estas decisiones. También apoyamos ampliamente los esfuerzos de la PCAOB para proporcionar actualizaciones oportunas sobre el estado de sus operaciones y recordatorios a las firmas de auditoría registradas en la PCAOB relacionados con el impacto de COVID-19 en las auditorías.</w:t>
      </w:r>
    </w:p>
    <w:p w:rsidR="00FC33EC" w:rsidRPr="00FC33EC" w:rsidRDefault="00FC33EC" w:rsidP="00FC33EC">
      <w:pPr>
        <w:jc w:val="both"/>
        <w:rPr>
          <w:rFonts w:ascii="Arial" w:hAnsi="Arial" w:cs="Arial"/>
        </w:rPr>
      </w:pPr>
      <w:r w:rsidRPr="00FC33EC">
        <w:rPr>
          <w:rFonts w:ascii="Arial" w:hAnsi="Arial" w:cs="Arial"/>
        </w:rPr>
        <w:t>La OCA también permanece activamente enfocada en asuntos de independencia en estos tiempos sin precedentes. La independencia del auditor es fundamental para la credibilidad de los estados financieros. Como hemos señalado constantemente, la independencia del auditor es una responsabilidad compartida entre los comités de auditoría, la administración y sus auditores. </w:t>
      </w:r>
      <w:bookmarkStart w:id="13" w:name="_ednref13"/>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"_edn13" \o "" </w:instrText>
      </w:r>
      <w:r w:rsidRPr="00FC33EC">
        <w:rPr>
          <w:rFonts w:ascii="Arial" w:hAnsi="Arial" w:cs="Arial"/>
        </w:rPr>
        <w:fldChar w:fldCharType="separate"/>
      </w:r>
      <w:r w:rsidRPr="00FC33EC">
        <w:rPr>
          <w:rStyle w:val="Hipervnculo"/>
          <w:rFonts w:ascii="Arial" w:hAnsi="Arial" w:cs="Arial"/>
        </w:rPr>
        <w:t>[13]</w:t>
      </w:r>
      <w:r w:rsidRPr="00FC33EC">
        <w:rPr>
          <w:rFonts w:ascii="Arial" w:hAnsi="Arial" w:cs="Arial"/>
        </w:rPr>
        <w:fldChar w:fldCharType="end"/>
      </w:r>
      <w:bookmarkEnd w:id="13"/>
      <w:r w:rsidRPr="00FC33EC">
        <w:rPr>
          <w:rFonts w:ascii="Arial" w:hAnsi="Arial" w:cs="Arial"/>
        </w:rPr>
        <w:t>   Los comités de administración y auditoría deben ser conscientes de cómo una violación de la independencia del auditor puede afectar las presentaciones requeridas por la compañía ante la SEC. Una vez más, tomamos nota de que estamos disponibles para consultas según sea necesario, y seguimos trabajando en las consultas que hemos recibido en esta área.</w:t>
      </w:r>
    </w:p>
    <w:p w:rsidR="00FC33EC" w:rsidRDefault="00FC33EC" w:rsidP="00FC33EC">
      <w:pPr>
        <w:jc w:val="both"/>
        <w:rPr>
          <w:rFonts w:ascii="Arial" w:hAnsi="Arial" w:cs="Arial"/>
          <w:b/>
          <w:bCs/>
        </w:rPr>
      </w:pPr>
    </w:p>
    <w:p w:rsidR="00FC33EC" w:rsidRPr="00FC33EC" w:rsidRDefault="00FC33EC" w:rsidP="00FC33EC">
      <w:pPr>
        <w:jc w:val="both"/>
        <w:rPr>
          <w:rFonts w:ascii="Arial" w:hAnsi="Arial" w:cs="Arial"/>
          <w:b/>
          <w:bCs/>
        </w:rPr>
      </w:pPr>
      <w:r w:rsidRPr="00FC33EC">
        <w:rPr>
          <w:rFonts w:ascii="Arial" w:hAnsi="Arial" w:cs="Arial"/>
          <w:b/>
          <w:bCs/>
        </w:rPr>
        <w:t>Internacional - Interacción con el IASB y el Grupo de Monitoreo</w:t>
      </w:r>
    </w:p>
    <w:p w:rsidR="00FC33EC" w:rsidRPr="00FC33EC" w:rsidRDefault="00FC33EC" w:rsidP="00FC33EC">
      <w:pPr>
        <w:jc w:val="both"/>
        <w:rPr>
          <w:rFonts w:ascii="Arial" w:hAnsi="Arial" w:cs="Arial"/>
        </w:rPr>
      </w:pPr>
      <w:r w:rsidRPr="00FC33EC">
        <w:rPr>
          <w:rFonts w:ascii="Arial" w:hAnsi="Arial" w:cs="Arial"/>
        </w:rPr>
        <w:t xml:space="preserve">Nuestros mercados financieros son globales, por lo que las normas internacionales relacionadas con la contabilidad y la auditoría también son de suma importancia para la </w:t>
      </w:r>
      <w:r w:rsidRPr="00FC33EC">
        <w:rPr>
          <w:rFonts w:ascii="Arial" w:hAnsi="Arial" w:cs="Arial"/>
        </w:rPr>
        <w:lastRenderedPageBreak/>
        <w:t>solidez del sistema de información financiera y los mercados de capital globales. OCA participa en las actividades de varias organizaciones internacionales </w:t>
      </w:r>
      <w:bookmarkStart w:id="14" w:name="_ednref14"/>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"_edn14" \o "" </w:instrText>
      </w:r>
      <w:r w:rsidRPr="00FC33EC">
        <w:rPr>
          <w:rFonts w:ascii="Arial" w:hAnsi="Arial" w:cs="Arial"/>
        </w:rPr>
        <w:fldChar w:fldCharType="separate"/>
      </w:r>
      <w:r w:rsidRPr="00FC33EC">
        <w:rPr>
          <w:rStyle w:val="Hipervnculo"/>
          <w:rFonts w:ascii="Arial" w:hAnsi="Arial" w:cs="Arial"/>
        </w:rPr>
        <w:t>[14]</w:t>
      </w:r>
      <w:r w:rsidRPr="00FC33EC">
        <w:rPr>
          <w:rFonts w:ascii="Arial" w:hAnsi="Arial" w:cs="Arial"/>
        </w:rPr>
        <w:fldChar w:fldCharType="end"/>
      </w:r>
      <w:bookmarkEnd w:id="14"/>
      <w:r w:rsidRPr="00FC33EC">
        <w:rPr>
          <w:rFonts w:ascii="Arial" w:hAnsi="Arial" w:cs="Arial"/>
        </w:rPr>
        <w:t> como parte de nuestras operaciones normales, así como en relación con el impacto de COVID-19.</w:t>
      </w:r>
    </w:p>
    <w:p w:rsidR="00FC33EC" w:rsidRPr="00FC33EC" w:rsidRDefault="00FC33EC" w:rsidP="00FC33EC">
      <w:pPr>
        <w:jc w:val="both"/>
        <w:rPr>
          <w:rFonts w:ascii="Arial" w:hAnsi="Arial" w:cs="Arial"/>
        </w:rPr>
      </w:pPr>
      <w:r w:rsidRPr="00FC33EC">
        <w:rPr>
          <w:rFonts w:ascii="Arial" w:hAnsi="Arial" w:cs="Arial"/>
        </w:rPr>
        <w:t>Los desafíos asociados con muchos de los problemas contables enumerados anteriormente en el entorno actual también existen, por supuesto, a nivel internacional. OCA participa activamente en discusiones con IASB sobre el impacto de COVID-19, incluso a través de nuestra participación como vicepresidente del Comité 1 de IOSCO sobre Contabilidad, Auditoría y Divulgación de Emisores. </w:t>
      </w:r>
      <w:bookmarkStart w:id="15" w:name="_ednref15"/>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"_edn15" \o "" </w:instrText>
      </w:r>
      <w:r w:rsidRPr="00FC33EC">
        <w:rPr>
          <w:rFonts w:ascii="Arial" w:hAnsi="Arial" w:cs="Arial"/>
        </w:rPr>
        <w:fldChar w:fldCharType="separate"/>
      </w:r>
      <w:r w:rsidRPr="00FC33EC">
        <w:rPr>
          <w:rStyle w:val="Hipervnculo"/>
          <w:rFonts w:ascii="Arial" w:hAnsi="Arial" w:cs="Arial"/>
        </w:rPr>
        <w:t>[15]</w:t>
      </w:r>
      <w:r w:rsidRPr="00FC33EC">
        <w:rPr>
          <w:rFonts w:ascii="Arial" w:hAnsi="Arial" w:cs="Arial"/>
        </w:rPr>
        <w:fldChar w:fldCharType="end"/>
      </w:r>
      <w:bookmarkEnd w:id="15"/>
      <w:r w:rsidRPr="00FC33EC">
        <w:rPr>
          <w:rFonts w:ascii="Arial" w:hAnsi="Arial" w:cs="Arial"/>
        </w:rPr>
        <w:t>   También participamos activamente con otros reguladores de valores a nivel internacional tanto en emisiones de COVID-19 como como parte de nuestras operaciones en curso.</w:t>
      </w:r>
    </w:p>
    <w:p w:rsidR="00FC33EC" w:rsidRPr="00FC33EC" w:rsidRDefault="00FC33EC" w:rsidP="00FC33EC">
      <w:pPr>
        <w:jc w:val="both"/>
        <w:rPr>
          <w:rFonts w:ascii="Arial" w:hAnsi="Arial" w:cs="Arial"/>
        </w:rPr>
      </w:pPr>
      <w:r w:rsidRPr="00FC33EC">
        <w:rPr>
          <w:rFonts w:ascii="Arial" w:hAnsi="Arial" w:cs="Arial"/>
        </w:rPr>
        <w:t>A través de nuestro papel de liderazgo en el Grupo de Supervisión, </w:t>
      </w:r>
      <w:bookmarkStart w:id="16" w:name="_ednref16"/>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"_edn16" \o "" </w:instrText>
      </w:r>
      <w:r w:rsidRPr="00FC33EC">
        <w:rPr>
          <w:rFonts w:ascii="Arial" w:hAnsi="Arial" w:cs="Arial"/>
        </w:rPr>
        <w:fldChar w:fldCharType="separate"/>
      </w:r>
      <w:r w:rsidRPr="00FC33EC">
        <w:rPr>
          <w:rStyle w:val="Hipervnculo"/>
          <w:rFonts w:ascii="Arial" w:hAnsi="Arial" w:cs="Arial"/>
        </w:rPr>
        <w:t>[16]</w:t>
      </w:r>
      <w:r w:rsidRPr="00FC33EC">
        <w:rPr>
          <w:rFonts w:ascii="Arial" w:hAnsi="Arial" w:cs="Arial"/>
        </w:rPr>
        <w:fldChar w:fldCharType="end"/>
      </w:r>
      <w:bookmarkEnd w:id="16"/>
      <w:r w:rsidRPr="00FC33EC">
        <w:rPr>
          <w:rFonts w:ascii="Arial" w:hAnsi="Arial" w:cs="Arial"/>
        </w:rPr>
        <w:t>La OCA también participa activamente en el desarrollo de recomendaciones de reforma relacionadas con el sistema internacional de establecimiento de normas relacionadas con la auditoría. El Grupo de Monitoreo es una organización global compuesta por reguladores y otros dedicados a servir al interés público en áreas relacionadas con el establecimiento de estándares de auditoría internacional y la calidad de las auditorías. El Grupo de Supervisión ha estado trabajando para proponer y posteriormente implementar importantes reformas al sistema internacional de establecimiento de normas relacionadas con la auditoría. Las reformas propuestas tienen como objetivo hacer que el sistema de establecimiento de normas responda mejor al interés público mediante el uso de un enfoque de múltiples partes interesadas para el desarrollo de normas con la expectativa de que hacerlo conducirá a mejoras en la calidad de las auditorías en todo el mundo.      </w:t>
      </w:r>
    </w:p>
    <w:p w:rsidR="00FC33EC" w:rsidRDefault="00FC33EC" w:rsidP="00FC33EC">
      <w:pPr>
        <w:jc w:val="both"/>
        <w:rPr>
          <w:rFonts w:ascii="Arial" w:hAnsi="Arial" w:cs="Arial"/>
          <w:b/>
          <w:bCs/>
        </w:rPr>
      </w:pPr>
    </w:p>
    <w:p w:rsidR="00FC33EC" w:rsidRPr="00FC33EC" w:rsidRDefault="00FC33EC" w:rsidP="00FC33EC">
      <w:pPr>
        <w:jc w:val="both"/>
        <w:rPr>
          <w:rFonts w:ascii="Arial" w:hAnsi="Arial" w:cs="Arial"/>
          <w:b/>
          <w:bCs/>
        </w:rPr>
      </w:pPr>
      <w:r w:rsidRPr="00FC33EC">
        <w:rPr>
          <w:rFonts w:ascii="Arial" w:hAnsi="Arial" w:cs="Arial"/>
          <w:b/>
          <w:bCs/>
        </w:rPr>
        <w:t>Participación de las partes interesadas: empresas de auditoría; Centrarse en los mercados emergentes</w:t>
      </w:r>
    </w:p>
    <w:p w:rsidR="00FC33EC" w:rsidRPr="00FC33EC" w:rsidRDefault="00FC33EC" w:rsidP="00FC33EC">
      <w:pPr>
        <w:jc w:val="both"/>
        <w:rPr>
          <w:rFonts w:ascii="Arial" w:hAnsi="Arial" w:cs="Arial"/>
        </w:rPr>
      </w:pPr>
      <w:r w:rsidRPr="00FC33EC">
        <w:rPr>
          <w:rFonts w:ascii="Arial" w:hAnsi="Arial" w:cs="Arial"/>
        </w:rPr>
        <w:t>Comprometerse con las partes interesadas y buscar comentarios ha sido durante mucho tiempo una alta prioridad para OCA. En un esfuerzo por promover informes financieros de alta calidad, nos reunimos con participantes en cada fase del sistema de informes financieros para escuchar las opiniones de las partes interesadas, comprender los problemas y riesgos emergentes y promover informes financieros de alta calidad.</w:t>
      </w:r>
    </w:p>
    <w:p w:rsidR="00FC33EC" w:rsidRDefault="00FC33EC" w:rsidP="00FC33EC">
      <w:pPr>
        <w:jc w:val="both"/>
        <w:rPr>
          <w:rFonts w:ascii="Arial" w:hAnsi="Arial" w:cs="Arial"/>
        </w:rPr>
      </w:pPr>
      <w:r w:rsidRPr="00FC33EC">
        <w:rPr>
          <w:rFonts w:ascii="Arial" w:hAnsi="Arial" w:cs="Arial"/>
        </w:rPr>
        <w:t>Durante este tiempo, OCA continúa interactuando con las partes interesadas tanto a nivel nacional como internacional. Por ejemplo, a fines de 2019 y principios de 2020, llevamos a cabo reuniones separadas con representantes de las cuatro firmas contables más grandes del mundo para analizar los esfuerzos de cada una de las firmas para mejorar la calidad de la auditoría en los mercados emergentes, incluida China, la economía de mercado emergente más grande. </w:t>
      </w:r>
      <w:bookmarkStart w:id="17" w:name="_ednref17"/>
      <w:r w:rsidRPr="00FC33EC">
        <w:rPr>
          <w:rFonts w:ascii="Arial" w:hAnsi="Arial" w:cs="Arial"/>
        </w:rPr>
        <w:fldChar w:fldCharType="begin"/>
      </w:r>
      <w:r w:rsidRPr="00FC33EC">
        <w:rPr>
          <w:rFonts w:ascii="Arial" w:hAnsi="Arial" w:cs="Arial"/>
        </w:rPr>
        <w:instrText xml:space="preserve"> HYPERLINK "https://www.sec.gov/news/public-statement/statement-teotia-financial-reporting-covid-19-2020-04-03" \l "_edn17" \o "" </w:instrText>
      </w:r>
      <w:r w:rsidRPr="00FC33EC">
        <w:rPr>
          <w:rFonts w:ascii="Arial" w:hAnsi="Arial" w:cs="Arial"/>
        </w:rPr>
        <w:fldChar w:fldCharType="separate"/>
      </w:r>
      <w:r w:rsidRPr="00FC33EC">
        <w:rPr>
          <w:rStyle w:val="Hipervnculo"/>
          <w:rFonts w:ascii="Arial" w:hAnsi="Arial" w:cs="Arial"/>
        </w:rPr>
        <w:t>[17]</w:t>
      </w:r>
      <w:r w:rsidRPr="00FC33EC">
        <w:rPr>
          <w:rFonts w:ascii="Arial" w:hAnsi="Arial" w:cs="Arial"/>
        </w:rPr>
        <w:fldChar w:fldCharType="end"/>
      </w:r>
      <w:bookmarkEnd w:id="17"/>
      <w:r w:rsidRPr="00FC33EC">
        <w:rPr>
          <w:rFonts w:ascii="Arial" w:hAnsi="Arial" w:cs="Arial"/>
        </w:rPr>
        <w:t>  Apenas la semana pasada, realizamos dos reuniones adicionales con dos firmas contables diferentes para discutir estos asuntos, así como discutir el impacto de COVID-19 en las empresas y las auditorías. Esperamos continuar con estas importantes discusiones en 2020.  </w:t>
      </w:r>
    </w:p>
    <w:p w:rsidR="00FC33EC" w:rsidRPr="00FC33EC" w:rsidRDefault="00FC33EC" w:rsidP="00FC33EC">
      <w:pPr>
        <w:jc w:val="both"/>
        <w:rPr>
          <w:rFonts w:ascii="Arial" w:hAnsi="Arial" w:cs="Arial"/>
        </w:rPr>
      </w:pPr>
      <w:r w:rsidRPr="00FC33EC">
        <w:rPr>
          <w:rFonts w:ascii="Arial" w:hAnsi="Arial" w:cs="Arial"/>
        </w:rPr>
        <w:t> </w:t>
      </w:r>
    </w:p>
    <w:p w:rsidR="00FC33EC" w:rsidRDefault="00FC33EC" w:rsidP="00FC33EC">
      <w:pPr>
        <w:jc w:val="both"/>
        <w:rPr>
          <w:rFonts w:ascii="Arial" w:hAnsi="Arial" w:cs="Arial"/>
          <w:b/>
          <w:bCs/>
        </w:rPr>
      </w:pPr>
    </w:p>
    <w:p w:rsidR="00FC33EC" w:rsidRDefault="00FC33EC" w:rsidP="00FC33EC">
      <w:pPr>
        <w:jc w:val="both"/>
        <w:rPr>
          <w:rFonts w:ascii="Arial" w:hAnsi="Arial" w:cs="Arial"/>
          <w:b/>
          <w:bCs/>
        </w:rPr>
      </w:pPr>
    </w:p>
    <w:p w:rsidR="00FC33EC" w:rsidRPr="00FC33EC" w:rsidRDefault="00FC33EC" w:rsidP="00FC33EC">
      <w:pPr>
        <w:jc w:val="both"/>
        <w:rPr>
          <w:rFonts w:ascii="Arial" w:hAnsi="Arial" w:cs="Arial"/>
          <w:b/>
          <w:bCs/>
        </w:rPr>
      </w:pPr>
      <w:r w:rsidRPr="00FC33EC">
        <w:rPr>
          <w:rFonts w:ascii="Arial" w:hAnsi="Arial" w:cs="Arial"/>
          <w:b/>
          <w:bCs/>
        </w:rPr>
        <w:lastRenderedPageBreak/>
        <w:t>Clausura</w:t>
      </w:r>
    </w:p>
    <w:p w:rsidR="00FC33EC" w:rsidRDefault="00FC33EC" w:rsidP="00FC33EC">
      <w:pPr>
        <w:jc w:val="both"/>
        <w:rPr>
          <w:rFonts w:ascii="Arial" w:hAnsi="Arial" w:cs="Arial"/>
        </w:rPr>
      </w:pPr>
      <w:r w:rsidRPr="00FC33EC">
        <w:rPr>
          <w:rFonts w:ascii="Arial" w:hAnsi="Arial" w:cs="Arial"/>
        </w:rPr>
        <w:t>Sabemos que estos son tiempos sin precedentes y entendemos los desafíos que enfrentan las partes interesadas como resultado del COVID-19. Sin embargo, nuestra estructura de informes financieros es sólida, gracias al trabajo colectivo de todos los participantes en el cumplimiento de cada uno de nuestros roles únicos con integridad y transparencia. Hemos enfrentado desafíos importantes en el pasado y siempre hemos continuado trabajando para que los inversionistas les proporcionen informes financieros relevantes, útiles y oportunos. En OCA instamos a todos los participantes en el sistema de informes financieros a que continúen trabajando juntos para brindar a los inversionistas la información financiera de alta calidad que necesitan para tomar decisiones en medio de la incertidumbre. Estamos orgullosos de la solidez que ha demostrado el sistema de informes financieros hasta la fecha y estamos comprometidos a apoyar a las empresas, los auditores y otros a enfrentar los desafíos venideros.</w:t>
      </w:r>
    </w:p>
    <w:p w:rsidR="00FC33EC" w:rsidRDefault="00FC33EC" w:rsidP="00FC33EC">
      <w:pPr>
        <w:jc w:val="both"/>
        <w:rPr>
          <w:rFonts w:ascii="Arial" w:hAnsi="Arial" w:cs="Arial"/>
        </w:rPr>
      </w:pPr>
    </w:p>
    <w:p w:rsidR="00FC33EC" w:rsidRDefault="00FC33EC" w:rsidP="00FC33EC">
      <w:pPr>
        <w:jc w:val="both"/>
        <w:rPr>
          <w:rFonts w:ascii="Arial" w:hAnsi="Arial" w:cs="Arial"/>
        </w:rPr>
      </w:pPr>
    </w:p>
    <w:p w:rsidR="00FC33EC" w:rsidRPr="00FC33EC" w:rsidRDefault="00FC33EC" w:rsidP="00FC33EC">
      <w:pPr>
        <w:jc w:val="both"/>
        <w:rPr>
          <w:rFonts w:ascii="Arial" w:hAnsi="Arial" w:cs="Arial"/>
        </w:rPr>
      </w:pPr>
      <w:r>
        <w:rPr>
          <w:rFonts w:ascii="Arial" w:hAnsi="Arial" w:cs="Arial"/>
        </w:rPr>
        <w:t>_________________</w:t>
      </w:r>
    </w:p>
    <w:bookmarkStart w:id="18" w:name="_edn1"/>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 \o "" </w:instrText>
      </w:r>
      <w:r w:rsidRPr="00FC33EC">
        <w:rPr>
          <w:rFonts w:ascii="Arial" w:hAnsi="Arial" w:cs="Arial"/>
          <w:sz w:val="20"/>
          <w:szCs w:val="20"/>
        </w:rPr>
        <w:fldChar w:fldCharType="separate"/>
      </w:r>
      <w:r w:rsidRPr="00FC33EC">
        <w:rPr>
          <w:rStyle w:val="Hipervnculo"/>
          <w:rFonts w:ascii="Arial" w:hAnsi="Arial" w:cs="Arial"/>
          <w:sz w:val="20"/>
          <w:szCs w:val="20"/>
        </w:rPr>
        <w:t>[1]</w:t>
      </w:r>
      <w:r w:rsidRPr="00FC33EC">
        <w:rPr>
          <w:rFonts w:ascii="Arial" w:hAnsi="Arial" w:cs="Arial"/>
          <w:sz w:val="20"/>
          <w:szCs w:val="20"/>
        </w:rPr>
        <w:fldChar w:fldCharType="end"/>
      </w:r>
      <w:bookmarkEnd w:id="18"/>
      <w:r w:rsidRPr="00FC33EC">
        <w:rPr>
          <w:rFonts w:ascii="Arial" w:hAnsi="Arial" w:cs="Arial"/>
          <w:sz w:val="20"/>
          <w:szCs w:val="20"/>
        </w:rPr>
        <w:t> Esta declaración representa las opiniones del personal de la Oficina del Contador Jefe. No es una regla, regulación o declaración de la Comisión de Bolsa y Valores (SEC o la Comisión). La Comisión no ha aprobado ni desaprobado su contenido. Esta declaración, como todas las declaraciones del personal, no tiene fuerza ni efecto legal: no altera ni enmienda la ley aplicable y no crea obligaciones nuevas o adicionales para ninguna persona.</w:t>
      </w:r>
    </w:p>
    <w:bookmarkStart w:id="19" w:name="_edn2"/>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"_ednref2" \o "" </w:instrText>
      </w:r>
      <w:r w:rsidRPr="00FC33EC">
        <w:rPr>
          <w:rFonts w:ascii="Arial" w:hAnsi="Arial" w:cs="Arial"/>
          <w:sz w:val="20"/>
          <w:szCs w:val="20"/>
        </w:rPr>
        <w:fldChar w:fldCharType="separate"/>
      </w:r>
      <w:r w:rsidRPr="00FC33EC">
        <w:rPr>
          <w:rStyle w:val="Hipervnculo"/>
          <w:rFonts w:ascii="Arial" w:hAnsi="Arial" w:cs="Arial"/>
          <w:sz w:val="20"/>
          <w:szCs w:val="20"/>
        </w:rPr>
        <w:t>[2] </w:t>
      </w:r>
      <w:r w:rsidRPr="00FC33EC">
        <w:rPr>
          <w:rFonts w:ascii="Arial" w:hAnsi="Arial" w:cs="Arial"/>
          <w:sz w:val="20"/>
          <w:szCs w:val="20"/>
        </w:rPr>
        <w:fldChar w:fldCharType="end"/>
      </w:r>
      <w:bookmarkEnd w:id="19"/>
      <w:r w:rsidRPr="00FC33EC">
        <w:rPr>
          <w:rFonts w:ascii="Arial" w:hAnsi="Arial" w:cs="Arial"/>
          <w:i/>
          <w:iCs/>
          <w:sz w:val="20"/>
          <w:szCs w:val="20"/>
        </w:rPr>
        <w:t>Véase, por ejemplo, SEC Coronavirus (COVID-19) Response,</w:t>
      </w:r>
      <w:r w:rsidRPr="00FC33EC">
        <w:rPr>
          <w:rFonts w:ascii="Arial" w:hAnsi="Arial" w:cs="Arial"/>
          <w:sz w:val="20"/>
          <w:szCs w:val="20"/>
        </w:rPr>
        <w:t> </w:t>
      </w:r>
      <w:proofErr w:type="gramStart"/>
      <w:r w:rsidRPr="00FC33EC">
        <w:rPr>
          <w:rFonts w:ascii="Arial" w:hAnsi="Arial" w:cs="Arial"/>
          <w:sz w:val="20"/>
          <w:szCs w:val="20"/>
        </w:rPr>
        <w:t>SEC.gov </w:t>
      </w:r>
      <w:r w:rsidRPr="00FC33EC">
        <w:rPr>
          <w:rFonts w:ascii="Arial" w:hAnsi="Arial" w:cs="Arial"/>
          <w:i/>
          <w:iCs/>
          <w:sz w:val="20"/>
          <w:szCs w:val="20"/>
        </w:rPr>
        <w:t>,</w:t>
      </w:r>
      <w:proofErr w:type="gramEnd"/>
      <w:r w:rsidRPr="00FC33EC">
        <w:rPr>
          <w:rFonts w:ascii="Arial" w:hAnsi="Arial" w:cs="Arial"/>
          <w:i/>
          <w:iCs/>
          <w:sz w:val="20"/>
          <w:szCs w:val="20"/>
        </w:rPr>
        <w:t> </w:t>
      </w:r>
      <w:hyperlink r:id="rId7" w:history="1">
        <w:r w:rsidRPr="00FC33EC">
          <w:rPr>
            <w:rStyle w:val="Hipervnculo"/>
            <w:rFonts w:ascii="Arial" w:hAnsi="Arial" w:cs="Arial"/>
            <w:sz w:val="20"/>
            <w:szCs w:val="20"/>
          </w:rPr>
          <w:t>https://www.sec.gov/sec-coronavirus-covid-19-response</w:t>
        </w:r>
      </w:hyperlink>
      <w:r w:rsidRPr="00FC33EC">
        <w:rPr>
          <w:rFonts w:ascii="Arial" w:hAnsi="Arial" w:cs="Arial"/>
          <w:sz w:val="20"/>
          <w:szCs w:val="20"/>
        </w:rPr>
        <w:t> .</w:t>
      </w:r>
    </w:p>
    <w:bookmarkStart w:id="20" w:name="_edn3"/>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"_ednref3" \o "" </w:instrText>
      </w:r>
      <w:r w:rsidRPr="00FC33EC">
        <w:rPr>
          <w:rFonts w:ascii="Arial" w:hAnsi="Arial" w:cs="Arial"/>
          <w:sz w:val="20"/>
          <w:szCs w:val="20"/>
        </w:rPr>
        <w:fldChar w:fldCharType="separate"/>
      </w:r>
      <w:r w:rsidRPr="00FC33EC">
        <w:rPr>
          <w:rStyle w:val="Hipervnculo"/>
          <w:rFonts w:ascii="Arial" w:hAnsi="Arial" w:cs="Arial"/>
          <w:sz w:val="20"/>
          <w:szCs w:val="20"/>
        </w:rPr>
        <w:t>[3]</w:t>
      </w:r>
      <w:r w:rsidRPr="00FC33EC">
        <w:rPr>
          <w:rFonts w:ascii="Arial" w:hAnsi="Arial" w:cs="Arial"/>
          <w:sz w:val="20"/>
          <w:szCs w:val="20"/>
        </w:rPr>
        <w:fldChar w:fldCharType="end"/>
      </w:r>
      <w:bookmarkEnd w:id="20"/>
      <w:r w:rsidRPr="00FC33EC">
        <w:rPr>
          <w:rFonts w:ascii="Arial" w:hAnsi="Arial" w:cs="Arial"/>
          <w:sz w:val="20"/>
          <w:szCs w:val="20"/>
        </w:rPr>
        <w:t xml:space="preserve"> Presidente </w:t>
      </w:r>
      <w:proofErr w:type="spellStart"/>
      <w:r w:rsidRPr="00FC33EC">
        <w:rPr>
          <w:rFonts w:ascii="Arial" w:hAnsi="Arial" w:cs="Arial"/>
          <w:sz w:val="20"/>
          <w:szCs w:val="20"/>
        </w:rPr>
        <w:t>Jay</w:t>
      </w:r>
      <w:proofErr w:type="spellEnd"/>
      <w:r w:rsidRPr="00FC33EC">
        <w:rPr>
          <w:rFonts w:ascii="Arial" w:hAnsi="Arial" w:cs="Arial"/>
          <w:sz w:val="20"/>
          <w:szCs w:val="20"/>
        </w:rPr>
        <w:t xml:space="preserve"> Clayton, </w:t>
      </w:r>
      <w:r w:rsidRPr="00FC33EC">
        <w:rPr>
          <w:rFonts w:ascii="Arial" w:hAnsi="Arial" w:cs="Arial"/>
          <w:i/>
          <w:iCs/>
          <w:sz w:val="20"/>
          <w:szCs w:val="20"/>
        </w:rPr>
        <w:t>Las conexiones profundas y esenciales entre mercados, empresas y trabajadores y la importancia de mantener esas conexiones en nuestra lucha contra COVID-19</w:t>
      </w:r>
      <w:r w:rsidRPr="00FC33EC">
        <w:rPr>
          <w:rFonts w:ascii="Arial" w:hAnsi="Arial" w:cs="Arial"/>
          <w:sz w:val="20"/>
          <w:szCs w:val="20"/>
        </w:rPr>
        <w:t> (24 de marzo de 2020), </w:t>
      </w:r>
      <w:r w:rsidRPr="00FC33EC">
        <w:rPr>
          <w:rFonts w:ascii="Arial" w:hAnsi="Arial" w:cs="Arial"/>
          <w:i/>
          <w:iCs/>
          <w:sz w:val="20"/>
          <w:szCs w:val="20"/>
        </w:rPr>
        <w:t>disponible en </w:t>
      </w:r>
      <w:hyperlink r:id="rId8" w:history="1">
        <w:r w:rsidRPr="00FC33EC">
          <w:rPr>
            <w:rStyle w:val="Hipervnculo"/>
            <w:rFonts w:ascii="Arial" w:hAnsi="Arial" w:cs="Arial"/>
            <w:sz w:val="20"/>
            <w:szCs w:val="20"/>
          </w:rPr>
          <w:t xml:space="preserve">https: //www.sec. </w:t>
        </w:r>
        <w:proofErr w:type="gramStart"/>
        <w:r w:rsidRPr="00FC33EC">
          <w:rPr>
            <w:rStyle w:val="Hipervnculo"/>
            <w:rFonts w:ascii="Arial" w:hAnsi="Arial" w:cs="Arial"/>
            <w:sz w:val="20"/>
            <w:szCs w:val="20"/>
          </w:rPr>
          <w:t>gobierno</w:t>
        </w:r>
        <w:proofErr w:type="gramEnd"/>
        <w:r w:rsidRPr="00FC33EC">
          <w:rPr>
            <w:rStyle w:val="Hipervnculo"/>
            <w:rFonts w:ascii="Arial" w:hAnsi="Arial" w:cs="Arial"/>
            <w:sz w:val="20"/>
            <w:szCs w:val="20"/>
          </w:rPr>
          <w:t xml:space="preserve"> / noticias / declaración-pública / declaración-clayton-covid-19-2020-03-24</w:t>
        </w:r>
      </w:hyperlink>
      <w:r w:rsidRPr="00FC33EC">
        <w:rPr>
          <w:rFonts w:ascii="Arial" w:hAnsi="Arial" w:cs="Arial"/>
          <w:sz w:val="20"/>
          <w:szCs w:val="20"/>
        </w:rPr>
        <w:t> .</w:t>
      </w:r>
    </w:p>
    <w:bookmarkStart w:id="21" w:name="_edn4"/>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"_ednref4" \o "" </w:instrText>
      </w:r>
      <w:r w:rsidRPr="00FC33EC">
        <w:rPr>
          <w:rFonts w:ascii="Arial" w:hAnsi="Arial" w:cs="Arial"/>
          <w:sz w:val="20"/>
          <w:szCs w:val="20"/>
        </w:rPr>
        <w:fldChar w:fldCharType="separate"/>
      </w:r>
      <w:r w:rsidRPr="00FC33EC">
        <w:rPr>
          <w:rStyle w:val="Hipervnculo"/>
          <w:rFonts w:ascii="Arial" w:hAnsi="Arial" w:cs="Arial"/>
          <w:sz w:val="20"/>
          <w:szCs w:val="20"/>
        </w:rPr>
        <w:t>[4] </w:t>
      </w:r>
      <w:r w:rsidRPr="00FC33EC">
        <w:rPr>
          <w:rFonts w:ascii="Arial" w:hAnsi="Arial" w:cs="Arial"/>
          <w:sz w:val="20"/>
          <w:szCs w:val="20"/>
        </w:rPr>
        <w:fldChar w:fldCharType="end"/>
      </w:r>
      <w:bookmarkEnd w:id="21"/>
      <w:r w:rsidRPr="00FC33EC">
        <w:rPr>
          <w:rFonts w:ascii="Arial" w:hAnsi="Arial" w:cs="Arial"/>
          <w:i/>
          <w:iCs/>
          <w:sz w:val="20"/>
          <w:szCs w:val="20"/>
        </w:rPr>
        <w:t>Orden bajo la Sección 36 de la Ley de Bolsa de Valores de 1934 que Modifica las Exenciones de los Requisitos de Entrega de Informes y</w:t>
      </w:r>
      <w:r w:rsidRPr="00FC33EC">
        <w:rPr>
          <w:rFonts w:ascii="Arial" w:hAnsi="Arial" w:cs="Arial"/>
          <w:sz w:val="20"/>
          <w:szCs w:val="20"/>
        </w:rPr>
        <w:t>  Representantes </w:t>
      </w:r>
      <w:r w:rsidRPr="00FC33EC">
        <w:rPr>
          <w:rFonts w:ascii="Arial" w:hAnsi="Arial" w:cs="Arial"/>
          <w:i/>
          <w:iCs/>
          <w:sz w:val="20"/>
          <w:szCs w:val="20"/>
        </w:rPr>
        <w:t>para Empresas Públicas,</w:t>
      </w:r>
      <w:r w:rsidRPr="00FC33EC">
        <w:rPr>
          <w:rFonts w:ascii="Arial" w:hAnsi="Arial" w:cs="Arial"/>
          <w:sz w:val="20"/>
          <w:szCs w:val="20"/>
        </w:rPr>
        <w:t> Versión No. 34-88465 (25 de marzo de 2020),  </w:t>
      </w:r>
      <w:r w:rsidRPr="00FC33EC">
        <w:rPr>
          <w:rFonts w:ascii="Arial" w:hAnsi="Arial" w:cs="Arial"/>
          <w:i/>
          <w:iCs/>
          <w:sz w:val="20"/>
          <w:szCs w:val="20"/>
        </w:rPr>
        <w:t>disponible en </w:t>
      </w:r>
      <w:r w:rsidRPr="00FC33EC">
        <w:rPr>
          <w:rFonts w:ascii="Arial" w:hAnsi="Arial" w:cs="Arial"/>
          <w:sz w:val="20"/>
          <w:szCs w:val="20"/>
        </w:rPr>
        <w:t> </w:t>
      </w:r>
      <w:hyperlink r:id="rId9" w:history="1">
        <w:r w:rsidRPr="00FC33EC">
          <w:rPr>
            <w:rStyle w:val="Hipervnculo"/>
            <w:rFonts w:ascii="Arial" w:hAnsi="Arial" w:cs="Arial"/>
            <w:sz w:val="20"/>
            <w:szCs w:val="20"/>
          </w:rPr>
          <w:t xml:space="preserve">https: //www.sec. </w:t>
        </w:r>
        <w:proofErr w:type="spellStart"/>
        <w:proofErr w:type="gramStart"/>
        <w:r w:rsidRPr="00FC33EC">
          <w:rPr>
            <w:rStyle w:val="Hipervnculo"/>
            <w:rFonts w:ascii="Arial" w:hAnsi="Arial" w:cs="Arial"/>
            <w:sz w:val="20"/>
            <w:szCs w:val="20"/>
          </w:rPr>
          <w:t>gov</w:t>
        </w:r>
        <w:proofErr w:type="spellEnd"/>
        <w:proofErr w:type="gramEnd"/>
        <w:r w:rsidRPr="00FC33EC">
          <w:rPr>
            <w:rStyle w:val="Hipervnculo"/>
            <w:rFonts w:ascii="Arial" w:hAnsi="Arial" w:cs="Arial"/>
            <w:sz w:val="20"/>
            <w:szCs w:val="20"/>
          </w:rPr>
          <w:t xml:space="preserve"> / rules / </w:t>
        </w:r>
        <w:proofErr w:type="spellStart"/>
        <w:r w:rsidRPr="00FC33EC">
          <w:rPr>
            <w:rStyle w:val="Hipervnculo"/>
            <w:rFonts w:ascii="Arial" w:hAnsi="Arial" w:cs="Arial"/>
            <w:sz w:val="20"/>
            <w:szCs w:val="20"/>
          </w:rPr>
          <w:t>exorders</w:t>
        </w:r>
        <w:proofErr w:type="spellEnd"/>
        <w:r w:rsidRPr="00FC33EC">
          <w:rPr>
            <w:rStyle w:val="Hipervnculo"/>
            <w:rFonts w:ascii="Arial" w:hAnsi="Arial" w:cs="Arial"/>
            <w:sz w:val="20"/>
            <w:szCs w:val="20"/>
          </w:rPr>
          <w:t xml:space="preserve"> / 2020 / 34-88465.pdf</w:t>
        </w:r>
      </w:hyperlink>
      <w:r w:rsidRPr="00FC33EC">
        <w:rPr>
          <w:rFonts w:ascii="Arial" w:hAnsi="Arial" w:cs="Arial"/>
          <w:sz w:val="20"/>
          <w:szCs w:val="20"/>
        </w:rPr>
        <w:t> .</w:t>
      </w:r>
    </w:p>
    <w:bookmarkStart w:id="22" w:name="_edn5"/>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"_ednref5" \o "" </w:instrText>
      </w:r>
      <w:r w:rsidRPr="00FC33EC">
        <w:rPr>
          <w:rFonts w:ascii="Arial" w:hAnsi="Arial" w:cs="Arial"/>
          <w:sz w:val="20"/>
          <w:szCs w:val="20"/>
        </w:rPr>
        <w:fldChar w:fldCharType="separate"/>
      </w:r>
      <w:r w:rsidRPr="00FC33EC">
        <w:rPr>
          <w:rStyle w:val="Hipervnculo"/>
          <w:rFonts w:ascii="Arial" w:hAnsi="Arial" w:cs="Arial"/>
          <w:sz w:val="20"/>
          <w:szCs w:val="20"/>
        </w:rPr>
        <w:t>[5]</w:t>
      </w:r>
      <w:r w:rsidRPr="00FC33EC">
        <w:rPr>
          <w:rFonts w:ascii="Arial" w:hAnsi="Arial" w:cs="Arial"/>
          <w:sz w:val="20"/>
          <w:szCs w:val="20"/>
        </w:rPr>
        <w:fldChar w:fldCharType="end"/>
      </w:r>
      <w:bookmarkEnd w:id="22"/>
      <w:r w:rsidRPr="00FC33EC">
        <w:rPr>
          <w:rFonts w:ascii="Arial" w:hAnsi="Arial" w:cs="Arial"/>
          <w:sz w:val="20"/>
          <w:szCs w:val="20"/>
        </w:rPr>
        <w:t> </w:t>
      </w:r>
      <w:proofErr w:type="spellStart"/>
      <w:r w:rsidRPr="00FC33EC">
        <w:rPr>
          <w:rFonts w:ascii="Arial" w:hAnsi="Arial" w:cs="Arial"/>
          <w:sz w:val="20"/>
          <w:szCs w:val="20"/>
        </w:rPr>
        <w:t>Division</w:t>
      </w:r>
      <w:proofErr w:type="spellEnd"/>
      <w:r w:rsidRPr="00FC33EC">
        <w:rPr>
          <w:rFonts w:ascii="Arial" w:hAnsi="Arial" w:cs="Arial"/>
          <w:sz w:val="20"/>
          <w:szCs w:val="20"/>
        </w:rPr>
        <w:t xml:space="preserve"> of </w:t>
      </w:r>
      <w:proofErr w:type="spellStart"/>
      <w:r w:rsidRPr="00FC33EC">
        <w:rPr>
          <w:rFonts w:ascii="Arial" w:hAnsi="Arial" w:cs="Arial"/>
          <w:sz w:val="20"/>
          <w:szCs w:val="20"/>
        </w:rPr>
        <w:t>Corporation</w:t>
      </w:r>
      <w:proofErr w:type="spellEnd"/>
      <w:r w:rsidRPr="00FC33EC">
        <w:rPr>
          <w:rFonts w:ascii="Arial" w:hAnsi="Arial" w:cs="Arial"/>
          <w:sz w:val="20"/>
          <w:szCs w:val="20"/>
        </w:rPr>
        <w:t xml:space="preserve"> </w:t>
      </w:r>
      <w:proofErr w:type="spellStart"/>
      <w:r w:rsidRPr="00FC33EC">
        <w:rPr>
          <w:rFonts w:ascii="Arial" w:hAnsi="Arial" w:cs="Arial"/>
          <w:sz w:val="20"/>
          <w:szCs w:val="20"/>
        </w:rPr>
        <w:t>Finance</w:t>
      </w:r>
      <w:proofErr w:type="spellEnd"/>
      <w:r w:rsidRPr="00FC33EC">
        <w:rPr>
          <w:rFonts w:ascii="Arial" w:hAnsi="Arial" w:cs="Arial"/>
          <w:sz w:val="20"/>
          <w:szCs w:val="20"/>
        </w:rPr>
        <w:t>, </w:t>
      </w:r>
      <w:r w:rsidRPr="00FC33EC">
        <w:rPr>
          <w:rFonts w:ascii="Arial" w:hAnsi="Arial" w:cs="Arial"/>
          <w:i/>
          <w:iCs/>
          <w:sz w:val="20"/>
          <w:szCs w:val="20"/>
        </w:rPr>
        <w:t xml:space="preserve">CF </w:t>
      </w:r>
      <w:proofErr w:type="spellStart"/>
      <w:r w:rsidRPr="00FC33EC">
        <w:rPr>
          <w:rFonts w:ascii="Arial" w:hAnsi="Arial" w:cs="Arial"/>
          <w:i/>
          <w:iCs/>
          <w:sz w:val="20"/>
          <w:szCs w:val="20"/>
        </w:rPr>
        <w:t>Disclosure</w:t>
      </w:r>
      <w:proofErr w:type="spellEnd"/>
      <w:r w:rsidRPr="00FC33EC">
        <w:rPr>
          <w:rFonts w:ascii="Arial" w:hAnsi="Arial" w:cs="Arial"/>
          <w:i/>
          <w:iCs/>
          <w:sz w:val="20"/>
          <w:szCs w:val="20"/>
        </w:rPr>
        <w:t xml:space="preserve"> </w:t>
      </w:r>
      <w:proofErr w:type="spellStart"/>
      <w:r w:rsidRPr="00FC33EC">
        <w:rPr>
          <w:rFonts w:ascii="Arial" w:hAnsi="Arial" w:cs="Arial"/>
          <w:i/>
          <w:iCs/>
          <w:sz w:val="20"/>
          <w:szCs w:val="20"/>
        </w:rPr>
        <w:t>Guidance</w:t>
      </w:r>
      <w:proofErr w:type="spellEnd"/>
      <w:r w:rsidRPr="00FC33EC">
        <w:rPr>
          <w:rFonts w:ascii="Arial" w:hAnsi="Arial" w:cs="Arial"/>
          <w:i/>
          <w:iCs/>
          <w:sz w:val="20"/>
          <w:szCs w:val="20"/>
        </w:rPr>
        <w:t xml:space="preserve">: </w:t>
      </w:r>
      <w:proofErr w:type="spellStart"/>
      <w:r w:rsidRPr="00FC33EC">
        <w:rPr>
          <w:rFonts w:ascii="Arial" w:hAnsi="Arial" w:cs="Arial"/>
          <w:i/>
          <w:iCs/>
          <w:sz w:val="20"/>
          <w:szCs w:val="20"/>
        </w:rPr>
        <w:t>Topic</w:t>
      </w:r>
      <w:proofErr w:type="spellEnd"/>
      <w:r w:rsidRPr="00FC33EC">
        <w:rPr>
          <w:rFonts w:ascii="Arial" w:hAnsi="Arial" w:cs="Arial"/>
          <w:i/>
          <w:iCs/>
          <w:sz w:val="20"/>
          <w:szCs w:val="20"/>
        </w:rPr>
        <w:t xml:space="preserve"> No. 9</w:t>
      </w:r>
      <w:r w:rsidRPr="00FC33EC">
        <w:rPr>
          <w:rFonts w:ascii="Arial" w:hAnsi="Arial" w:cs="Arial"/>
          <w:sz w:val="20"/>
          <w:szCs w:val="20"/>
        </w:rPr>
        <w:t> (25 de marzo de 2020), </w:t>
      </w:r>
      <w:r w:rsidRPr="00FC33EC">
        <w:rPr>
          <w:rFonts w:ascii="Arial" w:hAnsi="Arial" w:cs="Arial"/>
          <w:i/>
          <w:iCs/>
          <w:sz w:val="20"/>
          <w:szCs w:val="20"/>
        </w:rPr>
        <w:t>disponible en </w:t>
      </w:r>
      <w:hyperlink r:id="rId10" w:history="1">
        <w:r w:rsidRPr="00FC33EC">
          <w:rPr>
            <w:rStyle w:val="Hipervnculo"/>
            <w:rFonts w:ascii="Arial" w:hAnsi="Arial" w:cs="Arial"/>
            <w:sz w:val="20"/>
            <w:szCs w:val="20"/>
          </w:rPr>
          <w:t>https://www.sec.gov/corpfin/coronavirus-covid-19</w:t>
        </w:r>
      </w:hyperlink>
      <w:r w:rsidRPr="00FC33EC">
        <w:rPr>
          <w:rFonts w:ascii="Arial" w:hAnsi="Arial" w:cs="Arial"/>
          <w:sz w:val="20"/>
          <w:szCs w:val="20"/>
        </w:rPr>
        <w:t> . </w:t>
      </w:r>
    </w:p>
    <w:bookmarkStart w:id="23" w:name="_edn6"/>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"_ednref6" \o "" </w:instrText>
      </w:r>
      <w:r w:rsidRPr="00FC33EC">
        <w:rPr>
          <w:rFonts w:ascii="Arial" w:hAnsi="Arial" w:cs="Arial"/>
          <w:sz w:val="20"/>
          <w:szCs w:val="20"/>
        </w:rPr>
        <w:fldChar w:fldCharType="separate"/>
      </w:r>
      <w:r w:rsidRPr="00FC33EC">
        <w:rPr>
          <w:rStyle w:val="Hipervnculo"/>
          <w:rFonts w:ascii="Arial" w:hAnsi="Arial" w:cs="Arial"/>
          <w:sz w:val="20"/>
          <w:szCs w:val="20"/>
        </w:rPr>
        <w:t>[6]</w:t>
      </w:r>
      <w:r w:rsidRPr="00FC33EC">
        <w:rPr>
          <w:rFonts w:ascii="Arial" w:hAnsi="Arial" w:cs="Arial"/>
          <w:sz w:val="20"/>
          <w:szCs w:val="20"/>
        </w:rPr>
        <w:fldChar w:fldCharType="end"/>
      </w:r>
      <w:bookmarkEnd w:id="23"/>
      <w:r w:rsidRPr="00FC33EC">
        <w:rPr>
          <w:rFonts w:ascii="Arial" w:hAnsi="Arial" w:cs="Arial"/>
          <w:sz w:val="20"/>
          <w:szCs w:val="20"/>
        </w:rPr>
        <w:t xml:space="preserve"> Contador jefe </w:t>
      </w:r>
      <w:proofErr w:type="spellStart"/>
      <w:r w:rsidRPr="00FC33EC">
        <w:rPr>
          <w:rFonts w:ascii="Arial" w:hAnsi="Arial" w:cs="Arial"/>
          <w:sz w:val="20"/>
          <w:szCs w:val="20"/>
        </w:rPr>
        <w:t>Sagar</w:t>
      </w:r>
      <w:proofErr w:type="spellEnd"/>
      <w:r w:rsidRPr="00FC33EC">
        <w:rPr>
          <w:rFonts w:ascii="Arial" w:hAnsi="Arial" w:cs="Arial"/>
          <w:sz w:val="20"/>
          <w:szCs w:val="20"/>
        </w:rPr>
        <w:t xml:space="preserve"> </w:t>
      </w:r>
      <w:proofErr w:type="spellStart"/>
      <w:r w:rsidRPr="00FC33EC">
        <w:rPr>
          <w:rFonts w:ascii="Arial" w:hAnsi="Arial" w:cs="Arial"/>
          <w:sz w:val="20"/>
          <w:szCs w:val="20"/>
        </w:rPr>
        <w:t>Teotia</w:t>
      </w:r>
      <w:proofErr w:type="spellEnd"/>
      <w:r w:rsidRPr="00FC33EC">
        <w:rPr>
          <w:rFonts w:ascii="Arial" w:hAnsi="Arial" w:cs="Arial"/>
          <w:sz w:val="20"/>
          <w:szCs w:val="20"/>
        </w:rPr>
        <w:t>, </w:t>
      </w:r>
      <w:r w:rsidRPr="00FC33EC">
        <w:rPr>
          <w:rFonts w:ascii="Arial" w:hAnsi="Arial" w:cs="Arial"/>
          <w:i/>
          <w:iCs/>
          <w:sz w:val="20"/>
          <w:szCs w:val="20"/>
        </w:rPr>
        <w:t>Declaración en relación con la Conferencia AICPA de 2019 sobre los desarrollos actuales de la SEC y la PCAOB</w:t>
      </w:r>
      <w:r w:rsidRPr="00FC33EC">
        <w:rPr>
          <w:rFonts w:ascii="Arial" w:hAnsi="Arial" w:cs="Arial"/>
          <w:sz w:val="20"/>
          <w:szCs w:val="20"/>
        </w:rPr>
        <w:t> (9 de diciembre de 2019), </w:t>
      </w:r>
      <w:r w:rsidRPr="00FC33EC">
        <w:rPr>
          <w:rFonts w:ascii="Arial" w:hAnsi="Arial" w:cs="Arial"/>
          <w:i/>
          <w:iCs/>
          <w:sz w:val="20"/>
          <w:szCs w:val="20"/>
        </w:rPr>
        <w:t>disponible en </w:t>
      </w:r>
      <w:hyperlink r:id="rId11" w:history="1">
        <w:r w:rsidRPr="00FC33EC">
          <w:rPr>
            <w:rStyle w:val="Hipervnculo"/>
            <w:rFonts w:ascii="Arial" w:hAnsi="Arial" w:cs="Arial"/>
            <w:sz w:val="20"/>
            <w:szCs w:val="20"/>
          </w:rPr>
          <w:t>https://www.sec.gov/news/speech/teotia-speech-2019 -</w:t>
        </w:r>
        <w:proofErr w:type="spellStart"/>
        <w:r w:rsidRPr="00FC33EC">
          <w:rPr>
            <w:rStyle w:val="Hipervnculo"/>
            <w:rFonts w:ascii="Arial" w:hAnsi="Arial" w:cs="Arial"/>
            <w:sz w:val="20"/>
            <w:szCs w:val="20"/>
          </w:rPr>
          <w:t>aicpa</w:t>
        </w:r>
        <w:proofErr w:type="spellEnd"/>
        <w:r w:rsidRPr="00FC33EC">
          <w:rPr>
            <w:rStyle w:val="Hipervnculo"/>
            <w:rFonts w:ascii="Arial" w:hAnsi="Arial" w:cs="Arial"/>
            <w:sz w:val="20"/>
            <w:szCs w:val="20"/>
          </w:rPr>
          <w:t>-conferencia</w:t>
        </w:r>
      </w:hyperlink>
      <w:r w:rsidRPr="00FC33EC">
        <w:rPr>
          <w:rFonts w:ascii="Arial" w:hAnsi="Arial" w:cs="Arial"/>
          <w:sz w:val="20"/>
          <w:szCs w:val="20"/>
        </w:rPr>
        <w:t> .</w:t>
      </w:r>
    </w:p>
    <w:bookmarkStart w:id="24" w:name="_edn7"/>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"_ednref7" \o "" </w:instrText>
      </w:r>
      <w:r w:rsidRPr="00FC33EC">
        <w:rPr>
          <w:rFonts w:ascii="Arial" w:hAnsi="Arial" w:cs="Arial"/>
          <w:sz w:val="20"/>
          <w:szCs w:val="20"/>
        </w:rPr>
        <w:fldChar w:fldCharType="separate"/>
      </w:r>
      <w:r w:rsidRPr="00FC33EC">
        <w:rPr>
          <w:rStyle w:val="Hipervnculo"/>
          <w:rFonts w:ascii="Arial" w:hAnsi="Arial" w:cs="Arial"/>
          <w:sz w:val="20"/>
          <w:szCs w:val="20"/>
        </w:rPr>
        <w:t>[7]</w:t>
      </w:r>
      <w:r w:rsidRPr="00FC33EC">
        <w:rPr>
          <w:rFonts w:ascii="Arial" w:hAnsi="Arial" w:cs="Arial"/>
          <w:sz w:val="20"/>
          <w:szCs w:val="20"/>
        </w:rPr>
        <w:fldChar w:fldCharType="end"/>
      </w:r>
      <w:bookmarkEnd w:id="24"/>
      <w:r w:rsidRPr="00FC33EC">
        <w:rPr>
          <w:rFonts w:ascii="Arial" w:hAnsi="Arial" w:cs="Arial"/>
          <w:sz w:val="20"/>
          <w:szCs w:val="20"/>
        </w:rPr>
        <w:t> Más información sobre cómo iniciar un diálogo con OCA y qué esperar del proceso de consulta está disponible en nuestro sitio web, </w:t>
      </w:r>
      <w:r w:rsidRPr="00FC33EC">
        <w:rPr>
          <w:rFonts w:ascii="Arial" w:hAnsi="Arial" w:cs="Arial"/>
          <w:i/>
          <w:iCs/>
          <w:sz w:val="20"/>
          <w:szCs w:val="20"/>
        </w:rPr>
        <w:t xml:space="preserve">Comunicando con </w:t>
      </w:r>
      <w:proofErr w:type="gramStart"/>
      <w:r w:rsidRPr="00FC33EC">
        <w:rPr>
          <w:rFonts w:ascii="Arial" w:hAnsi="Arial" w:cs="Arial"/>
          <w:i/>
          <w:iCs/>
          <w:sz w:val="20"/>
          <w:szCs w:val="20"/>
        </w:rPr>
        <w:t>OCA</w:t>
      </w:r>
      <w:r w:rsidRPr="00FC33EC">
        <w:rPr>
          <w:rFonts w:ascii="Arial" w:hAnsi="Arial" w:cs="Arial"/>
          <w:sz w:val="20"/>
          <w:szCs w:val="20"/>
        </w:rPr>
        <w:t> ,</w:t>
      </w:r>
      <w:proofErr w:type="gramEnd"/>
      <w:r w:rsidRPr="00FC33EC">
        <w:rPr>
          <w:rFonts w:ascii="Arial" w:hAnsi="Arial" w:cs="Arial"/>
          <w:sz w:val="20"/>
          <w:szCs w:val="20"/>
        </w:rPr>
        <w:t xml:space="preserve"> SEC.gov,  </w:t>
      </w:r>
      <w:hyperlink r:id="rId12" w:history="1">
        <w:r w:rsidRPr="00FC33EC">
          <w:rPr>
            <w:rStyle w:val="Hipervnculo"/>
            <w:rFonts w:ascii="Arial" w:hAnsi="Arial" w:cs="Arial"/>
            <w:sz w:val="20"/>
            <w:szCs w:val="20"/>
          </w:rPr>
          <w:t>https://www.sec.gov/page/communicating-oca</w:t>
        </w:r>
      </w:hyperlink>
      <w:r w:rsidRPr="00FC33EC">
        <w:rPr>
          <w:rFonts w:ascii="Arial" w:hAnsi="Arial" w:cs="Arial"/>
          <w:sz w:val="20"/>
          <w:szCs w:val="20"/>
        </w:rPr>
        <w:t> .</w:t>
      </w:r>
    </w:p>
    <w:bookmarkStart w:id="25" w:name="_edn8"/>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"_ednref8" \o "" </w:instrText>
      </w:r>
      <w:r w:rsidRPr="00FC33EC">
        <w:rPr>
          <w:rFonts w:ascii="Arial" w:hAnsi="Arial" w:cs="Arial"/>
          <w:sz w:val="20"/>
          <w:szCs w:val="20"/>
        </w:rPr>
        <w:fldChar w:fldCharType="separate"/>
      </w:r>
      <w:r w:rsidRPr="00FC33EC">
        <w:rPr>
          <w:rStyle w:val="Hipervnculo"/>
          <w:rFonts w:ascii="Arial" w:hAnsi="Arial" w:cs="Arial"/>
          <w:sz w:val="20"/>
          <w:szCs w:val="20"/>
        </w:rPr>
        <w:t>[8] </w:t>
      </w:r>
      <w:r w:rsidRPr="00FC33EC">
        <w:rPr>
          <w:rFonts w:ascii="Arial" w:hAnsi="Arial" w:cs="Arial"/>
          <w:sz w:val="20"/>
          <w:szCs w:val="20"/>
        </w:rPr>
        <w:fldChar w:fldCharType="end"/>
      </w:r>
      <w:bookmarkEnd w:id="25"/>
      <w:r w:rsidRPr="00FC33EC">
        <w:rPr>
          <w:rFonts w:ascii="Arial" w:hAnsi="Arial" w:cs="Arial"/>
          <w:i/>
          <w:iCs/>
          <w:sz w:val="20"/>
          <w:szCs w:val="20"/>
        </w:rPr>
        <w:t>Véase, por ejemplo,</w:t>
      </w:r>
      <w:r w:rsidRPr="00FC33EC">
        <w:rPr>
          <w:rFonts w:ascii="Arial" w:hAnsi="Arial" w:cs="Arial"/>
          <w:sz w:val="20"/>
          <w:szCs w:val="20"/>
        </w:rPr>
        <w:t xml:space="preserve"> Jefe de contabilidad </w:t>
      </w:r>
      <w:proofErr w:type="spellStart"/>
      <w:r w:rsidRPr="00FC33EC">
        <w:rPr>
          <w:rFonts w:ascii="Arial" w:hAnsi="Arial" w:cs="Arial"/>
          <w:sz w:val="20"/>
          <w:szCs w:val="20"/>
        </w:rPr>
        <w:t>Sagar</w:t>
      </w:r>
      <w:proofErr w:type="spellEnd"/>
      <w:r w:rsidRPr="00FC33EC">
        <w:rPr>
          <w:rFonts w:ascii="Arial" w:hAnsi="Arial" w:cs="Arial"/>
          <w:sz w:val="20"/>
          <w:szCs w:val="20"/>
        </w:rPr>
        <w:t xml:space="preserve"> </w:t>
      </w:r>
      <w:proofErr w:type="spellStart"/>
      <w:r w:rsidRPr="00FC33EC">
        <w:rPr>
          <w:rFonts w:ascii="Arial" w:hAnsi="Arial" w:cs="Arial"/>
          <w:sz w:val="20"/>
          <w:szCs w:val="20"/>
        </w:rPr>
        <w:t>Teotia</w:t>
      </w:r>
      <w:proofErr w:type="spellEnd"/>
      <w:r w:rsidRPr="00FC33EC">
        <w:rPr>
          <w:rFonts w:ascii="Arial" w:hAnsi="Arial" w:cs="Arial"/>
          <w:sz w:val="20"/>
          <w:szCs w:val="20"/>
        </w:rPr>
        <w:t>, </w:t>
      </w:r>
      <w:r w:rsidRPr="00FC33EC">
        <w:rPr>
          <w:rFonts w:ascii="Arial" w:hAnsi="Arial" w:cs="Arial"/>
          <w:i/>
          <w:iCs/>
          <w:sz w:val="20"/>
          <w:szCs w:val="20"/>
        </w:rPr>
        <w:t>Comentarios antes de la Conferencia Nacional de Bancos e Instituciones de Ahorro de la AICPA</w:t>
      </w:r>
      <w:r w:rsidRPr="00FC33EC">
        <w:rPr>
          <w:rFonts w:ascii="Arial" w:hAnsi="Arial" w:cs="Arial"/>
          <w:sz w:val="20"/>
          <w:szCs w:val="20"/>
        </w:rPr>
        <w:t> (9 de septiembre de 2019), </w:t>
      </w:r>
      <w:r w:rsidRPr="00FC33EC">
        <w:rPr>
          <w:rFonts w:ascii="Arial" w:hAnsi="Arial" w:cs="Arial"/>
          <w:i/>
          <w:iCs/>
          <w:sz w:val="20"/>
          <w:szCs w:val="20"/>
        </w:rPr>
        <w:t>disponible en </w:t>
      </w:r>
      <w:hyperlink r:id="rId13" w:history="1">
        <w:r w:rsidRPr="00FC33EC">
          <w:rPr>
            <w:rStyle w:val="Hipervnculo"/>
            <w:rFonts w:ascii="Arial" w:hAnsi="Arial" w:cs="Arial"/>
            <w:sz w:val="20"/>
            <w:szCs w:val="20"/>
          </w:rPr>
          <w:t xml:space="preserve">https://www.sec.gov/news/speech/teotia-remarks- </w:t>
        </w:r>
        <w:proofErr w:type="spellStart"/>
        <w:r w:rsidRPr="00FC33EC">
          <w:rPr>
            <w:rStyle w:val="Hipervnculo"/>
            <w:rFonts w:ascii="Arial" w:hAnsi="Arial" w:cs="Arial"/>
            <w:sz w:val="20"/>
            <w:szCs w:val="20"/>
          </w:rPr>
          <w:t>aicpa</w:t>
        </w:r>
        <w:proofErr w:type="spellEnd"/>
        <w:r w:rsidRPr="00FC33EC">
          <w:rPr>
            <w:rStyle w:val="Hipervnculo"/>
            <w:rFonts w:ascii="Arial" w:hAnsi="Arial" w:cs="Arial"/>
            <w:sz w:val="20"/>
            <w:szCs w:val="20"/>
          </w:rPr>
          <w:t>-conferencia-nacional-bancos-instituciones-de-ahorro</w:t>
        </w:r>
      </w:hyperlink>
      <w:r w:rsidRPr="00FC33EC">
        <w:rPr>
          <w:rFonts w:ascii="Arial" w:hAnsi="Arial" w:cs="Arial"/>
          <w:sz w:val="20"/>
          <w:szCs w:val="20"/>
        </w:rPr>
        <w:t> .</w:t>
      </w:r>
    </w:p>
    <w:bookmarkStart w:id="26" w:name="_edn9"/>
    <w:p w:rsidR="00FC33EC" w:rsidRPr="00FC33EC" w:rsidRDefault="00FC33EC" w:rsidP="00FC33EC">
      <w:pPr>
        <w:jc w:val="both"/>
        <w:rPr>
          <w:rFonts w:ascii="Arial" w:hAnsi="Arial" w:cs="Arial"/>
          <w:sz w:val="20"/>
          <w:szCs w:val="20"/>
        </w:rPr>
      </w:pPr>
      <w:r w:rsidRPr="00FC33EC">
        <w:rPr>
          <w:rFonts w:ascii="Arial" w:hAnsi="Arial" w:cs="Arial"/>
          <w:sz w:val="20"/>
          <w:szCs w:val="20"/>
        </w:rPr>
        <w:lastRenderedPageBreak/>
        <w:fldChar w:fldCharType="begin"/>
      </w:r>
      <w:r w:rsidRPr="00FC33EC">
        <w:rPr>
          <w:rFonts w:ascii="Arial" w:hAnsi="Arial" w:cs="Arial"/>
          <w:sz w:val="20"/>
          <w:szCs w:val="20"/>
        </w:rPr>
        <w:instrText xml:space="preserve"> HYPERLINK "https://www.sec.gov/news/public-statement/statement-teotia-financial-reporting-covid-19-2020-04-03" \l "_ednref9" \o "" </w:instrText>
      </w:r>
      <w:r w:rsidRPr="00FC33EC">
        <w:rPr>
          <w:rFonts w:ascii="Arial" w:hAnsi="Arial" w:cs="Arial"/>
          <w:sz w:val="20"/>
          <w:szCs w:val="20"/>
        </w:rPr>
        <w:fldChar w:fldCharType="separate"/>
      </w:r>
      <w:r w:rsidRPr="00FC33EC">
        <w:rPr>
          <w:rStyle w:val="Hipervnculo"/>
          <w:rFonts w:ascii="Arial" w:hAnsi="Arial" w:cs="Arial"/>
          <w:sz w:val="20"/>
          <w:szCs w:val="20"/>
        </w:rPr>
        <w:t>[9]</w:t>
      </w:r>
      <w:r w:rsidRPr="00FC33EC">
        <w:rPr>
          <w:rFonts w:ascii="Arial" w:hAnsi="Arial" w:cs="Arial"/>
          <w:sz w:val="20"/>
          <w:szCs w:val="20"/>
        </w:rPr>
        <w:fldChar w:fldCharType="end"/>
      </w:r>
      <w:bookmarkEnd w:id="26"/>
      <w:r w:rsidRPr="00FC33EC">
        <w:rPr>
          <w:rFonts w:ascii="Arial" w:hAnsi="Arial" w:cs="Arial"/>
          <w:sz w:val="20"/>
          <w:szCs w:val="20"/>
        </w:rPr>
        <w:t> Código 326 de la codificación de normas de contabilidad de FASB, </w:t>
      </w:r>
      <w:r w:rsidRPr="00FC33EC">
        <w:rPr>
          <w:rFonts w:ascii="Arial" w:hAnsi="Arial" w:cs="Arial"/>
          <w:i/>
          <w:iCs/>
          <w:sz w:val="20"/>
          <w:szCs w:val="20"/>
        </w:rPr>
        <w:t>Instrumentos financieros - Pérdidas crediticias</w:t>
      </w:r>
    </w:p>
    <w:bookmarkStart w:id="27" w:name="_edn10"/>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"_ednref10" \o "" </w:instrText>
      </w:r>
      <w:r w:rsidRPr="00FC33EC">
        <w:rPr>
          <w:rFonts w:ascii="Arial" w:hAnsi="Arial" w:cs="Arial"/>
          <w:sz w:val="20"/>
          <w:szCs w:val="20"/>
        </w:rPr>
        <w:fldChar w:fldCharType="separate"/>
      </w:r>
      <w:r w:rsidRPr="00FC33EC">
        <w:rPr>
          <w:rStyle w:val="Hipervnculo"/>
          <w:rFonts w:ascii="Arial" w:hAnsi="Arial" w:cs="Arial"/>
          <w:sz w:val="20"/>
          <w:szCs w:val="20"/>
        </w:rPr>
        <w:t>[10] La</w:t>
      </w:r>
      <w:r w:rsidRPr="00FC33EC">
        <w:rPr>
          <w:rFonts w:ascii="Arial" w:hAnsi="Arial" w:cs="Arial"/>
          <w:sz w:val="20"/>
          <w:szCs w:val="20"/>
        </w:rPr>
        <w:fldChar w:fldCharType="end"/>
      </w:r>
      <w:bookmarkEnd w:id="27"/>
      <w:r w:rsidRPr="00FC33EC">
        <w:rPr>
          <w:rFonts w:ascii="Arial" w:hAnsi="Arial" w:cs="Arial"/>
          <w:sz w:val="20"/>
          <w:szCs w:val="20"/>
        </w:rPr>
        <w:t> Sección 4014 de la Ley CARES establece que ninguna institución depositaria asegurada, compañía controladora bancaria o cualquier afiliada de la misma deberá cumplir con la Actualización de Normas Contables N ° 2016-13 de FASB, </w:t>
      </w:r>
      <w:r w:rsidRPr="00FC33EC">
        <w:rPr>
          <w:rFonts w:ascii="Arial" w:hAnsi="Arial" w:cs="Arial"/>
          <w:i/>
          <w:iCs/>
          <w:sz w:val="20"/>
          <w:szCs w:val="20"/>
        </w:rPr>
        <w:t>Instrumentos financieros - Pérdidas crediticias (Tema 326): Medición de Pérdidas Crediticias en Instrumentos Financieros</w:t>
      </w:r>
      <w:r w:rsidRPr="00FC33EC">
        <w:rPr>
          <w:rFonts w:ascii="Arial" w:hAnsi="Arial" w:cs="Arial"/>
          <w:sz w:val="20"/>
          <w:szCs w:val="20"/>
        </w:rPr>
        <w:t xml:space="preserve"> (“CECL”) durante el período que comienza el 27 de marzo de 2020 hasta la primera de (1) la fecha en la que la emergencia nacional relacionada con el brote de COVID-19 declarada por el Presidente el 13 de marzo de 2020 bajo la Ley Nacional de Emergencias (50 USC 1601 et </w:t>
      </w:r>
      <w:proofErr w:type="spellStart"/>
      <w:r w:rsidRPr="00FC33EC">
        <w:rPr>
          <w:rFonts w:ascii="Arial" w:hAnsi="Arial" w:cs="Arial"/>
          <w:sz w:val="20"/>
          <w:szCs w:val="20"/>
        </w:rPr>
        <w:t>seq</w:t>
      </w:r>
      <w:proofErr w:type="spellEnd"/>
      <w:r w:rsidRPr="00FC33EC">
        <w:rPr>
          <w:rFonts w:ascii="Arial" w:hAnsi="Arial" w:cs="Arial"/>
          <w:sz w:val="20"/>
          <w:szCs w:val="20"/>
        </w:rPr>
        <w:t>.) termina; o (2) 31 de diciembre de 2020. La Sección 4013 de la Ley CARES establece que una institución financiera puede optar por suspender la contabilidad de reestructuración de deuda en problemas ("TDR") según los PCGA ( </w:t>
      </w:r>
      <w:proofErr w:type="spellStart"/>
      <w:r w:rsidRPr="00FC33EC">
        <w:rPr>
          <w:rFonts w:ascii="Arial" w:hAnsi="Arial" w:cs="Arial"/>
          <w:i/>
          <w:iCs/>
          <w:sz w:val="20"/>
          <w:szCs w:val="20"/>
        </w:rPr>
        <w:t>ver</w:t>
      </w:r>
      <w:r w:rsidRPr="00FC33EC">
        <w:rPr>
          <w:rFonts w:ascii="Arial" w:hAnsi="Arial" w:cs="Arial"/>
          <w:sz w:val="20"/>
          <w:szCs w:val="20"/>
        </w:rPr>
        <w:t>Subtema</w:t>
      </w:r>
      <w:proofErr w:type="spellEnd"/>
      <w:r w:rsidRPr="00FC33EC">
        <w:rPr>
          <w:rFonts w:ascii="Arial" w:hAnsi="Arial" w:cs="Arial"/>
          <w:sz w:val="20"/>
          <w:szCs w:val="20"/>
        </w:rPr>
        <w:t xml:space="preserve"> 310-40 de Codificación de Normas de Contabilidad de FASB, Reestructuraciones de </w:t>
      </w:r>
      <w:r w:rsidRPr="00FC33EC">
        <w:rPr>
          <w:rFonts w:ascii="Arial" w:hAnsi="Arial" w:cs="Arial"/>
          <w:i/>
          <w:iCs/>
          <w:sz w:val="20"/>
          <w:szCs w:val="20"/>
        </w:rPr>
        <w:t>Deudas con Problemas de Cuentas por Cobrar por Acreedores</w:t>
      </w:r>
      <w:r w:rsidRPr="00FC33EC">
        <w:rPr>
          <w:rFonts w:ascii="Arial" w:hAnsi="Arial" w:cs="Arial"/>
          <w:sz w:val="20"/>
          <w:szCs w:val="20"/>
        </w:rPr>
        <w:t xml:space="preserve"> ) en ciertas circunstancias, durante el período que comienza el 1 de marzo de 2020 y termina el 31 de diciembre de 2020, lo que sea primero, o la fecha que sea 60 días después de la fecha. </w:t>
      </w:r>
      <w:proofErr w:type="gramStart"/>
      <w:r w:rsidRPr="00FC33EC">
        <w:rPr>
          <w:rFonts w:ascii="Arial" w:hAnsi="Arial" w:cs="Arial"/>
          <w:sz w:val="20"/>
          <w:szCs w:val="20"/>
        </w:rPr>
        <w:t>sobre</w:t>
      </w:r>
      <w:proofErr w:type="gramEnd"/>
      <w:r w:rsidRPr="00FC33EC">
        <w:rPr>
          <w:rFonts w:ascii="Arial" w:hAnsi="Arial" w:cs="Arial"/>
          <w:sz w:val="20"/>
          <w:szCs w:val="20"/>
        </w:rPr>
        <w:t xml:space="preserve"> el cual finaliza la emergencia nacional relacionada con el brote de COVID-19 declarado por el Presidente el 13 de marzo de 2020 en virtud de la Ley de Emergencias Nacionales.</w:t>
      </w:r>
    </w:p>
    <w:bookmarkStart w:id="28" w:name="_edn11"/>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"_ednref11" \o "" </w:instrText>
      </w:r>
      <w:r w:rsidRPr="00FC33EC">
        <w:rPr>
          <w:rFonts w:ascii="Arial" w:hAnsi="Arial" w:cs="Arial"/>
          <w:sz w:val="20"/>
          <w:szCs w:val="20"/>
        </w:rPr>
        <w:fldChar w:fldCharType="separate"/>
      </w:r>
      <w:r w:rsidRPr="00FC33EC">
        <w:rPr>
          <w:rStyle w:val="Hipervnculo"/>
          <w:rFonts w:ascii="Arial" w:hAnsi="Arial" w:cs="Arial"/>
          <w:sz w:val="20"/>
          <w:szCs w:val="20"/>
        </w:rPr>
        <w:t>[11] </w:t>
      </w:r>
      <w:r w:rsidRPr="00FC33EC">
        <w:rPr>
          <w:rFonts w:ascii="Arial" w:hAnsi="Arial" w:cs="Arial"/>
          <w:sz w:val="20"/>
          <w:szCs w:val="20"/>
        </w:rPr>
        <w:fldChar w:fldCharType="end"/>
      </w:r>
      <w:bookmarkEnd w:id="28"/>
      <w:r w:rsidRPr="00FC33EC">
        <w:rPr>
          <w:rFonts w:ascii="Arial" w:hAnsi="Arial" w:cs="Arial"/>
          <w:i/>
          <w:iCs/>
          <w:sz w:val="20"/>
          <w:szCs w:val="20"/>
        </w:rPr>
        <w:t>Ver</w:t>
      </w:r>
      <w:r w:rsidRPr="00FC33EC">
        <w:rPr>
          <w:rFonts w:ascii="Arial" w:hAnsi="Arial" w:cs="Arial"/>
          <w:sz w:val="20"/>
          <w:szCs w:val="20"/>
        </w:rPr>
        <w:t> PCAOB, </w:t>
      </w:r>
      <w:r w:rsidRPr="00FC33EC">
        <w:rPr>
          <w:rFonts w:ascii="Arial" w:hAnsi="Arial" w:cs="Arial"/>
          <w:i/>
          <w:iCs/>
          <w:sz w:val="20"/>
          <w:szCs w:val="20"/>
        </w:rPr>
        <w:t>A la luz de COVID-19, PCAOB Brinda a las firmas de auditoría la oportunidad de exonerarse de las inspecciones</w:t>
      </w:r>
      <w:r w:rsidRPr="00FC33EC">
        <w:rPr>
          <w:rFonts w:ascii="Arial" w:hAnsi="Arial" w:cs="Arial"/>
          <w:sz w:val="20"/>
          <w:szCs w:val="20"/>
        </w:rPr>
        <w:t> (23 de marzo de 2020), </w:t>
      </w:r>
      <w:r w:rsidRPr="00FC33EC">
        <w:rPr>
          <w:rFonts w:ascii="Arial" w:hAnsi="Arial" w:cs="Arial"/>
          <w:i/>
          <w:iCs/>
          <w:sz w:val="20"/>
          <w:szCs w:val="20"/>
        </w:rPr>
        <w:t>disponible en </w:t>
      </w:r>
      <w:hyperlink r:id="rId14" w:history="1">
        <w:r w:rsidRPr="00FC33EC">
          <w:rPr>
            <w:rStyle w:val="Hipervnculo"/>
            <w:rFonts w:ascii="Arial" w:hAnsi="Arial" w:cs="Arial"/>
            <w:sz w:val="20"/>
            <w:szCs w:val="20"/>
          </w:rPr>
          <w:t>https://pcaobus.org/News/Releases/Pages/In-Light- of-COVID-19-PCAOB-Proporciona-a-firmas-de-auditoría-la-oportunidad-de-alivio-de-inspecciones.aspx</w:t>
        </w:r>
      </w:hyperlink>
      <w:r w:rsidRPr="00FC33EC">
        <w:rPr>
          <w:rFonts w:ascii="Arial" w:hAnsi="Arial" w:cs="Arial"/>
          <w:sz w:val="20"/>
          <w:szCs w:val="20"/>
        </w:rPr>
        <w:t> .</w:t>
      </w:r>
    </w:p>
    <w:bookmarkStart w:id="29" w:name="_edn12"/>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"_ednref12" \o "" </w:instrText>
      </w:r>
      <w:r w:rsidRPr="00FC33EC">
        <w:rPr>
          <w:rFonts w:ascii="Arial" w:hAnsi="Arial" w:cs="Arial"/>
          <w:sz w:val="20"/>
          <w:szCs w:val="20"/>
        </w:rPr>
        <w:fldChar w:fldCharType="separate"/>
      </w:r>
      <w:r w:rsidRPr="00FC33EC">
        <w:rPr>
          <w:rStyle w:val="Hipervnculo"/>
          <w:rFonts w:ascii="Arial" w:hAnsi="Arial" w:cs="Arial"/>
          <w:sz w:val="20"/>
          <w:szCs w:val="20"/>
        </w:rPr>
        <w:t>[12] </w:t>
      </w:r>
      <w:r w:rsidRPr="00FC33EC">
        <w:rPr>
          <w:rFonts w:ascii="Arial" w:hAnsi="Arial" w:cs="Arial"/>
          <w:sz w:val="20"/>
          <w:szCs w:val="20"/>
        </w:rPr>
        <w:fldChar w:fldCharType="end"/>
      </w:r>
      <w:bookmarkEnd w:id="29"/>
      <w:r w:rsidRPr="00FC33EC">
        <w:rPr>
          <w:rFonts w:ascii="Arial" w:hAnsi="Arial" w:cs="Arial"/>
          <w:i/>
          <w:iCs/>
          <w:sz w:val="20"/>
          <w:szCs w:val="20"/>
        </w:rPr>
        <w:t>Ver</w:t>
      </w:r>
      <w:r w:rsidRPr="00FC33EC">
        <w:rPr>
          <w:rFonts w:ascii="Arial" w:hAnsi="Arial" w:cs="Arial"/>
          <w:sz w:val="20"/>
          <w:szCs w:val="20"/>
        </w:rPr>
        <w:t> PCAOB, </w:t>
      </w:r>
      <w:r w:rsidRPr="00FC33EC">
        <w:rPr>
          <w:rFonts w:ascii="Arial" w:hAnsi="Arial" w:cs="Arial"/>
          <w:i/>
          <w:iCs/>
          <w:sz w:val="20"/>
          <w:szCs w:val="20"/>
        </w:rPr>
        <w:t>Actualización de PCAOB sobre operaciones a la luz de COVID-19</w:t>
      </w:r>
      <w:r w:rsidRPr="00FC33EC">
        <w:rPr>
          <w:rFonts w:ascii="Arial" w:hAnsi="Arial" w:cs="Arial"/>
          <w:sz w:val="20"/>
          <w:szCs w:val="20"/>
        </w:rPr>
        <w:t> (18 de marzo de 2020), </w:t>
      </w:r>
      <w:r w:rsidRPr="00FC33EC">
        <w:rPr>
          <w:rFonts w:ascii="Arial" w:hAnsi="Arial" w:cs="Arial"/>
          <w:i/>
          <w:iCs/>
          <w:sz w:val="20"/>
          <w:szCs w:val="20"/>
        </w:rPr>
        <w:t>disponible en </w:t>
      </w:r>
      <w:hyperlink r:id="rId15" w:history="1">
        <w:r w:rsidRPr="00FC33EC">
          <w:rPr>
            <w:rStyle w:val="Hipervnculo"/>
            <w:rFonts w:ascii="Arial" w:hAnsi="Arial" w:cs="Arial"/>
            <w:sz w:val="20"/>
            <w:szCs w:val="20"/>
          </w:rPr>
          <w:t>https://pcaobus.org/News/Releases/Pages/PCAOB-Update-on-Operations-In-Light -de-COVID-19.aspx</w:t>
        </w:r>
      </w:hyperlink>
      <w:r w:rsidRPr="00FC33EC">
        <w:rPr>
          <w:rFonts w:ascii="Arial" w:hAnsi="Arial" w:cs="Arial"/>
          <w:sz w:val="20"/>
          <w:szCs w:val="20"/>
        </w:rPr>
        <w:t> .</w:t>
      </w:r>
    </w:p>
    <w:bookmarkStart w:id="30" w:name="_edn13"/>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"_ednref13" \o "" </w:instrText>
      </w:r>
      <w:r w:rsidRPr="00FC33EC">
        <w:rPr>
          <w:rFonts w:ascii="Arial" w:hAnsi="Arial" w:cs="Arial"/>
          <w:sz w:val="20"/>
          <w:szCs w:val="20"/>
        </w:rPr>
        <w:fldChar w:fldCharType="separate"/>
      </w:r>
      <w:r w:rsidRPr="00FC33EC">
        <w:rPr>
          <w:rStyle w:val="Hipervnculo"/>
          <w:rFonts w:ascii="Arial" w:hAnsi="Arial" w:cs="Arial"/>
          <w:sz w:val="20"/>
          <w:szCs w:val="20"/>
        </w:rPr>
        <w:t>[13] </w:t>
      </w:r>
      <w:r w:rsidRPr="00FC33EC">
        <w:rPr>
          <w:rFonts w:ascii="Arial" w:hAnsi="Arial" w:cs="Arial"/>
          <w:sz w:val="20"/>
          <w:szCs w:val="20"/>
        </w:rPr>
        <w:fldChar w:fldCharType="end"/>
      </w:r>
      <w:bookmarkEnd w:id="30"/>
      <w:r w:rsidRPr="00FC33EC">
        <w:rPr>
          <w:rFonts w:ascii="Arial" w:hAnsi="Arial" w:cs="Arial"/>
          <w:i/>
          <w:iCs/>
          <w:sz w:val="20"/>
          <w:szCs w:val="20"/>
        </w:rPr>
        <w:t>Véase, por ejemplo,</w:t>
      </w:r>
      <w:r w:rsidRPr="00FC33EC">
        <w:rPr>
          <w:rFonts w:ascii="Arial" w:hAnsi="Arial" w:cs="Arial"/>
          <w:sz w:val="20"/>
          <w:szCs w:val="20"/>
        </w:rPr>
        <w:t> </w:t>
      </w:r>
      <w:proofErr w:type="spellStart"/>
      <w:r w:rsidRPr="00FC33EC">
        <w:rPr>
          <w:rFonts w:ascii="Arial" w:hAnsi="Arial" w:cs="Arial"/>
          <w:sz w:val="20"/>
          <w:szCs w:val="20"/>
        </w:rPr>
        <w:t>Vassilios</w:t>
      </w:r>
      <w:proofErr w:type="spellEnd"/>
      <w:r w:rsidRPr="00FC33EC">
        <w:rPr>
          <w:rFonts w:ascii="Arial" w:hAnsi="Arial" w:cs="Arial"/>
          <w:sz w:val="20"/>
          <w:szCs w:val="20"/>
        </w:rPr>
        <w:t xml:space="preserve"> </w:t>
      </w:r>
      <w:proofErr w:type="spellStart"/>
      <w:r w:rsidRPr="00FC33EC">
        <w:rPr>
          <w:rFonts w:ascii="Arial" w:hAnsi="Arial" w:cs="Arial"/>
          <w:sz w:val="20"/>
          <w:szCs w:val="20"/>
        </w:rPr>
        <w:t>Karapanos</w:t>
      </w:r>
      <w:proofErr w:type="spellEnd"/>
      <w:r w:rsidRPr="00FC33EC">
        <w:rPr>
          <w:rFonts w:ascii="Arial" w:hAnsi="Arial" w:cs="Arial"/>
          <w:sz w:val="20"/>
          <w:szCs w:val="20"/>
        </w:rPr>
        <w:t>, Contador en jefe adjunto, Oficina del Contador en jefe, </w:t>
      </w:r>
      <w:r w:rsidRPr="00FC33EC">
        <w:rPr>
          <w:rFonts w:ascii="Arial" w:hAnsi="Arial" w:cs="Arial"/>
          <w:i/>
          <w:iCs/>
          <w:sz w:val="20"/>
          <w:szCs w:val="20"/>
        </w:rPr>
        <w:t>Comentarios antes de la Conferencia AICPA de 2019 sobre los desarrollos actuales de la SEC y la PCAOB</w:t>
      </w:r>
      <w:r w:rsidRPr="00FC33EC">
        <w:rPr>
          <w:rFonts w:ascii="Arial" w:hAnsi="Arial" w:cs="Arial"/>
          <w:sz w:val="20"/>
          <w:szCs w:val="20"/>
        </w:rPr>
        <w:t> (9 de diciembre de 2019), </w:t>
      </w:r>
      <w:r w:rsidRPr="00FC33EC">
        <w:rPr>
          <w:rFonts w:ascii="Arial" w:hAnsi="Arial" w:cs="Arial"/>
          <w:i/>
          <w:iCs/>
          <w:sz w:val="20"/>
          <w:szCs w:val="20"/>
        </w:rPr>
        <w:t>disponible en </w:t>
      </w:r>
      <w:hyperlink r:id="rId16" w:history="1">
        <w:r w:rsidRPr="00FC33EC">
          <w:rPr>
            <w:rStyle w:val="Hipervnculo"/>
            <w:rFonts w:ascii="Arial" w:hAnsi="Arial" w:cs="Arial"/>
            <w:sz w:val="20"/>
            <w:szCs w:val="20"/>
          </w:rPr>
          <w:t>https://www.sec.gov / noticias / discurso / karapanos-discurso-2019-aicpa-conference</w:t>
        </w:r>
      </w:hyperlink>
      <w:r w:rsidRPr="00FC33EC">
        <w:rPr>
          <w:rFonts w:ascii="Arial" w:hAnsi="Arial" w:cs="Arial"/>
          <w:sz w:val="20"/>
          <w:szCs w:val="20"/>
        </w:rPr>
        <w:t> .</w:t>
      </w:r>
    </w:p>
    <w:bookmarkStart w:id="31" w:name="_edn14"/>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"_ednref14" \o "" </w:instrText>
      </w:r>
      <w:r w:rsidRPr="00FC33EC">
        <w:rPr>
          <w:rFonts w:ascii="Arial" w:hAnsi="Arial" w:cs="Arial"/>
          <w:sz w:val="20"/>
          <w:szCs w:val="20"/>
        </w:rPr>
        <w:fldChar w:fldCharType="separate"/>
      </w:r>
      <w:r w:rsidRPr="00FC33EC">
        <w:rPr>
          <w:rStyle w:val="Hipervnculo"/>
          <w:rFonts w:ascii="Arial" w:hAnsi="Arial" w:cs="Arial"/>
          <w:sz w:val="20"/>
          <w:szCs w:val="20"/>
        </w:rPr>
        <w:t>[14]</w:t>
      </w:r>
      <w:r w:rsidRPr="00FC33EC">
        <w:rPr>
          <w:rFonts w:ascii="Arial" w:hAnsi="Arial" w:cs="Arial"/>
          <w:sz w:val="20"/>
          <w:szCs w:val="20"/>
        </w:rPr>
        <w:fldChar w:fldCharType="end"/>
      </w:r>
      <w:bookmarkEnd w:id="31"/>
      <w:r w:rsidRPr="00FC33EC">
        <w:rPr>
          <w:rFonts w:ascii="Arial" w:hAnsi="Arial" w:cs="Arial"/>
          <w:sz w:val="20"/>
          <w:szCs w:val="20"/>
        </w:rPr>
        <w:t> Estas organizaciones incluyen el Consejo de Normas Internacionales de Contabilidad (IASB), el Consejo de Monitoreo de la Fundación IFRS, la Organización Internacional de Comisiones de Valores (IOSCO) y el Grupo de Monitoreo, entre otros. </w:t>
      </w:r>
    </w:p>
    <w:bookmarkStart w:id="32" w:name="_edn15"/>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"_ednref15" \o "" </w:instrText>
      </w:r>
      <w:r w:rsidRPr="00FC33EC">
        <w:rPr>
          <w:rFonts w:ascii="Arial" w:hAnsi="Arial" w:cs="Arial"/>
          <w:sz w:val="20"/>
          <w:szCs w:val="20"/>
        </w:rPr>
        <w:fldChar w:fldCharType="separate"/>
      </w:r>
      <w:r w:rsidRPr="00FC33EC">
        <w:rPr>
          <w:rStyle w:val="Hipervnculo"/>
          <w:rFonts w:ascii="Arial" w:hAnsi="Arial" w:cs="Arial"/>
          <w:sz w:val="20"/>
          <w:szCs w:val="20"/>
        </w:rPr>
        <w:t>[15] </w:t>
      </w:r>
      <w:r w:rsidRPr="00FC33EC">
        <w:rPr>
          <w:rFonts w:ascii="Arial" w:hAnsi="Arial" w:cs="Arial"/>
          <w:sz w:val="20"/>
          <w:szCs w:val="20"/>
        </w:rPr>
        <w:fldChar w:fldCharType="end"/>
      </w:r>
      <w:bookmarkEnd w:id="32"/>
      <w:r w:rsidRPr="00FC33EC">
        <w:rPr>
          <w:rFonts w:ascii="Arial" w:hAnsi="Arial" w:cs="Arial"/>
          <w:i/>
          <w:iCs/>
          <w:sz w:val="20"/>
          <w:szCs w:val="20"/>
        </w:rPr>
        <w:t>Véase Comité de Contabilidad, Auditoría y Divulgación de</w:t>
      </w:r>
      <w:r w:rsidRPr="00FC33EC">
        <w:rPr>
          <w:rFonts w:ascii="Arial" w:hAnsi="Arial" w:cs="Arial"/>
          <w:sz w:val="20"/>
          <w:szCs w:val="20"/>
        </w:rPr>
        <w:t> Emisores </w:t>
      </w:r>
      <w:r w:rsidRPr="00FC33EC">
        <w:rPr>
          <w:rFonts w:ascii="Arial" w:hAnsi="Arial" w:cs="Arial"/>
          <w:i/>
          <w:iCs/>
          <w:sz w:val="20"/>
          <w:szCs w:val="20"/>
        </w:rPr>
        <w:t>(Comité 1),</w:t>
      </w:r>
      <w:r w:rsidRPr="00FC33EC">
        <w:rPr>
          <w:rFonts w:ascii="Arial" w:hAnsi="Arial" w:cs="Arial"/>
          <w:sz w:val="20"/>
          <w:szCs w:val="20"/>
        </w:rPr>
        <w:t> </w:t>
      </w:r>
      <w:proofErr w:type="gramStart"/>
      <w:r w:rsidRPr="00FC33EC">
        <w:rPr>
          <w:rFonts w:ascii="Arial" w:hAnsi="Arial" w:cs="Arial"/>
          <w:sz w:val="20"/>
          <w:szCs w:val="20"/>
        </w:rPr>
        <w:t>IOSCO.org </w:t>
      </w:r>
      <w:r w:rsidRPr="00FC33EC">
        <w:rPr>
          <w:rFonts w:ascii="Arial" w:hAnsi="Arial" w:cs="Arial"/>
          <w:i/>
          <w:iCs/>
          <w:sz w:val="20"/>
          <w:szCs w:val="20"/>
        </w:rPr>
        <w:t>,</w:t>
      </w:r>
      <w:proofErr w:type="gramEnd"/>
      <w:r w:rsidRPr="00FC33EC">
        <w:rPr>
          <w:rFonts w:ascii="Arial" w:hAnsi="Arial" w:cs="Arial"/>
          <w:i/>
          <w:iCs/>
          <w:sz w:val="20"/>
          <w:szCs w:val="20"/>
        </w:rPr>
        <w:t> </w:t>
      </w:r>
      <w:hyperlink r:id="rId17" w:history="1">
        <w:r w:rsidRPr="00FC33EC">
          <w:rPr>
            <w:rStyle w:val="Hipervnculo"/>
            <w:rFonts w:ascii="Arial" w:hAnsi="Arial" w:cs="Arial"/>
            <w:sz w:val="20"/>
            <w:szCs w:val="20"/>
          </w:rPr>
          <w:t>https://www.iosco.org/about/?subsection=display_committee&amp;cmtid=12</w:t>
        </w:r>
      </w:hyperlink>
      <w:r w:rsidRPr="00FC33EC">
        <w:rPr>
          <w:rFonts w:ascii="Arial" w:hAnsi="Arial" w:cs="Arial"/>
          <w:sz w:val="20"/>
          <w:szCs w:val="20"/>
        </w:rPr>
        <w:t> (última visita el 3 de abril de 2020).</w:t>
      </w:r>
    </w:p>
    <w:bookmarkStart w:id="33" w:name="_edn16"/>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"_ednref16" \o "" </w:instrText>
      </w:r>
      <w:r w:rsidRPr="00FC33EC">
        <w:rPr>
          <w:rFonts w:ascii="Arial" w:hAnsi="Arial" w:cs="Arial"/>
          <w:sz w:val="20"/>
          <w:szCs w:val="20"/>
        </w:rPr>
        <w:fldChar w:fldCharType="separate"/>
      </w:r>
      <w:r w:rsidRPr="00FC33EC">
        <w:rPr>
          <w:rStyle w:val="Hipervnculo"/>
          <w:rFonts w:ascii="Arial" w:hAnsi="Arial" w:cs="Arial"/>
          <w:sz w:val="20"/>
          <w:szCs w:val="20"/>
        </w:rPr>
        <w:t>[16]</w:t>
      </w:r>
      <w:r w:rsidRPr="00FC33EC">
        <w:rPr>
          <w:rFonts w:ascii="Arial" w:hAnsi="Arial" w:cs="Arial"/>
          <w:sz w:val="20"/>
          <w:szCs w:val="20"/>
        </w:rPr>
        <w:fldChar w:fldCharType="end"/>
      </w:r>
      <w:bookmarkEnd w:id="33"/>
      <w:r w:rsidRPr="00FC33EC">
        <w:rPr>
          <w:rFonts w:ascii="Arial" w:hAnsi="Arial" w:cs="Arial"/>
          <w:sz w:val="20"/>
          <w:szCs w:val="20"/>
        </w:rPr>
        <w:t xml:space="preserve"> Tengo el honor de desempeñarme como copresidente de </w:t>
      </w:r>
      <w:proofErr w:type="spellStart"/>
      <w:r w:rsidRPr="00FC33EC">
        <w:rPr>
          <w:rFonts w:ascii="Arial" w:hAnsi="Arial" w:cs="Arial"/>
          <w:sz w:val="20"/>
          <w:szCs w:val="20"/>
        </w:rPr>
        <w:t>The</w:t>
      </w:r>
      <w:proofErr w:type="spellEnd"/>
      <w:r w:rsidRPr="00FC33EC">
        <w:rPr>
          <w:rFonts w:ascii="Arial" w:hAnsi="Arial" w:cs="Arial"/>
          <w:sz w:val="20"/>
          <w:szCs w:val="20"/>
        </w:rPr>
        <w:t xml:space="preserve"> </w:t>
      </w:r>
      <w:proofErr w:type="spellStart"/>
      <w:r w:rsidRPr="00FC33EC">
        <w:rPr>
          <w:rFonts w:ascii="Arial" w:hAnsi="Arial" w:cs="Arial"/>
          <w:sz w:val="20"/>
          <w:szCs w:val="20"/>
        </w:rPr>
        <w:t>Monitoring</w:t>
      </w:r>
      <w:proofErr w:type="spellEnd"/>
      <w:r w:rsidRPr="00FC33EC">
        <w:rPr>
          <w:rFonts w:ascii="Arial" w:hAnsi="Arial" w:cs="Arial"/>
          <w:sz w:val="20"/>
          <w:szCs w:val="20"/>
        </w:rPr>
        <w:t xml:space="preserve"> </w:t>
      </w:r>
      <w:proofErr w:type="spellStart"/>
      <w:r w:rsidRPr="00FC33EC">
        <w:rPr>
          <w:rFonts w:ascii="Arial" w:hAnsi="Arial" w:cs="Arial"/>
          <w:sz w:val="20"/>
          <w:szCs w:val="20"/>
        </w:rPr>
        <w:t>Group</w:t>
      </w:r>
      <w:proofErr w:type="spellEnd"/>
      <w:r w:rsidRPr="00FC33EC">
        <w:rPr>
          <w:rFonts w:ascii="Arial" w:hAnsi="Arial" w:cs="Arial"/>
          <w:sz w:val="20"/>
          <w:szCs w:val="20"/>
        </w:rPr>
        <w:t>, junto con Ana María Martínez-Pina García, vicepresidenta del organismo regulador de valores español, la Comisión Nacional del Mercado de Valores.</w:t>
      </w:r>
    </w:p>
    <w:bookmarkStart w:id="34" w:name="_edn17"/>
    <w:p w:rsidR="00FC33EC" w:rsidRPr="00FC33EC" w:rsidRDefault="00FC33EC" w:rsidP="00FC33EC">
      <w:pPr>
        <w:jc w:val="both"/>
        <w:rPr>
          <w:rFonts w:ascii="Arial" w:hAnsi="Arial" w:cs="Arial"/>
          <w:sz w:val="20"/>
          <w:szCs w:val="20"/>
        </w:rPr>
      </w:pPr>
      <w:r w:rsidRPr="00FC33EC">
        <w:rPr>
          <w:rFonts w:ascii="Arial" w:hAnsi="Arial" w:cs="Arial"/>
          <w:sz w:val="20"/>
          <w:szCs w:val="20"/>
        </w:rPr>
        <w:fldChar w:fldCharType="begin"/>
      </w:r>
      <w:r w:rsidRPr="00FC33EC">
        <w:rPr>
          <w:rFonts w:ascii="Arial" w:hAnsi="Arial" w:cs="Arial"/>
          <w:sz w:val="20"/>
          <w:szCs w:val="20"/>
        </w:rPr>
        <w:instrText xml:space="preserve"> HYPERLINK "https://www.sec.gov/news/public-statement/statement-teotia-financial-reporting-covid-19-2020-04-03" \l "_ednref17" \o "" </w:instrText>
      </w:r>
      <w:r w:rsidRPr="00FC33EC">
        <w:rPr>
          <w:rFonts w:ascii="Arial" w:hAnsi="Arial" w:cs="Arial"/>
          <w:sz w:val="20"/>
          <w:szCs w:val="20"/>
        </w:rPr>
        <w:fldChar w:fldCharType="separate"/>
      </w:r>
      <w:r w:rsidRPr="00FC33EC">
        <w:rPr>
          <w:rStyle w:val="Hipervnculo"/>
          <w:rFonts w:ascii="Arial" w:hAnsi="Arial" w:cs="Arial"/>
          <w:sz w:val="20"/>
          <w:szCs w:val="20"/>
        </w:rPr>
        <w:t>[17] </w:t>
      </w:r>
      <w:r w:rsidRPr="00FC33EC">
        <w:rPr>
          <w:rFonts w:ascii="Arial" w:hAnsi="Arial" w:cs="Arial"/>
          <w:sz w:val="20"/>
          <w:szCs w:val="20"/>
        </w:rPr>
        <w:fldChar w:fldCharType="end"/>
      </w:r>
      <w:bookmarkEnd w:id="34"/>
      <w:r w:rsidRPr="00FC33EC">
        <w:rPr>
          <w:rFonts w:ascii="Arial" w:hAnsi="Arial" w:cs="Arial"/>
          <w:i/>
          <w:iCs/>
          <w:sz w:val="20"/>
          <w:szCs w:val="20"/>
        </w:rPr>
        <w:t>Véase el comunicado de</w:t>
      </w:r>
      <w:r w:rsidRPr="00FC33EC">
        <w:rPr>
          <w:rFonts w:ascii="Arial" w:hAnsi="Arial" w:cs="Arial"/>
          <w:sz w:val="20"/>
          <w:szCs w:val="20"/>
        </w:rPr>
        <w:t>  prensa, el </w:t>
      </w:r>
      <w:r w:rsidRPr="00FC33EC">
        <w:rPr>
          <w:rFonts w:ascii="Arial" w:hAnsi="Arial" w:cs="Arial"/>
          <w:i/>
          <w:iCs/>
          <w:sz w:val="20"/>
          <w:szCs w:val="20"/>
        </w:rPr>
        <w:t xml:space="preserve">presidente de la SEC, Clayton, el presidente de la PCAOB, </w:t>
      </w:r>
      <w:proofErr w:type="spellStart"/>
      <w:r w:rsidRPr="00FC33EC">
        <w:rPr>
          <w:rFonts w:ascii="Arial" w:hAnsi="Arial" w:cs="Arial"/>
          <w:i/>
          <w:iCs/>
          <w:sz w:val="20"/>
          <w:szCs w:val="20"/>
        </w:rPr>
        <w:t>Duhnke</w:t>
      </w:r>
      <w:proofErr w:type="spellEnd"/>
      <w:r w:rsidRPr="00FC33EC">
        <w:rPr>
          <w:rFonts w:ascii="Arial" w:hAnsi="Arial" w:cs="Arial"/>
          <w:i/>
          <w:iCs/>
          <w:sz w:val="20"/>
          <w:szCs w:val="20"/>
        </w:rPr>
        <w:t>, y los miembros del personal de la SEC se reúnen con los representantes de las firmas de auditoría para analizar la calidad de la auditoría en las economías y mercados emergentes</w:t>
      </w:r>
      <w:r w:rsidRPr="00FC33EC">
        <w:rPr>
          <w:rFonts w:ascii="Arial" w:hAnsi="Arial" w:cs="Arial"/>
          <w:sz w:val="20"/>
          <w:szCs w:val="20"/>
        </w:rPr>
        <w:t> (4 de noviembre de 2019),  </w:t>
      </w:r>
      <w:r w:rsidRPr="00FC33EC">
        <w:rPr>
          <w:rFonts w:ascii="Arial" w:hAnsi="Arial" w:cs="Arial"/>
          <w:i/>
          <w:iCs/>
          <w:sz w:val="20"/>
          <w:szCs w:val="20"/>
        </w:rPr>
        <w:t>disponible en </w:t>
      </w:r>
      <w:r w:rsidRPr="00FC33EC">
        <w:rPr>
          <w:rFonts w:ascii="Arial" w:hAnsi="Arial" w:cs="Arial"/>
          <w:sz w:val="20"/>
          <w:szCs w:val="20"/>
        </w:rPr>
        <w:t> </w:t>
      </w:r>
      <w:hyperlink r:id="rId18" w:history="1">
        <w:r w:rsidRPr="00FC33EC">
          <w:rPr>
            <w:rStyle w:val="Hipervnculo"/>
            <w:rFonts w:ascii="Arial" w:hAnsi="Arial" w:cs="Arial"/>
            <w:sz w:val="20"/>
            <w:szCs w:val="20"/>
          </w:rPr>
          <w:t>https: // www. sec.gov/</w:t>
        </w:r>
        <w:proofErr w:type="spellStart"/>
        <w:r w:rsidRPr="00FC33EC">
          <w:rPr>
            <w:rStyle w:val="Hipervnculo"/>
            <w:rFonts w:ascii="Arial" w:hAnsi="Arial" w:cs="Arial"/>
            <w:sz w:val="20"/>
            <w:szCs w:val="20"/>
          </w:rPr>
          <w:t>news</w:t>
        </w:r>
        <w:proofErr w:type="spellEnd"/>
        <w:r w:rsidRPr="00FC33EC">
          <w:rPr>
            <w:rStyle w:val="Hipervnculo"/>
            <w:rFonts w:ascii="Arial" w:hAnsi="Arial" w:cs="Arial"/>
            <w:sz w:val="20"/>
            <w:szCs w:val="20"/>
          </w:rPr>
          <w:t>/</w:t>
        </w:r>
        <w:proofErr w:type="spellStart"/>
        <w:r w:rsidRPr="00FC33EC">
          <w:rPr>
            <w:rStyle w:val="Hipervnculo"/>
            <w:rFonts w:ascii="Arial" w:hAnsi="Arial" w:cs="Arial"/>
            <w:sz w:val="20"/>
            <w:szCs w:val="20"/>
          </w:rPr>
          <w:t>press-release</w:t>
        </w:r>
        <w:proofErr w:type="spellEnd"/>
        <w:r w:rsidRPr="00FC33EC">
          <w:rPr>
            <w:rStyle w:val="Hipervnculo"/>
            <w:rFonts w:ascii="Arial" w:hAnsi="Arial" w:cs="Arial"/>
            <w:sz w:val="20"/>
            <w:szCs w:val="20"/>
          </w:rPr>
          <w:t>/2019-228</w:t>
        </w:r>
      </w:hyperlink>
      <w:r w:rsidRPr="00FC33EC">
        <w:rPr>
          <w:rFonts w:ascii="Arial" w:hAnsi="Arial" w:cs="Arial"/>
          <w:sz w:val="20"/>
          <w:szCs w:val="20"/>
        </w:rPr>
        <w:t> , </w:t>
      </w:r>
      <w:r w:rsidRPr="00FC33EC">
        <w:rPr>
          <w:rFonts w:ascii="Arial" w:hAnsi="Arial" w:cs="Arial"/>
          <w:i/>
          <w:iCs/>
          <w:sz w:val="20"/>
          <w:szCs w:val="20"/>
        </w:rPr>
        <w:t>y</w:t>
      </w:r>
      <w:r w:rsidRPr="00FC33EC">
        <w:rPr>
          <w:rFonts w:ascii="Arial" w:hAnsi="Arial" w:cs="Arial"/>
          <w:sz w:val="20"/>
          <w:szCs w:val="20"/>
        </w:rPr>
        <w:t> s </w:t>
      </w:r>
      <w:proofErr w:type="spellStart"/>
      <w:r w:rsidRPr="00FC33EC">
        <w:rPr>
          <w:rFonts w:ascii="Arial" w:hAnsi="Arial" w:cs="Arial"/>
          <w:i/>
          <w:iCs/>
          <w:sz w:val="20"/>
          <w:szCs w:val="20"/>
        </w:rPr>
        <w:t>ee</w:t>
      </w:r>
      <w:proofErr w:type="spellEnd"/>
      <w:r w:rsidRPr="00FC33EC">
        <w:rPr>
          <w:rFonts w:ascii="Arial" w:hAnsi="Arial" w:cs="Arial"/>
          <w:sz w:val="20"/>
          <w:szCs w:val="20"/>
        </w:rPr>
        <w:t xml:space="preserve"> presidente de la SEC </w:t>
      </w:r>
      <w:proofErr w:type="spellStart"/>
      <w:r w:rsidRPr="00FC33EC">
        <w:rPr>
          <w:rFonts w:ascii="Arial" w:hAnsi="Arial" w:cs="Arial"/>
          <w:sz w:val="20"/>
          <w:szCs w:val="20"/>
        </w:rPr>
        <w:t>Jay</w:t>
      </w:r>
      <w:proofErr w:type="spellEnd"/>
      <w:r w:rsidRPr="00FC33EC">
        <w:rPr>
          <w:rFonts w:ascii="Arial" w:hAnsi="Arial" w:cs="Arial"/>
          <w:sz w:val="20"/>
          <w:szCs w:val="20"/>
        </w:rPr>
        <w:t xml:space="preserve"> Clayton, División de la Corporación SEC director de Finanzas Bill </w:t>
      </w:r>
      <w:proofErr w:type="spellStart"/>
      <w:r w:rsidRPr="00FC33EC">
        <w:rPr>
          <w:rFonts w:ascii="Arial" w:hAnsi="Arial" w:cs="Arial"/>
          <w:sz w:val="20"/>
          <w:szCs w:val="20"/>
        </w:rPr>
        <w:t>Hinman</w:t>
      </w:r>
      <w:proofErr w:type="spellEnd"/>
      <w:r w:rsidRPr="00FC33EC">
        <w:rPr>
          <w:rFonts w:ascii="Arial" w:hAnsi="Arial" w:cs="Arial"/>
          <w:sz w:val="20"/>
          <w:szCs w:val="20"/>
        </w:rPr>
        <w:t xml:space="preserve">, SEC Jefe de Contabilidad </w:t>
      </w:r>
      <w:proofErr w:type="spellStart"/>
      <w:r w:rsidRPr="00FC33EC">
        <w:rPr>
          <w:rFonts w:ascii="Arial" w:hAnsi="Arial" w:cs="Arial"/>
          <w:sz w:val="20"/>
          <w:szCs w:val="20"/>
        </w:rPr>
        <w:t>Sagar</w:t>
      </w:r>
      <w:proofErr w:type="spellEnd"/>
      <w:r w:rsidRPr="00FC33EC">
        <w:rPr>
          <w:rFonts w:ascii="Arial" w:hAnsi="Arial" w:cs="Arial"/>
          <w:sz w:val="20"/>
          <w:szCs w:val="20"/>
        </w:rPr>
        <w:t xml:space="preserve"> </w:t>
      </w:r>
      <w:proofErr w:type="spellStart"/>
      <w:r w:rsidRPr="00FC33EC">
        <w:rPr>
          <w:rFonts w:ascii="Arial" w:hAnsi="Arial" w:cs="Arial"/>
          <w:sz w:val="20"/>
          <w:szCs w:val="20"/>
        </w:rPr>
        <w:t>Teotia</w:t>
      </w:r>
      <w:proofErr w:type="spellEnd"/>
      <w:r w:rsidRPr="00FC33EC">
        <w:rPr>
          <w:rFonts w:ascii="Arial" w:hAnsi="Arial" w:cs="Arial"/>
          <w:sz w:val="20"/>
          <w:szCs w:val="20"/>
        </w:rPr>
        <w:t xml:space="preserve">, y Presidente de la PCAOB William D. </w:t>
      </w:r>
      <w:proofErr w:type="spellStart"/>
      <w:r w:rsidRPr="00FC33EC">
        <w:rPr>
          <w:rFonts w:ascii="Arial" w:hAnsi="Arial" w:cs="Arial"/>
          <w:sz w:val="20"/>
          <w:szCs w:val="20"/>
        </w:rPr>
        <w:t>Duhnke</w:t>
      </w:r>
      <w:proofErr w:type="spellEnd"/>
      <w:r w:rsidRPr="00FC33EC">
        <w:rPr>
          <w:rFonts w:ascii="Arial" w:hAnsi="Arial" w:cs="Arial"/>
          <w:sz w:val="20"/>
          <w:szCs w:val="20"/>
        </w:rPr>
        <w:t xml:space="preserve"> III, </w:t>
      </w:r>
      <w:r w:rsidRPr="00FC33EC">
        <w:rPr>
          <w:rFonts w:ascii="Arial" w:hAnsi="Arial" w:cs="Arial"/>
          <w:i/>
          <w:iCs/>
          <w:sz w:val="20"/>
          <w:szCs w:val="20"/>
        </w:rPr>
        <w:t>Declaración sobre la continuación del diálogo con representantes de firmas de auditoría sobre calidad de auditoría en China y otros mercados emergentes; Coronavirus: consideraciones de informes y alivio potencial</w:t>
      </w:r>
      <w:r w:rsidRPr="00FC33EC">
        <w:rPr>
          <w:rFonts w:ascii="Arial" w:hAnsi="Arial" w:cs="Arial"/>
          <w:sz w:val="20"/>
          <w:szCs w:val="20"/>
        </w:rPr>
        <w:t> (19 de febrero de 2020), </w:t>
      </w:r>
      <w:r w:rsidRPr="00FC33EC">
        <w:rPr>
          <w:rFonts w:ascii="Arial" w:hAnsi="Arial" w:cs="Arial"/>
          <w:i/>
          <w:iCs/>
          <w:sz w:val="20"/>
          <w:szCs w:val="20"/>
        </w:rPr>
        <w:t>disponible en</w:t>
      </w:r>
      <w:hyperlink r:id="rId19" w:history="1">
        <w:r w:rsidRPr="00FC33EC">
          <w:rPr>
            <w:rStyle w:val="Hipervnculo"/>
            <w:rFonts w:ascii="Arial" w:hAnsi="Arial" w:cs="Arial"/>
            <w:sz w:val="20"/>
            <w:szCs w:val="20"/>
          </w:rPr>
          <w:t>https://www.sec.gov/news/public-statement/statement-audit-quality-china-2020-02-19</w:t>
        </w:r>
      </w:hyperlink>
      <w:r w:rsidRPr="00FC33EC">
        <w:rPr>
          <w:rFonts w:ascii="Arial" w:hAnsi="Arial" w:cs="Arial"/>
          <w:sz w:val="20"/>
          <w:szCs w:val="20"/>
        </w:rPr>
        <w:t> .</w:t>
      </w:r>
    </w:p>
    <w:p w:rsidR="00ED7650" w:rsidRPr="00FC33EC" w:rsidRDefault="00283A25">
      <w:pPr>
        <w:rPr>
          <w:sz w:val="20"/>
          <w:szCs w:val="20"/>
        </w:rPr>
      </w:pPr>
    </w:p>
    <w:sectPr w:rsidR="00ED7650" w:rsidRPr="00FC3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DDB"/>
    <w:multiLevelType w:val="multilevel"/>
    <w:tmpl w:val="DD8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EC"/>
    <w:rsid w:val="000F4B68"/>
    <w:rsid w:val="001739B4"/>
    <w:rsid w:val="00283A25"/>
    <w:rsid w:val="003B63A5"/>
    <w:rsid w:val="00FC3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B82D8-D7BE-4FCD-8A24-FF6A5A9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3EC"/>
    <w:rPr>
      <w:color w:val="0563C1" w:themeColor="hyperlink"/>
      <w:u w:val="single"/>
    </w:rPr>
  </w:style>
  <w:style w:type="paragraph" w:styleId="NormalWeb">
    <w:name w:val="Normal (Web)"/>
    <w:basedOn w:val="Normal"/>
    <w:uiPriority w:val="99"/>
    <w:semiHidden/>
    <w:unhideWhenUsed/>
    <w:rsid w:val="00FC33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405">
      <w:bodyDiv w:val="1"/>
      <w:marLeft w:val="0"/>
      <w:marRight w:val="0"/>
      <w:marTop w:val="0"/>
      <w:marBottom w:val="0"/>
      <w:divBdr>
        <w:top w:val="none" w:sz="0" w:space="0" w:color="auto"/>
        <w:left w:val="none" w:sz="0" w:space="0" w:color="auto"/>
        <w:bottom w:val="none" w:sz="0" w:space="0" w:color="auto"/>
        <w:right w:val="none" w:sz="0" w:space="0" w:color="auto"/>
      </w:divBdr>
      <w:divsChild>
        <w:div w:id="932199603">
          <w:marLeft w:val="0"/>
          <w:marRight w:val="0"/>
          <w:marTop w:val="0"/>
          <w:marBottom w:val="0"/>
          <w:divBdr>
            <w:top w:val="none" w:sz="0" w:space="0" w:color="auto"/>
            <w:left w:val="none" w:sz="0" w:space="0" w:color="auto"/>
            <w:bottom w:val="none" w:sz="0" w:space="0" w:color="auto"/>
            <w:right w:val="none" w:sz="0" w:space="0" w:color="auto"/>
          </w:divBdr>
          <w:divsChild>
            <w:div w:id="1757746509">
              <w:marLeft w:val="0"/>
              <w:marRight w:val="0"/>
              <w:marTop w:val="0"/>
              <w:marBottom w:val="0"/>
              <w:divBdr>
                <w:top w:val="none" w:sz="0" w:space="0" w:color="auto"/>
                <w:left w:val="none" w:sz="0" w:space="0" w:color="auto"/>
                <w:bottom w:val="none" w:sz="0" w:space="0" w:color="auto"/>
                <w:right w:val="none" w:sz="0" w:space="0" w:color="auto"/>
              </w:divBdr>
              <w:divsChild>
                <w:div w:id="835732958">
                  <w:marLeft w:val="0"/>
                  <w:marRight w:val="0"/>
                  <w:marTop w:val="0"/>
                  <w:marBottom w:val="0"/>
                  <w:divBdr>
                    <w:top w:val="none" w:sz="0" w:space="0" w:color="auto"/>
                    <w:left w:val="none" w:sz="0" w:space="0" w:color="auto"/>
                    <w:bottom w:val="none" w:sz="0" w:space="0" w:color="auto"/>
                    <w:right w:val="none" w:sz="0" w:space="0" w:color="auto"/>
                  </w:divBdr>
                  <w:divsChild>
                    <w:div w:id="2088382972">
                      <w:marLeft w:val="0"/>
                      <w:marRight w:val="0"/>
                      <w:marTop w:val="0"/>
                      <w:marBottom w:val="0"/>
                      <w:divBdr>
                        <w:top w:val="none" w:sz="0" w:space="0" w:color="auto"/>
                        <w:left w:val="none" w:sz="0" w:space="0" w:color="auto"/>
                        <w:bottom w:val="none" w:sz="0" w:space="0" w:color="auto"/>
                        <w:right w:val="none" w:sz="0" w:space="0" w:color="auto"/>
                      </w:divBdr>
                      <w:divsChild>
                        <w:div w:id="1775057994">
                          <w:marLeft w:val="0"/>
                          <w:marRight w:val="0"/>
                          <w:marTop w:val="0"/>
                          <w:marBottom w:val="0"/>
                          <w:divBdr>
                            <w:top w:val="none" w:sz="0" w:space="0" w:color="auto"/>
                            <w:left w:val="none" w:sz="0" w:space="0" w:color="auto"/>
                            <w:bottom w:val="none" w:sz="0" w:space="0" w:color="auto"/>
                            <w:right w:val="none" w:sz="0" w:space="0" w:color="auto"/>
                          </w:divBdr>
                          <w:divsChild>
                            <w:div w:id="1823351863">
                              <w:marLeft w:val="0"/>
                              <w:marRight w:val="0"/>
                              <w:marTop w:val="0"/>
                              <w:marBottom w:val="0"/>
                              <w:divBdr>
                                <w:top w:val="none" w:sz="0" w:space="0" w:color="auto"/>
                                <w:left w:val="none" w:sz="0" w:space="0" w:color="auto"/>
                                <w:bottom w:val="none" w:sz="0" w:space="0" w:color="auto"/>
                                <w:right w:val="none" w:sz="0" w:space="0" w:color="auto"/>
                              </w:divBdr>
                              <w:divsChild>
                                <w:div w:id="71775575">
                                  <w:marLeft w:val="0"/>
                                  <w:marRight w:val="0"/>
                                  <w:marTop w:val="0"/>
                                  <w:marBottom w:val="0"/>
                                  <w:divBdr>
                                    <w:top w:val="none" w:sz="0" w:space="0" w:color="auto"/>
                                    <w:left w:val="none" w:sz="0" w:space="0" w:color="auto"/>
                                    <w:bottom w:val="none" w:sz="0" w:space="0" w:color="auto"/>
                                    <w:right w:val="none" w:sz="0" w:space="0" w:color="auto"/>
                                  </w:divBdr>
                                  <w:divsChild>
                                    <w:div w:id="1911964950">
                                      <w:marLeft w:val="0"/>
                                      <w:marRight w:val="0"/>
                                      <w:marTop w:val="0"/>
                                      <w:marBottom w:val="300"/>
                                      <w:divBdr>
                                        <w:top w:val="none" w:sz="0" w:space="0" w:color="auto"/>
                                        <w:left w:val="none" w:sz="0" w:space="0" w:color="auto"/>
                                        <w:bottom w:val="none" w:sz="0" w:space="0" w:color="auto"/>
                                        <w:right w:val="none" w:sz="0" w:space="0" w:color="auto"/>
                                      </w:divBdr>
                                      <w:divsChild>
                                        <w:div w:id="1739550334">
                                          <w:marLeft w:val="0"/>
                                          <w:marRight w:val="0"/>
                                          <w:marTop w:val="0"/>
                                          <w:marBottom w:val="0"/>
                                          <w:divBdr>
                                            <w:top w:val="none" w:sz="0" w:space="0" w:color="auto"/>
                                            <w:left w:val="none" w:sz="0" w:space="0" w:color="auto"/>
                                            <w:bottom w:val="none" w:sz="0" w:space="0" w:color="auto"/>
                                            <w:right w:val="none" w:sz="0" w:space="0" w:color="auto"/>
                                          </w:divBdr>
                                          <w:divsChild>
                                            <w:div w:id="159808383">
                                              <w:marLeft w:val="0"/>
                                              <w:marRight w:val="0"/>
                                              <w:marTop w:val="0"/>
                                              <w:marBottom w:val="0"/>
                                              <w:divBdr>
                                                <w:top w:val="none" w:sz="0" w:space="0" w:color="auto"/>
                                                <w:left w:val="none" w:sz="0" w:space="0" w:color="auto"/>
                                                <w:bottom w:val="none" w:sz="0" w:space="0" w:color="auto"/>
                                                <w:right w:val="none" w:sz="0" w:space="0" w:color="auto"/>
                                              </w:divBdr>
                                              <w:divsChild>
                                                <w:div w:id="379551404">
                                                  <w:marLeft w:val="0"/>
                                                  <w:marRight w:val="0"/>
                                                  <w:marTop w:val="0"/>
                                                  <w:marBottom w:val="0"/>
                                                  <w:divBdr>
                                                    <w:top w:val="none" w:sz="0" w:space="0" w:color="auto"/>
                                                    <w:left w:val="none" w:sz="0" w:space="0" w:color="auto"/>
                                                    <w:bottom w:val="none" w:sz="0" w:space="0" w:color="auto"/>
                                                    <w:right w:val="none" w:sz="0" w:space="0" w:color="auto"/>
                                                  </w:divBdr>
                                                </w:div>
                                                <w:div w:id="105539778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21638303">
                                                  <w:marLeft w:val="0"/>
                                                  <w:marRight w:val="0"/>
                                                  <w:marTop w:val="0"/>
                                                  <w:marBottom w:val="0"/>
                                                  <w:divBdr>
                                                    <w:top w:val="none" w:sz="0" w:space="0" w:color="auto"/>
                                                    <w:left w:val="none" w:sz="0" w:space="0" w:color="auto"/>
                                                    <w:bottom w:val="none" w:sz="0" w:space="0" w:color="auto"/>
                                                    <w:right w:val="none" w:sz="0" w:space="0" w:color="auto"/>
                                                  </w:divBdr>
                                                </w:div>
                                                <w:div w:id="1763332266">
                                                  <w:marLeft w:val="0"/>
                                                  <w:marRight w:val="0"/>
                                                  <w:marTop w:val="0"/>
                                                  <w:marBottom w:val="0"/>
                                                  <w:divBdr>
                                                    <w:top w:val="none" w:sz="0" w:space="0" w:color="auto"/>
                                                    <w:left w:val="none" w:sz="0" w:space="0" w:color="auto"/>
                                                    <w:bottom w:val="none" w:sz="0" w:space="0" w:color="auto"/>
                                                    <w:right w:val="none" w:sz="0" w:space="0" w:color="auto"/>
                                                  </w:divBdr>
                                                </w:div>
                                                <w:div w:id="827674771">
                                                  <w:marLeft w:val="0"/>
                                                  <w:marRight w:val="0"/>
                                                  <w:marTop w:val="0"/>
                                                  <w:marBottom w:val="0"/>
                                                  <w:divBdr>
                                                    <w:top w:val="none" w:sz="0" w:space="0" w:color="auto"/>
                                                    <w:left w:val="none" w:sz="0" w:space="0" w:color="auto"/>
                                                    <w:bottom w:val="none" w:sz="0" w:space="0" w:color="auto"/>
                                                    <w:right w:val="none" w:sz="0" w:space="0" w:color="auto"/>
                                                  </w:divBdr>
                                                </w:div>
                                                <w:div w:id="835655500">
                                                  <w:marLeft w:val="0"/>
                                                  <w:marRight w:val="0"/>
                                                  <w:marTop w:val="0"/>
                                                  <w:marBottom w:val="0"/>
                                                  <w:divBdr>
                                                    <w:top w:val="none" w:sz="0" w:space="0" w:color="auto"/>
                                                    <w:left w:val="none" w:sz="0" w:space="0" w:color="auto"/>
                                                    <w:bottom w:val="none" w:sz="0" w:space="0" w:color="auto"/>
                                                    <w:right w:val="none" w:sz="0" w:space="0" w:color="auto"/>
                                                  </w:divBdr>
                                                </w:div>
                                                <w:div w:id="1591279624">
                                                  <w:marLeft w:val="0"/>
                                                  <w:marRight w:val="0"/>
                                                  <w:marTop w:val="0"/>
                                                  <w:marBottom w:val="0"/>
                                                  <w:divBdr>
                                                    <w:top w:val="none" w:sz="0" w:space="0" w:color="auto"/>
                                                    <w:left w:val="none" w:sz="0" w:space="0" w:color="auto"/>
                                                    <w:bottom w:val="none" w:sz="0" w:space="0" w:color="auto"/>
                                                    <w:right w:val="none" w:sz="0" w:space="0" w:color="auto"/>
                                                  </w:divBdr>
                                                </w:div>
                                                <w:div w:id="825172668">
                                                  <w:marLeft w:val="0"/>
                                                  <w:marRight w:val="0"/>
                                                  <w:marTop w:val="0"/>
                                                  <w:marBottom w:val="0"/>
                                                  <w:divBdr>
                                                    <w:top w:val="none" w:sz="0" w:space="0" w:color="auto"/>
                                                    <w:left w:val="none" w:sz="0" w:space="0" w:color="auto"/>
                                                    <w:bottom w:val="none" w:sz="0" w:space="0" w:color="auto"/>
                                                    <w:right w:val="none" w:sz="0" w:space="0" w:color="auto"/>
                                                  </w:divBdr>
                                                </w:div>
                                                <w:div w:id="94447777">
                                                  <w:marLeft w:val="0"/>
                                                  <w:marRight w:val="0"/>
                                                  <w:marTop w:val="0"/>
                                                  <w:marBottom w:val="0"/>
                                                  <w:divBdr>
                                                    <w:top w:val="none" w:sz="0" w:space="0" w:color="auto"/>
                                                    <w:left w:val="none" w:sz="0" w:space="0" w:color="auto"/>
                                                    <w:bottom w:val="none" w:sz="0" w:space="0" w:color="auto"/>
                                                    <w:right w:val="none" w:sz="0" w:space="0" w:color="auto"/>
                                                  </w:divBdr>
                                                </w:div>
                                                <w:div w:id="1221134392">
                                                  <w:marLeft w:val="0"/>
                                                  <w:marRight w:val="0"/>
                                                  <w:marTop w:val="0"/>
                                                  <w:marBottom w:val="0"/>
                                                  <w:divBdr>
                                                    <w:top w:val="none" w:sz="0" w:space="0" w:color="auto"/>
                                                    <w:left w:val="none" w:sz="0" w:space="0" w:color="auto"/>
                                                    <w:bottom w:val="none" w:sz="0" w:space="0" w:color="auto"/>
                                                    <w:right w:val="none" w:sz="0" w:space="0" w:color="auto"/>
                                                  </w:divBdr>
                                                </w:div>
                                                <w:div w:id="1580092026">
                                                  <w:marLeft w:val="0"/>
                                                  <w:marRight w:val="0"/>
                                                  <w:marTop w:val="0"/>
                                                  <w:marBottom w:val="0"/>
                                                  <w:divBdr>
                                                    <w:top w:val="none" w:sz="0" w:space="0" w:color="auto"/>
                                                    <w:left w:val="none" w:sz="0" w:space="0" w:color="auto"/>
                                                    <w:bottom w:val="none" w:sz="0" w:space="0" w:color="auto"/>
                                                    <w:right w:val="none" w:sz="0" w:space="0" w:color="auto"/>
                                                  </w:divBdr>
                                                </w:div>
                                                <w:div w:id="1298298955">
                                                  <w:marLeft w:val="0"/>
                                                  <w:marRight w:val="0"/>
                                                  <w:marTop w:val="0"/>
                                                  <w:marBottom w:val="0"/>
                                                  <w:divBdr>
                                                    <w:top w:val="none" w:sz="0" w:space="0" w:color="auto"/>
                                                    <w:left w:val="none" w:sz="0" w:space="0" w:color="auto"/>
                                                    <w:bottom w:val="none" w:sz="0" w:space="0" w:color="auto"/>
                                                    <w:right w:val="none" w:sz="0" w:space="0" w:color="auto"/>
                                                  </w:divBdr>
                                                </w:div>
                                                <w:div w:id="124663670">
                                                  <w:marLeft w:val="0"/>
                                                  <w:marRight w:val="0"/>
                                                  <w:marTop w:val="0"/>
                                                  <w:marBottom w:val="0"/>
                                                  <w:divBdr>
                                                    <w:top w:val="none" w:sz="0" w:space="0" w:color="auto"/>
                                                    <w:left w:val="none" w:sz="0" w:space="0" w:color="auto"/>
                                                    <w:bottom w:val="none" w:sz="0" w:space="0" w:color="auto"/>
                                                    <w:right w:val="none" w:sz="0" w:space="0" w:color="auto"/>
                                                  </w:divBdr>
                                                </w:div>
                                                <w:div w:id="1432360412">
                                                  <w:marLeft w:val="0"/>
                                                  <w:marRight w:val="0"/>
                                                  <w:marTop w:val="0"/>
                                                  <w:marBottom w:val="0"/>
                                                  <w:divBdr>
                                                    <w:top w:val="none" w:sz="0" w:space="0" w:color="auto"/>
                                                    <w:left w:val="none" w:sz="0" w:space="0" w:color="auto"/>
                                                    <w:bottom w:val="none" w:sz="0" w:space="0" w:color="auto"/>
                                                    <w:right w:val="none" w:sz="0" w:space="0" w:color="auto"/>
                                                  </w:divBdr>
                                                </w:div>
                                                <w:div w:id="967206761">
                                                  <w:marLeft w:val="0"/>
                                                  <w:marRight w:val="0"/>
                                                  <w:marTop w:val="0"/>
                                                  <w:marBottom w:val="0"/>
                                                  <w:divBdr>
                                                    <w:top w:val="none" w:sz="0" w:space="0" w:color="auto"/>
                                                    <w:left w:val="none" w:sz="0" w:space="0" w:color="auto"/>
                                                    <w:bottom w:val="none" w:sz="0" w:space="0" w:color="auto"/>
                                                    <w:right w:val="none" w:sz="0" w:space="0" w:color="auto"/>
                                                  </w:divBdr>
                                                </w:div>
                                                <w:div w:id="15222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8748">
      <w:bodyDiv w:val="1"/>
      <w:marLeft w:val="0"/>
      <w:marRight w:val="0"/>
      <w:marTop w:val="0"/>
      <w:marBottom w:val="0"/>
      <w:divBdr>
        <w:top w:val="none" w:sz="0" w:space="0" w:color="auto"/>
        <w:left w:val="none" w:sz="0" w:space="0" w:color="auto"/>
        <w:bottom w:val="none" w:sz="0" w:space="0" w:color="auto"/>
        <w:right w:val="none" w:sz="0" w:space="0" w:color="auto"/>
      </w:divBdr>
    </w:div>
    <w:div w:id="306012417">
      <w:bodyDiv w:val="1"/>
      <w:marLeft w:val="0"/>
      <w:marRight w:val="0"/>
      <w:marTop w:val="0"/>
      <w:marBottom w:val="0"/>
      <w:divBdr>
        <w:top w:val="none" w:sz="0" w:space="0" w:color="auto"/>
        <w:left w:val="none" w:sz="0" w:space="0" w:color="auto"/>
        <w:bottom w:val="none" w:sz="0" w:space="0" w:color="auto"/>
        <w:right w:val="none" w:sz="0" w:space="0" w:color="auto"/>
      </w:divBdr>
      <w:divsChild>
        <w:div w:id="520895212">
          <w:marLeft w:val="0"/>
          <w:marRight w:val="0"/>
          <w:marTop w:val="0"/>
          <w:marBottom w:val="0"/>
          <w:divBdr>
            <w:top w:val="none" w:sz="0" w:space="0" w:color="auto"/>
            <w:left w:val="none" w:sz="0" w:space="0" w:color="auto"/>
            <w:bottom w:val="none" w:sz="0" w:space="0" w:color="auto"/>
            <w:right w:val="none" w:sz="0" w:space="0" w:color="auto"/>
          </w:divBdr>
        </w:div>
      </w:divsChild>
    </w:div>
    <w:div w:id="376201580">
      <w:bodyDiv w:val="1"/>
      <w:marLeft w:val="0"/>
      <w:marRight w:val="0"/>
      <w:marTop w:val="0"/>
      <w:marBottom w:val="0"/>
      <w:divBdr>
        <w:top w:val="none" w:sz="0" w:space="0" w:color="auto"/>
        <w:left w:val="none" w:sz="0" w:space="0" w:color="auto"/>
        <w:bottom w:val="none" w:sz="0" w:space="0" w:color="auto"/>
        <w:right w:val="none" w:sz="0" w:space="0" w:color="auto"/>
      </w:divBdr>
    </w:div>
    <w:div w:id="816386332">
      <w:bodyDiv w:val="1"/>
      <w:marLeft w:val="0"/>
      <w:marRight w:val="0"/>
      <w:marTop w:val="0"/>
      <w:marBottom w:val="0"/>
      <w:divBdr>
        <w:top w:val="none" w:sz="0" w:space="0" w:color="auto"/>
        <w:left w:val="none" w:sz="0" w:space="0" w:color="auto"/>
        <w:bottom w:val="none" w:sz="0" w:space="0" w:color="auto"/>
        <w:right w:val="none" w:sz="0" w:space="0" w:color="auto"/>
      </w:divBdr>
    </w:div>
    <w:div w:id="894465584">
      <w:bodyDiv w:val="1"/>
      <w:marLeft w:val="0"/>
      <w:marRight w:val="0"/>
      <w:marTop w:val="0"/>
      <w:marBottom w:val="0"/>
      <w:divBdr>
        <w:top w:val="none" w:sz="0" w:space="0" w:color="auto"/>
        <w:left w:val="none" w:sz="0" w:space="0" w:color="auto"/>
        <w:bottom w:val="none" w:sz="0" w:space="0" w:color="auto"/>
        <w:right w:val="none" w:sz="0" w:space="0" w:color="auto"/>
      </w:divBdr>
    </w:div>
    <w:div w:id="1044984505">
      <w:bodyDiv w:val="1"/>
      <w:marLeft w:val="0"/>
      <w:marRight w:val="0"/>
      <w:marTop w:val="0"/>
      <w:marBottom w:val="0"/>
      <w:divBdr>
        <w:top w:val="none" w:sz="0" w:space="0" w:color="auto"/>
        <w:left w:val="none" w:sz="0" w:space="0" w:color="auto"/>
        <w:bottom w:val="none" w:sz="0" w:space="0" w:color="auto"/>
        <w:right w:val="none" w:sz="0" w:space="0" w:color="auto"/>
      </w:divBdr>
    </w:div>
    <w:div w:id="1779180434">
      <w:bodyDiv w:val="1"/>
      <w:marLeft w:val="0"/>
      <w:marRight w:val="0"/>
      <w:marTop w:val="0"/>
      <w:marBottom w:val="0"/>
      <w:divBdr>
        <w:top w:val="none" w:sz="0" w:space="0" w:color="auto"/>
        <w:left w:val="none" w:sz="0" w:space="0" w:color="auto"/>
        <w:bottom w:val="none" w:sz="0" w:space="0" w:color="auto"/>
        <w:right w:val="none" w:sz="0" w:space="0" w:color="auto"/>
      </w:divBdr>
      <w:divsChild>
        <w:div w:id="163203907">
          <w:marLeft w:val="0"/>
          <w:marRight w:val="0"/>
          <w:marTop w:val="0"/>
          <w:marBottom w:val="300"/>
          <w:divBdr>
            <w:top w:val="none" w:sz="0" w:space="0" w:color="auto"/>
            <w:left w:val="none" w:sz="0" w:space="0" w:color="auto"/>
            <w:bottom w:val="none" w:sz="0" w:space="0" w:color="auto"/>
            <w:right w:val="none" w:sz="0" w:space="0" w:color="auto"/>
          </w:divBdr>
          <w:divsChild>
            <w:div w:id="332341908">
              <w:marLeft w:val="0"/>
              <w:marRight w:val="0"/>
              <w:marTop w:val="0"/>
              <w:marBottom w:val="0"/>
              <w:divBdr>
                <w:top w:val="none" w:sz="0" w:space="0" w:color="auto"/>
                <w:left w:val="none" w:sz="0" w:space="0" w:color="auto"/>
                <w:bottom w:val="none" w:sz="0" w:space="0" w:color="auto"/>
                <w:right w:val="none" w:sz="0" w:space="0" w:color="auto"/>
              </w:divBdr>
            </w:div>
          </w:divsChild>
        </w:div>
        <w:div w:id="1655375615">
          <w:marLeft w:val="0"/>
          <w:marRight w:val="0"/>
          <w:marTop w:val="0"/>
          <w:marBottom w:val="300"/>
          <w:divBdr>
            <w:top w:val="none" w:sz="0" w:space="0" w:color="auto"/>
            <w:left w:val="none" w:sz="0" w:space="0" w:color="auto"/>
            <w:bottom w:val="none" w:sz="0" w:space="0" w:color="auto"/>
            <w:right w:val="none" w:sz="0" w:space="0" w:color="auto"/>
          </w:divBdr>
          <w:divsChild>
            <w:div w:id="88278934">
              <w:marLeft w:val="0"/>
              <w:marRight w:val="0"/>
              <w:marTop w:val="0"/>
              <w:marBottom w:val="180"/>
              <w:divBdr>
                <w:top w:val="none" w:sz="0" w:space="0" w:color="auto"/>
                <w:left w:val="none" w:sz="0" w:space="0" w:color="auto"/>
                <w:bottom w:val="none" w:sz="0" w:space="0" w:color="auto"/>
                <w:right w:val="none" w:sz="0" w:space="0" w:color="auto"/>
              </w:divBdr>
              <w:divsChild>
                <w:div w:id="845170610">
                  <w:marLeft w:val="0"/>
                  <w:marRight w:val="0"/>
                  <w:marTop w:val="0"/>
                  <w:marBottom w:val="300"/>
                  <w:divBdr>
                    <w:top w:val="none" w:sz="0" w:space="0" w:color="auto"/>
                    <w:left w:val="none" w:sz="0" w:space="0" w:color="auto"/>
                    <w:bottom w:val="none" w:sz="0" w:space="0" w:color="auto"/>
                    <w:right w:val="none" w:sz="0" w:space="0" w:color="auto"/>
                  </w:divBdr>
                  <w:divsChild>
                    <w:div w:id="7141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597">
      <w:bodyDiv w:val="1"/>
      <w:marLeft w:val="0"/>
      <w:marRight w:val="0"/>
      <w:marTop w:val="0"/>
      <w:marBottom w:val="0"/>
      <w:divBdr>
        <w:top w:val="none" w:sz="0" w:space="0" w:color="auto"/>
        <w:left w:val="none" w:sz="0" w:space="0" w:color="auto"/>
        <w:bottom w:val="none" w:sz="0" w:space="0" w:color="auto"/>
        <w:right w:val="none" w:sz="0" w:space="0" w:color="auto"/>
      </w:divBdr>
    </w:div>
    <w:div w:id="2025550305">
      <w:bodyDiv w:val="1"/>
      <w:marLeft w:val="0"/>
      <w:marRight w:val="0"/>
      <w:marTop w:val="0"/>
      <w:marBottom w:val="0"/>
      <w:divBdr>
        <w:top w:val="none" w:sz="0" w:space="0" w:color="auto"/>
        <w:left w:val="none" w:sz="0" w:space="0" w:color="auto"/>
        <w:bottom w:val="none" w:sz="0" w:space="0" w:color="auto"/>
        <w:right w:val="none" w:sz="0" w:space="0" w:color="auto"/>
      </w:divBdr>
      <w:divsChild>
        <w:div w:id="516966641">
          <w:marLeft w:val="0"/>
          <w:marRight w:val="0"/>
          <w:marTop w:val="0"/>
          <w:marBottom w:val="300"/>
          <w:divBdr>
            <w:top w:val="none" w:sz="0" w:space="0" w:color="auto"/>
            <w:left w:val="none" w:sz="0" w:space="0" w:color="auto"/>
            <w:bottom w:val="none" w:sz="0" w:space="0" w:color="auto"/>
            <w:right w:val="none" w:sz="0" w:space="0" w:color="auto"/>
          </w:divBdr>
          <w:divsChild>
            <w:div w:id="1128278760">
              <w:marLeft w:val="0"/>
              <w:marRight w:val="0"/>
              <w:marTop w:val="0"/>
              <w:marBottom w:val="0"/>
              <w:divBdr>
                <w:top w:val="none" w:sz="0" w:space="0" w:color="auto"/>
                <w:left w:val="none" w:sz="0" w:space="0" w:color="auto"/>
                <w:bottom w:val="none" w:sz="0" w:space="0" w:color="auto"/>
                <w:right w:val="none" w:sz="0" w:space="0" w:color="auto"/>
              </w:divBdr>
            </w:div>
          </w:divsChild>
        </w:div>
        <w:div w:id="16080024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ublic-statement/statement-clayton-covid-19-2020-03-24" TargetMode="External"/><Relationship Id="rId13" Type="http://schemas.openxmlformats.org/officeDocument/2006/relationships/hyperlink" Target="https://www.sec.gov/news/speech/teotia-remarks-aicpa-national-conference-banks-savings-institutions" TargetMode="External"/><Relationship Id="rId18" Type="http://schemas.openxmlformats.org/officeDocument/2006/relationships/hyperlink" Target="https://www.sec.gov/news/press-release/2019-2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c.gov/sec-coronavirus-covid-19-response" TargetMode="External"/><Relationship Id="rId12" Type="http://schemas.openxmlformats.org/officeDocument/2006/relationships/hyperlink" Target="https://www.sec.gov/page/communicating-oca" TargetMode="External"/><Relationship Id="rId17" Type="http://schemas.openxmlformats.org/officeDocument/2006/relationships/hyperlink" Target="https://www.iosco.org/about/?subsection=display_committee&amp;cmtid=12" TargetMode="External"/><Relationship Id="rId2" Type="http://schemas.openxmlformats.org/officeDocument/2006/relationships/styles" Target="styles.xml"/><Relationship Id="rId16" Type="http://schemas.openxmlformats.org/officeDocument/2006/relationships/hyperlink" Target="https://www.sec.gov/news/speech/karapanos-speech-2019-aicpa-confer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ec.gov/news/speech/teotia-speech-2019-aicpa-conference" TargetMode="External"/><Relationship Id="rId5" Type="http://schemas.openxmlformats.org/officeDocument/2006/relationships/hyperlink" Target="https://www.sec.gov/biography/sagar-teotia" TargetMode="External"/><Relationship Id="rId15" Type="http://schemas.openxmlformats.org/officeDocument/2006/relationships/hyperlink" Target="https://pcaobus.org/News/Releases/Pages/PCAOB-Update-on-Operations-In-Light-of-COVID-19.aspx" TargetMode="External"/><Relationship Id="rId10" Type="http://schemas.openxmlformats.org/officeDocument/2006/relationships/hyperlink" Target="https://www.sec.gov/corpfin/coronavirus-covid-19" TargetMode="External"/><Relationship Id="rId19" Type="http://schemas.openxmlformats.org/officeDocument/2006/relationships/hyperlink" Target="https://www.sec.gov/news/public-statement/statement-audit-quality-china-2020-02-19" TargetMode="External"/><Relationship Id="rId4" Type="http://schemas.openxmlformats.org/officeDocument/2006/relationships/webSettings" Target="webSettings.xml"/><Relationship Id="rId9" Type="http://schemas.openxmlformats.org/officeDocument/2006/relationships/hyperlink" Target="https://www.sec.gov/rules/exorders/2020/34-88465.pdf" TargetMode="External"/><Relationship Id="rId14" Type="http://schemas.openxmlformats.org/officeDocument/2006/relationships/hyperlink" Target="https://pcaobus.org/News/Releases/Pages/In-Light-of-COVID-19-PCAOB-Provides-Audit-Firms-with-Opportunity-for-Relief-from-Inspection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3643</Words>
  <Characters>20040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2021-07-21T17:39:00Z</dcterms:created>
  <dcterms:modified xsi:type="dcterms:W3CDTF">2021-07-21T17:54:00Z</dcterms:modified>
</cp:coreProperties>
</file>