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DC" w:rsidRPr="007240DC" w:rsidRDefault="007240DC" w:rsidP="007240DC">
      <w:pPr>
        <w:jc w:val="both"/>
        <w:rPr>
          <w:rFonts w:ascii="Arial" w:hAnsi="Arial" w:cs="Arial"/>
          <w:b/>
          <w:bCs/>
          <w:sz w:val="20"/>
          <w:szCs w:val="20"/>
        </w:rPr>
      </w:pPr>
      <w:r w:rsidRPr="007240DC">
        <w:rPr>
          <w:rFonts w:ascii="Arial" w:hAnsi="Arial" w:cs="Arial"/>
          <w:b/>
          <w:bCs/>
          <w:sz w:val="20"/>
          <w:szCs w:val="20"/>
        </w:rPr>
        <w:t>Discurso: Relevancia de la información financiera en el entorno global actual</w:t>
      </w:r>
    </w:p>
    <w:p w:rsidR="007240DC" w:rsidRDefault="007240DC" w:rsidP="007240DC">
      <w:pPr>
        <w:jc w:val="both"/>
        <w:rPr>
          <w:rFonts w:ascii="Arial" w:hAnsi="Arial" w:cs="Arial"/>
          <w:bCs/>
          <w:sz w:val="20"/>
          <w:szCs w:val="20"/>
        </w:rPr>
      </w:pPr>
    </w:p>
    <w:p w:rsidR="007240DC" w:rsidRPr="007240DC" w:rsidRDefault="007240DC" w:rsidP="007240DC">
      <w:pPr>
        <w:jc w:val="both"/>
        <w:rPr>
          <w:rFonts w:ascii="Arial" w:hAnsi="Arial" w:cs="Arial"/>
          <w:bCs/>
          <w:sz w:val="20"/>
          <w:szCs w:val="20"/>
        </w:rPr>
      </w:pPr>
      <w:r w:rsidRPr="007240DC">
        <w:rPr>
          <w:rFonts w:ascii="Arial" w:hAnsi="Arial" w:cs="Arial"/>
          <w:b/>
          <w:bCs/>
          <w:sz w:val="20"/>
          <w:szCs w:val="20"/>
        </w:rPr>
        <w:t>Cuándo</w:t>
      </w:r>
      <w:r w:rsidRPr="007240DC">
        <w:rPr>
          <w:rFonts w:ascii="Arial" w:hAnsi="Arial" w:cs="Arial"/>
          <w:bCs/>
          <w:sz w:val="20"/>
          <w:szCs w:val="20"/>
        </w:rPr>
        <w:t> : 26 de junio de 2019</w:t>
      </w:r>
    </w:p>
    <w:p w:rsidR="007240DC" w:rsidRPr="007240DC" w:rsidRDefault="007240DC" w:rsidP="007240DC">
      <w:pPr>
        <w:jc w:val="both"/>
        <w:rPr>
          <w:rFonts w:ascii="Arial" w:hAnsi="Arial" w:cs="Arial"/>
          <w:bCs/>
          <w:sz w:val="20"/>
          <w:szCs w:val="20"/>
        </w:rPr>
      </w:pPr>
      <w:r w:rsidRPr="007240DC">
        <w:rPr>
          <w:rFonts w:ascii="Arial" w:hAnsi="Arial" w:cs="Arial"/>
          <w:b/>
          <w:bCs/>
          <w:sz w:val="20"/>
          <w:szCs w:val="20"/>
        </w:rPr>
        <w:t>Dónde</w:t>
      </w:r>
      <w:r w:rsidRPr="007240DC">
        <w:rPr>
          <w:rFonts w:ascii="Arial" w:hAnsi="Arial" w:cs="Arial"/>
          <w:bCs/>
          <w:sz w:val="20"/>
          <w:szCs w:val="20"/>
        </w:rPr>
        <w:t> : Reunión de los Fideicomisarios de la Fundación IFRS, Múnich, Alemania</w:t>
      </w:r>
    </w:p>
    <w:p w:rsidR="007240DC" w:rsidRPr="007240DC" w:rsidRDefault="007240DC" w:rsidP="007240DC">
      <w:pPr>
        <w:jc w:val="both"/>
        <w:rPr>
          <w:rFonts w:ascii="Arial" w:hAnsi="Arial" w:cs="Arial"/>
          <w:bCs/>
          <w:sz w:val="20"/>
          <w:szCs w:val="20"/>
        </w:rPr>
      </w:pPr>
      <w:r w:rsidRPr="007240DC">
        <w:rPr>
          <w:rFonts w:ascii="Arial" w:hAnsi="Arial" w:cs="Arial"/>
          <w:bCs/>
          <w:i/>
          <w:iCs/>
          <w:sz w:val="20"/>
          <w:szCs w:val="20"/>
        </w:rPr>
        <w:t>El Dr. Nicolas Peter, Director Financiero de BMW AG, pronunció el discurso de apertura en un evento para las partes interesadas en Múnich el 26 de junio de 2019, organizado conjuntamente por los Fideicomisarios de la Fundación IFRS y el Comité de Normas de Deutsche Rechnungslegungs (DRSC, el emisor de normas contables alemán ). En su discurso, el Dr. Peter destaca la importancia de las Normas IFRS para BMW AG y el mercado financiero global, y analiza algunos de los desafíos para el futuro.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Damas y caballeros, ¡bienvenidos a BMW Group Classic! Gracias por acompañarnos hoy en este lugar tan especial. Aquí, en este lugar, hace más de cien años, nació Bayerische Motoren Werke.</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Con suerte, algunos de ustedes ya tuvieron la oportunidad de ver nuestra colección de vehículos y realizar una visita guiada a través de cien años de historia. Siempre es lo más destacado para mí, ¡cada vez!</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Esta noche nos centraremos en un tema importante, y al mismo tiempo, de gran actualidad: la relevancia de la información financiera en el ámbito mundial. Me gustaría aprovechar esta oportunidad para ofrecer algunos pensamientos fundamentales.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 Fundación IFRS y DRSC se han dedicado a la estandarización y armonización de regulaciones y ciertamente han tenido mucho éxito.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Especialmente frente a la creciente volatilidad política y económica en todas las regiones del mundo, creo que una cosa está clara: las normas contables uniformes son más valiosas hoy que nunca. Las Normas NIIF son un paso importante hacia este objetivo.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BMW Group apoya plenamente estos esfuerzos, porque la comparabilidad entre empresas multinacionales es uno de los pilares fundamentales de nuestro sistema económico globalmente integrado y se ha convertido en un requisito esencial para el acceso a los mercados financieros en todo el mundo.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El IASB ha sido una fuerza impulsora en este proceso durante más de 45 años y el DRSC también se ha convertido en una voz fuerte en Europa en los últimos años.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Definitivamente fue la decisión correcta para nosotros en 2001 seguir las NIIF. Mientras tanto, no son solo las empresas de toda Europa las que han adoptado los estándares IFRS, sino que se ha convertido en el estándar global, utilizado en más de 160 jurisdicciones en todo el mundo.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Incluso aquellos países que no aplican los estándares directamente, como China, siguen de cerca las reglas que IASB ha establecido durante décadas.</w:t>
      </w:r>
    </w:p>
    <w:p w:rsidR="007240DC" w:rsidRPr="007240DC" w:rsidRDefault="007240DC" w:rsidP="007240DC">
      <w:pPr>
        <w:jc w:val="both"/>
        <w:rPr>
          <w:rFonts w:ascii="Arial" w:hAnsi="Arial" w:cs="Arial"/>
          <w:b/>
          <w:bCs/>
          <w:sz w:val="20"/>
          <w:szCs w:val="20"/>
        </w:rPr>
      </w:pPr>
      <w:r w:rsidRPr="007240DC">
        <w:rPr>
          <w:rFonts w:ascii="Arial" w:hAnsi="Arial" w:cs="Arial"/>
          <w:b/>
          <w:bCs/>
          <w:sz w:val="20"/>
          <w:szCs w:val="20"/>
        </w:rPr>
        <w:t>Desafíos para las empresas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Naturalmente, un conjunto de reglas tan completo también plantea ciertos desafíos para las operaciones comerciales en curso.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 introducción de las nuevas Normas NIIF 9, 15 y 16 en 2018 y 2019, en particular, supuso un gran esfuerzo y gasto para muchas empresas. Las NIIF 9 y 15 fueron pasos importantes en la dirección correcta, ya que consolidaron varias directrices y alinearon mejor la gestión de riesgos y la contabilidad.</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lastRenderedPageBreak/>
        <w:t>La introducción de la NIIF 16, por otro lado, dio como resultado que BMW Group simplemente informara sobre las partidas del balance que se habían revelado previamente en las notas de sus estados financieros.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Sin embargo, durante un período de dos años se gastó una cantidad sustancial de dinero en personal y costos de TI.</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Al mismo tiempo, a pesar de la armonización de los métodos contables, nos estamos dando cuenta de que no todas las cifras reportadas son realmente comparables: por ejemplo, vemos cada vez más ganancias ajustadas permanentemente para efectos únicos.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Sin un estándar de informes aceptado para estos ajustes, a menudo no hay una respuesta clara a la pregunta "¿Qué entra dentro del negocio operativo y qué no?"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Solo puedo hablar en nombre de nuestra empresa: no informamos cifras ajustadas. Pero eso también significa que no siempre es posible comparar comunicados de prensa a primera vista. La discusión de medidas de desempeño alternativas, medidas de ganancias que no son PCGA y recomendaciones para manejar elementos no recurrentes debe continuar de manera más estricta.</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Hemos sido testigos de dos desarrollos fundamentales en los últimos años:</w:t>
      </w:r>
    </w:p>
    <w:p w:rsidR="007240DC" w:rsidRPr="007240DC" w:rsidRDefault="007240DC" w:rsidP="007240DC">
      <w:pPr>
        <w:numPr>
          <w:ilvl w:val="0"/>
          <w:numId w:val="1"/>
        </w:numPr>
        <w:jc w:val="both"/>
        <w:rPr>
          <w:rFonts w:ascii="Arial" w:hAnsi="Arial" w:cs="Arial"/>
          <w:bCs/>
          <w:sz w:val="20"/>
          <w:szCs w:val="20"/>
        </w:rPr>
      </w:pPr>
      <w:r w:rsidRPr="007240DC">
        <w:rPr>
          <w:rFonts w:ascii="Arial" w:hAnsi="Arial" w:cs="Arial"/>
          <w:bCs/>
          <w:sz w:val="20"/>
          <w:szCs w:val="20"/>
        </w:rPr>
        <w:t>Por un lado, los estados financieros reales son cada vez más detallados, según lo estipulado por los emisores de normas. También están aumentando los requisitos para la presentación de informes no financieros.</w:t>
      </w:r>
    </w:p>
    <w:p w:rsidR="007240DC" w:rsidRPr="007240DC" w:rsidRDefault="007240DC" w:rsidP="007240DC">
      <w:pPr>
        <w:numPr>
          <w:ilvl w:val="0"/>
          <w:numId w:val="1"/>
        </w:numPr>
        <w:jc w:val="both"/>
        <w:rPr>
          <w:rFonts w:ascii="Arial" w:hAnsi="Arial" w:cs="Arial"/>
          <w:bCs/>
          <w:sz w:val="20"/>
          <w:szCs w:val="20"/>
        </w:rPr>
      </w:pPr>
      <w:r w:rsidRPr="007240DC">
        <w:rPr>
          <w:rFonts w:ascii="Arial" w:hAnsi="Arial" w:cs="Arial"/>
          <w:bCs/>
          <w:sz w:val="20"/>
          <w:szCs w:val="20"/>
        </w:rPr>
        <w:t>Por otro lado, las partes interesadas generalmente están más interesadas en nuestro pronóstico.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En otras palabras, si bien la implementación de estándares nuevos y existentes con gran detalle ocupa la mayor parte de nuestra capacidad, el interés público se centra cada vez más en las declaraciones prospectivas.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Lo vimos una vez más en la Junta General Anual de este año: La gran mayoría de preguntas sobre nuestra situación financiera de accionistas e inversores relacionados con el futuro.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En este ámbito, en particular, es fundamental que las empresas mantengan cierto grado de libertad en sus informes: la alta volatilidad en nuestro entorno y las complejidades de la gestión empresarial hacen que las previsiones precisas sean cada vez más difíciles.</w:t>
      </w:r>
    </w:p>
    <w:p w:rsidR="007240DC" w:rsidRDefault="007240DC" w:rsidP="007240DC">
      <w:pPr>
        <w:jc w:val="both"/>
        <w:rPr>
          <w:rFonts w:ascii="Arial" w:hAnsi="Arial" w:cs="Arial"/>
          <w:bCs/>
          <w:sz w:val="20"/>
          <w:szCs w:val="20"/>
        </w:rPr>
      </w:pPr>
      <w:r w:rsidRPr="007240DC">
        <w:rPr>
          <w:rFonts w:ascii="Arial" w:hAnsi="Arial" w:cs="Arial"/>
          <w:bCs/>
          <w:sz w:val="20"/>
          <w:szCs w:val="20"/>
        </w:rPr>
        <w:t>Por tanto, las posibilidades de normalización son limitadas.</w:t>
      </w:r>
    </w:p>
    <w:p w:rsidR="007240DC" w:rsidRDefault="007240DC" w:rsidP="007240DC">
      <w:pPr>
        <w:jc w:val="both"/>
        <w:rPr>
          <w:rFonts w:ascii="Arial" w:hAnsi="Arial" w:cs="Arial"/>
          <w:bCs/>
          <w:sz w:val="20"/>
          <w:szCs w:val="20"/>
        </w:rPr>
      </w:pPr>
    </w:p>
    <w:p w:rsidR="007240DC" w:rsidRPr="007240DC" w:rsidRDefault="007240DC" w:rsidP="007240DC">
      <w:pPr>
        <w:jc w:val="both"/>
        <w:rPr>
          <w:rFonts w:ascii="Arial" w:hAnsi="Arial" w:cs="Arial"/>
          <w:b/>
          <w:bCs/>
          <w:sz w:val="20"/>
          <w:szCs w:val="20"/>
        </w:rPr>
      </w:pPr>
      <w:r w:rsidRPr="007240DC">
        <w:rPr>
          <w:rFonts w:ascii="Arial" w:hAnsi="Arial" w:cs="Arial"/>
          <w:b/>
          <w:bCs/>
          <w:sz w:val="20"/>
          <w:szCs w:val="20"/>
        </w:rPr>
        <w:t>Mirando hacia el futuro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Echemos un breve vistazo al futuro.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Los aspectos no financieros jugarán un papel importante en el desarrollo continuo de la presentación de informes. Ejemplos conocidos de esto son la Directiva RSE y el Plan de Acción de la UE para la Financiación del Crecimiento Sostenible. BMW Group está firmemente comprometido con la sostenibilidad a lo largo de toda la cadena de valor.</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 transparencia en los informes siempre ha sido un valor fundamental para nosotros. En 2014 fuimos una de las primeras empresas en auditar la totalidad de su informe de sostenibilidad.</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Particularmente con los informes no financieros, el valor informativo varía mucho de una industria a otra. Aquí deben tenerse en cuenta las características individuales de cada empresa y sus complejas cadenas de valor, así como los requisitos específicos de la industria y del sector.</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lastRenderedPageBreak/>
        <w:t>En lo que respecta a la comparabilidad y la implementación dentro de las empresas, no creemos que "una talla única" sea el enfoque correcto. La flexibilidad adecuada es vital para una presentación de informes coherente, rigurosa y estructurada de forma adecuada.</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Las empresas con la mirada puesta en el futuro estarán dispuestas a compartir esto en sus informes.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En este sentido, debemos conservar la libertad de diferenciarnos a través de nuestros informes.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 estandarización y la armonización tienen que ver con la creación de un campo de juego global nivelado, con negocios justos y condiciones competitivas para todas las industrias. IASB, DRSC y las empresas tienen intereses similares aquí.</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A nivel europeo, hemos visto esfuerzos crecientes por parte de la Comisión Europea en los últimos años para regular aún más de cerca a las empresas europeas. La Comisión ha vuelto a considerar las “NIIF-UE”.</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Creemos firmemente en los beneficios de un cuerpo de reglas estandarizado a nivel mundial, que siempre ha sido la idea central de las NIIF. Por ese motivo, nos oponemos al concepto de NIIF-UE especiales.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La Unión Europea ha generado prosperidad económica. Pero demasiada regulación unilateral en una región del mundo puede alterar seriamente el equilibrio global. No debe permitirse que esto se convierta en una desventaja competitiva para las empresas europeas.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En el volátil entorno político mundial en el que nos encontramos actualmente, es más importante que nunca destacar la importancia de un espacio normativo común.</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Es fácil olvidar lo lejos que nos ha llevado la introducción de estándares comunes. Ahora damos muchas de estas cosas por sentado.</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Actualmente estamos experimentando lo que sucede cuando las decisiones políticas individuales desafían el tejido económico internacional que se ha tejido durante décadas. Por lo tanto, BMW Group ha asumido una posición clara a favor de la globalización y la armonización mundial de las reglas.</w:t>
      </w:r>
    </w:p>
    <w:p w:rsidR="007240DC" w:rsidRPr="007240DC" w:rsidRDefault="007240DC" w:rsidP="007240DC">
      <w:pPr>
        <w:jc w:val="both"/>
        <w:rPr>
          <w:rFonts w:ascii="Arial" w:hAnsi="Arial" w:cs="Arial"/>
          <w:bCs/>
          <w:sz w:val="20"/>
          <w:szCs w:val="20"/>
        </w:rPr>
      </w:pPr>
      <w:r w:rsidRPr="007240DC">
        <w:rPr>
          <w:rFonts w:ascii="Arial" w:hAnsi="Arial" w:cs="Arial"/>
          <w:bCs/>
          <w:sz w:val="20"/>
          <w:szCs w:val="20"/>
        </w:rPr>
        <w:t>Gracias.</w:t>
      </w:r>
    </w:p>
    <w:p w:rsidR="007240DC" w:rsidRPr="007240DC" w:rsidRDefault="007240DC" w:rsidP="007240DC">
      <w:pPr>
        <w:jc w:val="both"/>
        <w:rPr>
          <w:rFonts w:ascii="Arial" w:hAnsi="Arial" w:cs="Arial"/>
          <w:bCs/>
          <w:sz w:val="20"/>
          <w:szCs w:val="20"/>
        </w:rPr>
      </w:pPr>
    </w:p>
    <w:p w:rsidR="007240DC" w:rsidRPr="007240DC" w:rsidRDefault="007240DC" w:rsidP="007240DC">
      <w:pPr>
        <w:jc w:val="both"/>
        <w:rPr>
          <w:rFonts w:ascii="Arial" w:hAnsi="Arial" w:cs="Arial"/>
          <w:bCs/>
          <w:sz w:val="20"/>
          <w:szCs w:val="20"/>
        </w:rPr>
      </w:pPr>
    </w:p>
    <w:p w:rsidR="007240DC" w:rsidRDefault="007240DC" w:rsidP="007240DC">
      <w:pPr>
        <w:rPr>
          <w:rFonts w:ascii="Arial" w:hAnsi="Arial" w:cs="Arial"/>
          <w:b/>
          <w:bCs/>
          <w:sz w:val="20"/>
          <w:szCs w:val="20"/>
        </w:rPr>
      </w:pPr>
    </w:p>
    <w:p w:rsidR="007240DC" w:rsidRPr="007240DC" w:rsidRDefault="007240DC" w:rsidP="007240DC">
      <w:pPr>
        <w:rPr>
          <w:rFonts w:ascii="Arial" w:hAnsi="Arial" w:cs="Arial"/>
          <w:b/>
          <w:bCs/>
          <w:sz w:val="20"/>
          <w:szCs w:val="20"/>
        </w:rPr>
      </w:pPr>
    </w:p>
    <w:p w:rsidR="00ED7650" w:rsidRPr="007240DC" w:rsidRDefault="009C70FF">
      <w:pPr>
        <w:rPr>
          <w:rFonts w:ascii="Arial" w:hAnsi="Arial" w:cs="Arial"/>
          <w:sz w:val="20"/>
          <w:szCs w:val="20"/>
        </w:rPr>
      </w:pPr>
    </w:p>
    <w:sectPr w:rsidR="00ED7650" w:rsidRPr="007240D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FF" w:rsidRDefault="009C70FF" w:rsidP="007240DC">
      <w:pPr>
        <w:spacing w:after="0" w:line="240" w:lineRule="auto"/>
      </w:pPr>
      <w:r>
        <w:separator/>
      </w:r>
    </w:p>
  </w:endnote>
  <w:endnote w:type="continuationSeparator" w:id="0">
    <w:p w:rsidR="009C70FF" w:rsidRDefault="009C70FF" w:rsidP="007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DC" w:rsidRDefault="007240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19335"/>
      <w:docPartObj>
        <w:docPartGallery w:val="Page Numbers (Bottom of Page)"/>
        <w:docPartUnique/>
      </w:docPartObj>
    </w:sdtPr>
    <w:sdtContent>
      <w:bookmarkStart w:id="0" w:name="_GoBack" w:displacedByCustomXml="prev"/>
      <w:bookmarkEnd w:id="0" w:displacedByCustomXml="prev"/>
      <w:p w:rsidR="007240DC" w:rsidRDefault="007240DC">
        <w:pPr>
          <w:pStyle w:val="Piedepgina"/>
          <w:jc w:val="right"/>
        </w:pPr>
        <w:r>
          <w:fldChar w:fldCharType="begin"/>
        </w:r>
        <w:r>
          <w:instrText>PAGE   \* MERGEFORMAT</w:instrText>
        </w:r>
        <w:r>
          <w:fldChar w:fldCharType="separate"/>
        </w:r>
        <w:r w:rsidRPr="007240DC">
          <w:rPr>
            <w:noProof/>
            <w:lang w:val="es-ES"/>
          </w:rPr>
          <w:t>1</w:t>
        </w:r>
        <w:r>
          <w:fldChar w:fldCharType="end"/>
        </w:r>
      </w:p>
    </w:sdtContent>
  </w:sdt>
  <w:p w:rsidR="007240DC" w:rsidRDefault="007240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DC" w:rsidRDefault="00724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FF" w:rsidRDefault="009C70FF" w:rsidP="007240DC">
      <w:pPr>
        <w:spacing w:after="0" w:line="240" w:lineRule="auto"/>
      </w:pPr>
      <w:r>
        <w:separator/>
      </w:r>
    </w:p>
  </w:footnote>
  <w:footnote w:type="continuationSeparator" w:id="0">
    <w:p w:rsidR="009C70FF" w:rsidRDefault="009C70FF" w:rsidP="0072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DC" w:rsidRDefault="007240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DC" w:rsidRDefault="007240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DC" w:rsidRDefault="007240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F1CBE"/>
    <w:multiLevelType w:val="multilevel"/>
    <w:tmpl w:val="C538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C"/>
    <w:rsid w:val="000F4B68"/>
    <w:rsid w:val="001739B4"/>
    <w:rsid w:val="003B63A5"/>
    <w:rsid w:val="007240DC"/>
    <w:rsid w:val="009C7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52EA79-9F91-47CC-A317-EB76BB9B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4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0DC"/>
  </w:style>
  <w:style w:type="paragraph" w:styleId="Piedepgina">
    <w:name w:val="footer"/>
    <w:basedOn w:val="Normal"/>
    <w:link w:val="PiedepginaCar"/>
    <w:uiPriority w:val="99"/>
    <w:unhideWhenUsed/>
    <w:rsid w:val="007240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933">
      <w:bodyDiv w:val="1"/>
      <w:marLeft w:val="0"/>
      <w:marRight w:val="0"/>
      <w:marTop w:val="0"/>
      <w:marBottom w:val="0"/>
      <w:divBdr>
        <w:top w:val="none" w:sz="0" w:space="0" w:color="auto"/>
        <w:left w:val="none" w:sz="0" w:space="0" w:color="auto"/>
        <w:bottom w:val="none" w:sz="0" w:space="0" w:color="auto"/>
        <w:right w:val="none" w:sz="0" w:space="0" w:color="auto"/>
      </w:divBdr>
      <w:divsChild>
        <w:div w:id="1814179397">
          <w:marLeft w:val="0"/>
          <w:marRight w:val="0"/>
          <w:marTop w:val="0"/>
          <w:marBottom w:val="0"/>
          <w:divBdr>
            <w:top w:val="none" w:sz="0" w:space="0" w:color="auto"/>
            <w:left w:val="none" w:sz="0" w:space="0" w:color="auto"/>
            <w:bottom w:val="none" w:sz="0" w:space="0" w:color="auto"/>
            <w:right w:val="none" w:sz="0" w:space="0" w:color="auto"/>
          </w:divBdr>
          <w:divsChild>
            <w:div w:id="1808547991">
              <w:marLeft w:val="0"/>
              <w:marRight w:val="0"/>
              <w:marTop w:val="0"/>
              <w:marBottom w:val="0"/>
              <w:divBdr>
                <w:top w:val="none" w:sz="0" w:space="0" w:color="auto"/>
                <w:left w:val="none" w:sz="0" w:space="0" w:color="auto"/>
                <w:bottom w:val="none" w:sz="0" w:space="0" w:color="auto"/>
                <w:right w:val="none" w:sz="0" w:space="0" w:color="auto"/>
              </w:divBdr>
            </w:div>
          </w:divsChild>
        </w:div>
        <w:div w:id="901326290">
          <w:marLeft w:val="0"/>
          <w:marRight w:val="0"/>
          <w:marTop w:val="0"/>
          <w:marBottom w:val="0"/>
          <w:divBdr>
            <w:top w:val="none" w:sz="0" w:space="0" w:color="auto"/>
            <w:left w:val="none" w:sz="0" w:space="0" w:color="auto"/>
            <w:bottom w:val="none" w:sz="0" w:space="0" w:color="auto"/>
            <w:right w:val="none" w:sz="0" w:space="0" w:color="auto"/>
          </w:divBdr>
        </w:div>
      </w:divsChild>
    </w:div>
    <w:div w:id="259064872">
      <w:bodyDiv w:val="1"/>
      <w:marLeft w:val="0"/>
      <w:marRight w:val="0"/>
      <w:marTop w:val="0"/>
      <w:marBottom w:val="0"/>
      <w:divBdr>
        <w:top w:val="none" w:sz="0" w:space="0" w:color="auto"/>
        <w:left w:val="none" w:sz="0" w:space="0" w:color="auto"/>
        <w:bottom w:val="none" w:sz="0" w:space="0" w:color="auto"/>
        <w:right w:val="none" w:sz="0" w:space="0" w:color="auto"/>
      </w:divBdr>
    </w:div>
    <w:div w:id="922107810">
      <w:bodyDiv w:val="1"/>
      <w:marLeft w:val="0"/>
      <w:marRight w:val="0"/>
      <w:marTop w:val="0"/>
      <w:marBottom w:val="0"/>
      <w:divBdr>
        <w:top w:val="none" w:sz="0" w:space="0" w:color="auto"/>
        <w:left w:val="none" w:sz="0" w:space="0" w:color="auto"/>
        <w:bottom w:val="none" w:sz="0" w:space="0" w:color="auto"/>
        <w:right w:val="none" w:sz="0" w:space="0" w:color="auto"/>
      </w:divBdr>
      <w:divsChild>
        <w:div w:id="1666743595">
          <w:marLeft w:val="0"/>
          <w:marRight w:val="0"/>
          <w:marTop w:val="0"/>
          <w:marBottom w:val="0"/>
          <w:divBdr>
            <w:top w:val="none" w:sz="0" w:space="0" w:color="auto"/>
            <w:left w:val="none" w:sz="0" w:space="0" w:color="auto"/>
            <w:bottom w:val="none" w:sz="0" w:space="0" w:color="auto"/>
            <w:right w:val="none" w:sz="0" w:space="0" w:color="auto"/>
          </w:divBdr>
          <w:divsChild>
            <w:div w:id="1878354373">
              <w:marLeft w:val="0"/>
              <w:marRight w:val="0"/>
              <w:marTop w:val="0"/>
              <w:marBottom w:val="0"/>
              <w:divBdr>
                <w:top w:val="none" w:sz="0" w:space="0" w:color="auto"/>
                <w:left w:val="none" w:sz="0" w:space="0" w:color="auto"/>
                <w:bottom w:val="none" w:sz="0" w:space="0" w:color="auto"/>
                <w:right w:val="none" w:sz="0" w:space="0" w:color="auto"/>
              </w:divBdr>
            </w:div>
          </w:divsChild>
        </w:div>
        <w:div w:id="1163280563">
          <w:marLeft w:val="0"/>
          <w:marRight w:val="0"/>
          <w:marTop w:val="0"/>
          <w:marBottom w:val="0"/>
          <w:divBdr>
            <w:top w:val="none" w:sz="0" w:space="0" w:color="auto"/>
            <w:left w:val="none" w:sz="0" w:space="0" w:color="auto"/>
            <w:bottom w:val="none" w:sz="0" w:space="0" w:color="auto"/>
            <w:right w:val="none" w:sz="0" w:space="0" w:color="auto"/>
          </w:divBdr>
        </w:div>
      </w:divsChild>
    </w:div>
    <w:div w:id="18174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2021-06-30T00:56:00Z</dcterms:created>
  <dcterms:modified xsi:type="dcterms:W3CDTF">2021-06-30T01:00:00Z</dcterms:modified>
</cp:coreProperties>
</file>