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D8" w:rsidRPr="00DB09D8" w:rsidRDefault="00DB09D8" w:rsidP="00DB09D8">
      <w:pPr>
        <w:rPr>
          <w:rFonts w:ascii="Arial" w:hAnsi="Arial" w:cs="Arial"/>
          <w:b/>
        </w:rPr>
      </w:pPr>
      <w:r w:rsidRPr="00DB09D8">
        <w:rPr>
          <w:rFonts w:ascii="Arial" w:hAnsi="Arial" w:cs="Arial"/>
          <w:b/>
        </w:rPr>
        <w:t>EJECUTORES DE CONTABILIDAD EUROPEOS PARA MEJORAR LA TRANSPARENCIA SOBRE EL IMPACTO DE COVID-19</w:t>
      </w:r>
    </w:p>
    <w:p w:rsidR="00DB09D8" w:rsidRDefault="00DB09D8" w:rsidP="00DB09D8">
      <w:pPr>
        <w:jc w:val="both"/>
        <w:rPr>
          <w:rFonts w:ascii="Arial" w:hAnsi="Arial" w:cs="Arial"/>
        </w:rPr>
      </w:pPr>
    </w:p>
    <w:p w:rsidR="00DB09D8" w:rsidRDefault="00DB09D8" w:rsidP="00DB09D8">
      <w:pPr>
        <w:jc w:val="both"/>
        <w:rPr>
          <w:rFonts w:ascii="Arial" w:hAnsi="Arial" w:cs="Arial"/>
        </w:rPr>
      </w:pPr>
      <w:r w:rsidRPr="00DB09D8">
        <w:rPr>
          <w:rFonts w:ascii="Arial" w:hAnsi="Arial" w:cs="Arial"/>
        </w:rPr>
        <w:t>28 de octubre de 2020</w:t>
      </w:r>
    </w:p>
    <w:p w:rsidR="00DB09D8" w:rsidRPr="00DB09D8" w:rsidRDefault="00DB09D8" w:rsidP="00DB09D8">
      <w:pPr>
        <w:jc w:val="both"/>
        <w:rPr>
          <w:rFonts w:ascii="Arial" w:hAnsi="Arial" w:cs="Arial"/>
        </w:rPr>
      </w:pPr>
    </w:p>
    <w:p w:rsidR="00ED7650" w:rsidRDefault="00DB09D8" w:rsidP="00DB09D8">
      <w:pPr>
        <w:jc w:val="both"/>
        <w:rPr>
          <w:rFonts w:ascii="Arial" w:hAnsi="Arial" w:cs="Arial"/>
        </w:rPr>
      </w:pPr>
      <w:r w:rsidRPr="00DB09D8">
        <w:rPr>
          <w:rFonts w:ascii="Arial" w:hAnsi="Arial" w:cs="Arial"/>
        </w:rPr>
        <w:t>La Autoridad Europea de Mercados y Valores (ESMA), el regulador de los mercados de valores de la UE, ha emitido su </w:t>
      </w:r>
      <w:hyperlink r:id="rId5" w:history="1">
        <w:r w:rsidRPr="00DB09D8">
          <w:rPr>
            <w:rStyle w:val="Hipervnculo"/>
            <w:rFonts w:ascii="Arial" w:hAnsi="Arial" w:cs="Arial"/>
          </w:rPr>
          <w:t>Declaración pública</w:t>
        </w:r>
      </w:hyperlink>
      <w:r w:rsidRPr="00DB09D8">
        <w:rPr>
          <w:rFonts w:ascii="Arial" w:hAnsi="Arial" w:cs="Arial"/>
        </w:rPr>
        <w:t> anual </w:t>
      </w:r>
      <w:hyperlink r:id="rId6" w:history="1">
        <w:r w:rsidRPr="00DB09D8">
          <w:rPr>
            <w:rStyle w:val="Hipervnculo"/>
            <w:rFonts w:ascii="Arial" w:hAnsi="Arial" w:cs="Arial"/>
          </w:rPr>
          <w:t>sobre las prioridades europeas comunes de aplicación</w:t>
        </w:r>
      </w:hyperlink>
      <w:r w:rsidRPr="00DB09D8">
        <w:rPr>
          <w:rFonts w:ascii="Arial" w:hAnsi="Arial" w:cs="Arial"/>
        </w:rPr>
        <w:t> (Declaración), que establece las prioridades que los encargados de hacer cumplir la información corporativa del EEE considerarán al examinar la publicación anual 2020 de las empresas que cotizan en bolsa. Repo</w:t>
      </w:r>
      <w:bookmarkStart w:id="0" w:name="_GoBack"/>
      <w:bookmarkEnd w:id="0"/>
      <w:r w:rsidRPr="00DB09D8">
        <w:rPr>
          <w:rFonts w:ascii="Arial" w:hAnsi="Arial" w:cs="Arial"/>
        </w:rPr>
        <w:t>rtes financieros.</w:t>
      </w:r>
    </w:p>
    <w:p w:rsidR="00DB09D8" w:rsidRPr="00DB09D8" w:rsidRDefault="00DB09D8" w:rsidP="00DB09D8">
      <w:pPr>
        <w:jc w:val="both"/>
        <w:rPr>
          <w:rFonts w:ascii="Arial" w:hAnsi="Arial" w:cs="Arial"/>
        </w:rPr>
      </w:pPr>
      <w:r w:rsidRPr="00DB09D8">
        <w:rPr>
          <w:rFonts w:ascii="Arial" w:hAnsi="Arial" w:cs="Arial"/>
        </w:rPr>
        <w:t>Las prioridades de aplicación de 2020 para los estados financieros preparados de acuerdo con las Normas Internacionales de Información Financiera (NIIF), reflejan la necesidad de brindar una transparencia adecuada con respecto a las consecuencias de la pandemia de COVID-19, que se espera que afecten varias áreas de los informes financieros anuales de 2020. Las áreas clave son:</w:t>
      </w:r>
    </w:p>
    <w:p w:rsidR="00DB09D8" w:rsidRPr="00DB09D8" w:rsidRDefault="00DB09D8" w:rsidP="00DB09D8">
      <w:pPr>
        <w:numPr>
          <w:ilvl w:val="0"/>
          <w:numId w:val="1"/>
        </w:numPr>
        <w:jc w:val="both"/>
        <w:rPr>
          <w:rFonts w:ascii="Arial" w:hAnsi="Arial" w:cs="Arial"/>
        </w:rPr>
      </w:pPr>
      <w:r w:rsidRPr="00DB09D8">
        <w:rPr>
          <w:rFonts w:ascii="Arial" w:hAnsi="Arial" w:cs="Arial"/>
        </w:rPr>
        <w:t>la aplicación de la NIC 1 </w:t>
      </w:r>
      <w:r w:rsidRPr="00DB09D8">
        <w:rPr>
          <w:rFonts w:ascii="Arial" w:hAnsi="Arial" w:cs="Arial"/>
          <w:i/>
          <w:iCs/>
        </w:rPr>
        <w:t>Presentación de estados financieros</w:t>
      </w:r>
      <w:r w:rsidRPr="00DB09D8">
        <w:rPr>
          <w:rFonts w:ascii="Arial" w:hAnsi="Arial" w:cs="Arial"/>
        </w:rPr>
        <w:t> con un enfoque en negocio en marcha, juicios importantes e incertidumbre en la estimación y la presentación de partidas relacionadas con COVID en los estados financieros;</w:t>
      </w:r>
    </w:p>
    <w:p w:rsidR="00DB09D8" w:rsidRPr="00DB09D8" w:rsidRDefault="00DB09D8" w:rsidP="00DB09D8">
      <w:pPr>
        <w:numPr>
          <w:ilvl w:val="0"/>
          <w:numId w:val="1"/>
        </w:numPr>
        <w:jc w:val="both"/>
        <w:rPr>
          <w:rFonts w:ascii="Arial" w:hAnsi="Arial" w:cs="Arial"/>
        </w:rPr>
      </w:pPr>
      <w:r w:rsidRPr="00DB09D8">
        <w:rPr>
          <w:rFonts w:ascii="Arial" w:hAnsi="Arial" w:cs="Arial"/>
        </w:rPr>
        <w:t>la aplicación de la NIC 36 </w:t>
      </w:r>
      <w:r w:rsidRPr="00DB09D8">
        <w:rPr>
          <w:rFonts w:ascii="Arial" w:hAnsi="Arial" w:cs="Arial"/>
          <w:i/>
          <w:iCs/>
        </w:rPr>
        <w:t>Deterioro de Activos</w:t>
      </w:r>
      <w:r w:rsidRPr="00DB09D8">
        <w:rPr>
          <w:rFonts w:ascii="Arial" w:hAnsi="Arial" w:cs="Arial"/>
        </w:rPr>
        <w:t> , donde el monto recuperable de la plusvalía, activos intangibles y activos tangibles puede verse afectado por el deterioro de las perspectivas económicas de varios sectores;</w:t>
      </w:r>
    </w:p>
    <w:p w:rsidR="00DB09D8" w:rsidRPr="00DB09D8" w:rsidRDefault="00DB09D8" w:rsidP="00DB09D8">
      <w:pPr>
        <w:numPr>
          <w:ilvl w:val="0"/>
          <w:numId w:val="1"/>
        </w:numPr>
        <w:jc w:val="both"/>
        <w:rPr>
          <w:rFonts w:ascii="Arial" w:hAnsi="Arial" w:cs="Arial"/>
        </w:rPr>
      </w:pPr>
      <w:r w:rsidRPr="00DB09D8">
        <w:rPr>
          <w:rFonts w:ascii="Arial" w:hAnsi="Arial" w:cs="Arial"/>
        </w:rPr>
        <w:t>la aplicación de la NIIF 9 </w:t>
      </w:r>
      <w:r w:rsidRPr="00DB09D8">
        <w:rPr>
          <w:rFonts w:ascii="Arial" w:hAnsi="Arial" w:cs="Arial"/>
          <w:i/>
          <w:iCs/>
        </w:rPr>
        <w:t>Instrumentos financieros</w:t>
      </w:r>
      <w:r w:rsidRPr="00DB09D8">
        <w:rPr>
          <w:rFonts w:ascii="Arial" w:hAnsi="Arial" w:cs="Arial"/>
        </w:rPr>
        <w:t> y la NIIF 7 </w:t>
      </w:r>
      <w:r w:rsidRPr="00DB09D8">
        <w:rPr>
          <w:rFonts w:ascii="Arial" w:hAnsi="Arial" w:cs="Arial"/>
          <w:i/>
          <w:iCs/>
        </w:rPr>
        <w:t>Instrumentos financieros: revelaciones,</w:t>
      </w:r>
      <w:r w:rsidRPr="00DB09D8">
        <w:rPr>
          <w:rFonts w:ascii="Arial" w:hAnsi="Arial" w:cs="Arial"/>
        </w:rPr>
        <w:t> incluidas las consideraciones generales relacionadas con los riesgos que surgen de los instrumentos financieros, centrándose en el riesgo de liquidez, y consideraciones específicas relacionadas con la aplicación de la NIIF 9 para las instituciones de crédito al medir las pérdidas crediticias esperadas;</w:t>
      </w:r>
    </w:p>
    <w:p w:rsidR="00DB09D8" w:rsidRPr="00DB09D8" w:rsidRDefault="00DB09D8" w:rsidP="00DB09D8">
      <w:pPr>
        <w:numPr>
          <w:ilvl w:val="0"/>
          <w:numId w:val="1"/>
        </w:numPr>
        <w:jc w:val="both"/>
        <w:rPr>
          <w:rFonts w:ascii="Arial" w:hAnsi="Arial" w:cs="Arial"/>
        </w:rPr>
      </w:pPr>
      <w:r w:rsidRPr="00DB09D8">
        <w:rPr>
          <w:rFonts w:ascii="Arial" w:hAnsi="Arial" w:cs="Arial"/>
        </w:rPr>
        <w:t>cuestiones específicas relacionadas con la aplicación de la NIIF 16 </w:t>
      </w:r>
      <w:r w:rsidRPr="00DB09D8">
        <w:rPr>
          <w:rFonts w:ascii="Arial" w:hAnsi="Arial" w:cs="Arial"/>
          <w:i/>
          <w:iCs/>
        </w:rPr>
        <w:t>Arrendamientos</w:t>
      </w:r>
      <w:r w:rsidRPr="00DB09D8">
        <w:rPr>
          <w:rFonts w:ascii="Arial" w:hAnsi="Arial" w:cs="Arial"/>
        </w:rPr>
        <w:t> , incluidas las revelaciones explícitas por parte de los arrendatarios que han aplicado la enmienda del IASB proporcionando alivio a los arrendatarios al contabilizar las concesiones de arrendamiento.</w:t>
      </w:r>
    </w:p>
    <w:p w:rsidR="00DB09D8" w:rsidRPr="00DB09D8" w:rsidRDefault="00DB09D8" w:rsidP="00DB09D8">
      <w:pPr>
        <w:jc w:val="both"/>
        <w:rPr>
          <w:rFonts w:ascii="Arial" w:hAnsi="Arial" w:cs="Arial"/>
        </w:rPr>
      </w:pPr>
      <w:r w:rsidRPr="00DB09D8">
        <w:rPr>
          <w:rFonts w:ascii="Arial" w:hAnsi="Arial" w:cs="Arial"/>
        </w:rPr>
        <w:t>Estas prioridades promueven la aplicación coherente de las NIIF y otros requisitos de información financiera y no financiera.</w:t>
      </w:r>
    </w:p>
    <w:p w:rsidR="00DB09D8" w:rsidRDefault="00DB09D8" w:rsidP="00DB09D8">
      <w:pPr>
        <w:jc w:val="both"/>
        <w:rPr>
          <w:rFonts w:ascii="Arial" w:hAnsi="Arial" w:cs="Arial"/>
          <w:b/>
          <w:bCs/>
        </w:rPr>
      </w:pPr>
    </w:p>
    <w:p w:rsidR="00DB09D8" w:rsidRPr="00DB09D8" w:rsidRDefault="00DB09D8" w:rsidP="00DB09D8">
      <w:pPr>
        <w:jc w:val="both"/>
        <w:rPr>
          <w:rFonts w:ascii="Arial" w:hAnsi="Arial" w:cs="Arial"/>
        </w:rPr>
      </w:pPr>
      <w:r w:rsidRPr="00DB09D8">
        <w:rPr>
          <w:rFonts w:ascii="Arial" w:hAnsi="Arial" w:cs="Arial"/>
          <w:b/>
          <w:bCs/>
        </w:rPr>
        <w:t xml:space="preserve">Steven </w:t>
      </w:r>
      <w:proofErr w:type="spellStart"/>
      <w:r w:rsidRPr="00DB09D8">
        <w:rPr>
          <w:rFonts w:ascii="Arial" w:hAnsi="Arial" w:cs="Arial"/>
          <w:b/>
          <w:bCs/>
        </w:rPr>
        <w:t>Maijoor</w:t>
      </w:r>
      <w:proofErr w:type="spellEnd"/>
      <w:r w:rsidRPr="00DB09D8">
        <w:rPr>
          <w:rFonts w:ascii="Arial" w:hAnsi="Arial" w:cs="Arial"/>
          <w:b/>
          <w:bCs/>
        </w:rPr>
        <w:t>, presidente, dijo:</w:t>
      </w:r>
    </w:p>
    <w:p w:rsidR="00DB09D8" w:rsidRPr="00DB09D8" w:rsidRDefault="00DB09D8" w:rsidP="00DB09D8">
      <w:pPr>
        <w:jc w:val="both"/>
        <w:rPr>
          <w:rFonts w:ascii="Arial" w:hAnsi="Arial" w:cs="Arial"/>
        </w:rPr>
      </w:pPr>
      <w:r w:rsidRPr="00DB09D8">
        <w:rPr>
          <w:rFonts w:ascii="Arial" w:hAnsi="Arial" w:cs="Arial"/>
        </w:rPr>
        <w:t>“La pandemia de COVID-19 ha demostrado el severo impacto que los eventos no financieros pueden tener en las empresas y la economía. Por tanto, la transparencia en los informes financieros anuales sobre las consecuencias derivadas del brote es fundamental para preservar la confianza del mercado.</w:t>
      </w:r>
    </w:p>
    <w:p w:rsidR="00DB09D8" w:rsidRDefault="00DB09D8" w:rsidP="00DB09D8">
      <w:pPr>
        <w:jc w:val="both"/>
        <w:rPr>
          <w:rFonts w:ascii="Arial" w:hAnsi="Arial" w:cs="Arial"/>
        </w:rPr>
      </w:pPr>
      <w:r w:rsidRPr="00DB09D8">
        <w:rPr>
          <w:rFonts w:ascii="Arial" w:hAnsi="Arial" w:cs="Arial"/>
        </w:rPr>
        <w:lastRenderedPageBreak/>
        <w:t>“Las prioridades de ejecución de este año reflejan la necesidad de divulgaciones oportunas sobre cómo el desempeño financiero, la posición y los flujos de efectivo de los emisores pueden verse afectados por la pandemia. También destacamos la importancia de la divulgación adecuada de información no financiera, en particular sobre la dimensión social, y destacamos la necesidad de mejorar la divulgación sobre los riesgos del cambio climático”.</w:t>
      </w:r>
    </w:p>
    <w:p w:rsidR="00DB09D8" w:rsidRDefault="00DB09D8" w:rsidP="00DB09D8">
      <w:pPr>
        <w:jc w:val="both"/>
        <w:rPr>
          <w:rFonts w:ascii="Arial" w:hAnsi="Arial" w:cs="Arial"/>
        </w:rPr>
      </w:pPr>
    </w:p>
    <w:p w:rsidR="00DB09D8" w:rsidRPr="00DB09D8" w:rsidRDefault="00DB09D8" w:rsidP="00DB09D8">
      <w:pPr>
        <w:jc w:val="both"/>
        <w:rPr>
          <w:rFonts w:ascii="Arial" w:hAnsi="Arial" w:cs="Arial"/>
        </w:rPr>
      </w:pPr>
      <w:r w:rsidRPr="00DB09D8">
        <w:rPr>
          <w:rFonts w:ascii="Arial" w:hAnsi="Arial" w:cs="Arial"/>
          <w:b/>
          <w:bCs/>
        </w:rPr>
        <w:t>Problemas clave de información no financiera y medidas de rendimiento alternativas (APM)</w:t>
      </w:r>
    </w:p>
    <w:p w:rsidR="00DB09D8" w:rsidRPr="00DB09D8" w:rsidRDefault="00DB09D8" w:rsidP="00DB09D8">
      <w:pPr>
        <w:jc w:val="both"/>
        <w:rPr>
          <w:rFonts w:ascii="Arial" w:hAnsi="Arial" w:cs="Arial"/>
        </w:rPr>
      </w:pPr>
      <w:r w:rsidRPr="00DB09D8">
        <w:rPr>
          <w:rFonts w:ascii="Arial" w:hAnsi="Arial" w:cs="Arial"/>
        </w:rPr>
        <w:t>Para otras partes de los informes financieros anuales, la declaración destaca los requisitos para revelar información no financiera con respecto a:</w:t>
      </w:r>
    </w:p>
    <w:p w:rsidR="00DB09D8" w:rsidRPr="00DB09D8" w:rsidRDefault="00DB09D8" w:rsidP="00DB09D8">
      <w:pPr>
        <w:numPr>
          <w:ilvl w:val="0"/>
          <w:numId w:val="2"/>
        </w:numPr>
        <w:jc w:val="both"/>
        <w:rPr>
          <w:rFonts w:ascii="Arial" w:hAnsi="Arial" w:cs="Arial"/>
        </w:rPr>
      </w:pPr>
      <w:r w:rsidRPr="00DB09D8">
        <w:rPr>
          <w:rFonts w:ascii="Arial" w:hAnsi="Arial" w:cs="Arial"/>
        </w:rPr>
        <w:t>impacto de la pandemia de COVID-19 en asuntos no financieros;</w:t>
      </w:r>
    </w:p>
    <w:p w:rsidR="00DB09D8" w:rsidRPr="00DB09D8" w:rsidRDefault="00DB09D8" w:rsidP="00DB09D8">
      <w:pPr>
        <w:numPr>
          <w:ilvl w:val="0"/>
          <w:numId w:val="2"/>
        </w:numPr>
        <w:jc w:val="both"/>
        <w:rPr>
          <w:rFonts w:ascii="Arial" w:hAnsi="Arial" w:cs="Arial"/>
        </w:rPr>
      </w:pPr>
      <w:r w:rsidRPr="00DB09D8">
        <w:rPr>
          <w:rFonts w:ascii="Arial" w:hAnsi="Arial" w:cs="Arial"/>
        </w:rPr>
        <w:t>asuntos sociales y de empleados, especialmente en relación con el uso extensivo de acuerdos de trabajo a distancia y el cumplimiento de las normas de salud y seguridad;</w:t>
      </w:r>
    </w:p>
    <w:p w:rsidR="00DB09D8" w:rsidRPr="00DB09D8" w:rsidRDefault="00DB09D8" w:rsidP="00DB09D8">
      <w:pPr>
        <w:numPr>
          <w:ilvl w:val="0"/>
          <w:numId w:val="2"/>
        </w:numPr>
        <w:jc w:val="both"/>
        <w:rPr>
          <w:rFonts w:ascii="Arial" w:hAnsi="Arial" w:cs="Arial"/>
        </w:rPr>
      </w:pPr>
      <w:r w:rsidRPr="00DB09D8">
        <w:rPr>
          <w:rFonts w:ascii="Arial" w:hAnsi="Arial" w:cs="Arial"/>
        </w:rPr>
        <w:t>modelo de negocio y creación de valor con énfasis en la necesidad de brindar información sobre el impacto de la pandemia en el modelo de negocio y la creación de valor;</w:t>
      </w:r>
    </w:p>
    <w:p w:rsidR="00DB09D8" w:rsidRPr="00DB09D8" w:rsidRDefault="00DB09D8" w:rsidP="00DB09D8">
      <w:pPr>
        <w:numPr>
          <w:ilvl w:val="0"/>
          <w:numId w:val="2"/>
        </w:numPr>
        <w:jc w:val="both"/>
        <w:rPr>
          <w:rFonts w:ascii="Arial" w:hAnsi="Arial" w:cs="Arial"/>
        </w:rPr>
      </w:pPr>
      <w:r w:rsidRPr="00DB09D8">
        <w:rPr>
          <w:rFonts w:ascii="Arial" w:hAnsi="Arial" w:cs="Arial"/>
        </w:rPr>
        <w:t>riesgos relacionados con el cambio climático, teniendo en cuenta los riesgos físicos y de transición;</w:t>
      </w:r>
    </w:p>
    <w:p w:rsidR="00DB09D8" w:rsidRPr="00DB09D8" w:rsidRDefault="00DB09D8" w:rsidP="00DB09D8">
      <w:pPr>
        <w:numPr>
          <w:ilvl w:val="0"/>
          <w:numId w:val="2"/>
        </w:numPr>
        <w:jc w:val="both"/>
        <w:rPr>
          <w:rFonts w:ascii="Arial" w:hAnsi="Arial" w:cs="Arial"/>
        </w:rPr>
      </w:pPr>
      <w:r w:rsidRPr="00DB09D8">
        <w:rPr>
          <w:rFonts w:ascii="Arial" w:hAnsi="Arial" w:cs="Arial"/>
        </w:rPr>
        <w:t>consideraciones sobre la aplicación de las Directrices de la ESMA sobre APM en relación con COVID-19.</w:t>
      </w:r>
    </w:p>
    <w:p w:rsidR="00DB09D8" w:rsidRDefault="00DB09D8" w:rsidP="00DB09D8">
      <w:pPr>
        <w:jc w:val="both"/>
        <w:rPr>
          <w:rFonts w:ascii="Arial" w:hAnsi="Arial" w:cs="Arial"/>
          <w:b/>
          <w:bCs/>
        </w:rPr>
      </w:pPr>
    </w:p>
    <w:p w:rsidR="00DB09D8" w:rsidRPr="00DB09D8" w:rsidRDefault="00DB09D8" w:rsidP="00DB09D8">
      <w:pPr>
        <w:jc w:val="both"/>
        <w:rPr>
          <w:rFonts w:ascii="Arial" w:hAnsi="Arial" w:cs="Arial"/>
        </w:rPr>
      </w:pPr>
      <w:r w:rsidRPr="00DB09D8">
        <w:rPr>
          <w:rFonts w:ascii="Arial" w:hAnsi="Arial" w:cs="Arial"/>
          <w:b/>
          <w:bCs/>
        </w:rPr>
        <w:t>Otros asuntos</w:t>
      </w:r>
    </w:p>
    <w:p w:rsidR="00DB09D8" w:rsidRDefault="00DB09D8" w:rsidP="00DB09D8">
      <w:pPr>
        <w:jc w:val="both"/>
        <w:rPr>
          <w:rFonts w:ascii="Arial" w:hAnsi="Arial" w:cs="Arial"/>
        </w:rPr>
      </w:pPr>
      <w:r w:rsidRPr="00DB09D8">
        <w:rPr>
          <w:rFonts w:ascii="Arial" w:hAnsi="Arial" w:cs="Arial"/>
        </w:rPr>
        <w:t>ESMA espera que los emisores consideren sus </w:t>
      </w:r>
      <w:hyperlink r:id="rId7" w:history="1">
        <w:r w:rsidRPr="00DB09D8">
          <w:rPr>
            <w:rStyle w:val="Hipervnculo"/>
            <w:rFonts w:ascii="Arial" w:hAnsi="Arial" w:cs="Arial"/>
          </w:rPr>
          <w:t>recomendaciones</w:t>
        </w:r>
      </w:hyperlink>
      <w:r w:rsidRPr="00DB09D8">
        <w:rPr>
          <w:rFonts w:ascii="Arial" w:hAnsi="Arial" w:cs="Arial"/>
        </w:rPr>
        <w:t> relacionadas con COVID-19 </w:t>
      </w:r>
      <w:hyperlink r:id="rId8" w:history="1">
        <w:r w:rsidRPr="00DB09D8">
          <w:rPr>
            <w:rStyle w:val="Hipervnculo"/>
            <w:rFonts w:ascii="Arial" w:hAnsi="Arial" w:cs="Arial"/>
          </w:rPr>
          <w:t>de marzo</w:t>
        </w:r>
      </w:hyperlink>
      <w:r w:rsidRPr="00DB09D8">
        <w:rPr>
          <w:rFonts w:ascii="Arial" w:hAnsi="Arial" w:cs="Arial"/>
        </w:rPr>
        <w:t> sobre las implicaciones para el cálculo de las pérdidas crediticias esperadas, y su </w:t>
      </w:r>
      <w:hyperlink r:id="rId9" w:history="1">
        <w:r w:rsidRPr="00DB09D8">
          <w:rPr>
            <w:rStyle w:val="Hipervnculo"/>
            <w:rFonts w:ascii="Arial" w:hAnsi="Arial" w:cs="Arial"/>
          </w:rPr>
          <w:t>Declaración de mayo</w:t>
        </w:r>
      </w:hyperlink>
      <w:r w:rsidRPr="00DB09D8">
        <w:rPr>
          <w:rFonts w:ascii="Arial" w:hAnsi="Arial" w:cs="Arial"/>
        </w:rPr>
        <w:t> sobre los informes financieros semestrales.</w:t>
      </w:r>
    </w:p>
    <w:p w:rsidR="00DB09D8" w:rsidRPr="00DB09D8" w:rsidRDefault="00DB09D8" w:rsidP="00DB09D8">
      <w:pPr>
        <w:jc w:val="both"/>
        <w:rPr>
          <w:rFonts w:ascii="Arial" w:hAnsi="Arial" w:cs="Arial"/>
        </w:rPr>
      </w:pPr>
      <w:r w:rsidRPr="00DB09D8">
        <w:rPr>
          <w:rFonts w:ascii="Arial" w:hAnsi="Arial" w:cs="Arial"/>
        </w:rPr>
        <w:t>La Declaración subraya la responsabilidad de los órganos de administración y supervisión de los emisores y la importancia del papel de supervisión de los comités de auditoría para garantizar la coherencia interna general y la alta calidad de los informes financieros anuales en el entorno actual.</w:t>
      </w:r>
    </w:p>
    <w:p w:rsidR="00DB09D8" w:rsidRPr="00DB09D8" w:rsidRDefault="00DB09D8" w:rsidP="00DB09D8">
      <w:pPr>
        <w:jc w:val="both"/>
        <w:rPr>
          <w:rFonts w:ascii="Arial" w:hAnsi="Arial" w:cs="Arial"/>
        </w:rPr>
      </w:pPr>
      <w:r w:rsidRPr="00DB09D8">
        <w:rPr>
          <w:rFonts w:ascii="Arial" w:hAnsi="Arial" w:cs="Arial"/>
        </w:rPr>
        <w:t xml:space="preserve">Por último, la AEVM destaca que es importante seguir de cerca las negociaciones del </w:t>
      </w:r>
      <w:proofErr w:type="spellStart"/>
      <w:r w:rsidRPr="00DB09D8">
        <w:rPr>
          <w:rFonts w:ascii="Arial" w:hAnsi="Arial" w:cs="Arial"/>
        </w:rPr>
        <w:t>Brexit</w:t>
      </w:r>
      <w:proofErr w:type="spellEnd"/>
      <w:r w:rsidRPr="00DB09D8">
        <w:rPr>
          <w:rFonts w:ascii="Arial" w:hAnsi="Arial" w:cs="Arial"/>
        </w:rPr>
        <w:t xml:space="preserve"> y proporcionar información sobre el impacto que esto tendrá en las actividades de los emisores y su información financiera y no financiera. </w:t>
      </w:r>
    </w:p>
    <w:p w:rsidR="00DB09D8" w:rsidRDefault="00DB09D8" w:rsidP="00DB09D8">
      <w:pPr>
        <w:jc w:val="both"/>
        <w:rPr>
          <w:rFonts w:ascii="Arial" w:hAnsi="Arial" w:cs="Arial"/>
          <w:b/>
          <w:bCs/>
        </w:rPr>
      </w:pPr>
    </w:p>
    <w:p w:rsidR="00DB09D8" w:rsidRPr="00DB09D8" w:rsidRDefault="00DB09D8" w:rsidP="00DB09D8">
      <w:pPr>
        <w:jc w:val="both"/>
        <w:rPr>
          <w:rFonts w:ascii="Arial" w:hAnsi="Arial" w:cs="Arial"/>
        </w:rPr>
      </w:pPr>
      <w:r w:rsidRPr="00DB09D8">
        <w:rPr>
          <w:rFonts w:ascii="Arial" w:hAnsi="Arial" w:cs="Arial"/>
          <w:b/>
          <w:bCs/>
        </w:rPr>
        <w:t>Próximos pasos</w:t>
      </w:r>
    </w:p>
    <w:p w:rsidR="00DB09D8" w:rsidRPr="00DB09D8" w:rsidRDefault="00DB09D8" w:rsidP="00DB09D8">
      <w:pPr>
        <w:jc w:val="both"/>
        <w:rPr>
          <w:rFonts w:ascii="Arial" w:hAnsi="Arial" w:cs="Arial"/>
        </w:rPr>
      </w:pPr>
      <w:r w:rsidRPr="00DB09D8">
        <w:rPr>
          <w:rFonts w:ascii="Arial" w:hAnsi="Arial" w:cs="Arial"/>
        </w:rPr>
        <w:t xml:space="preserve">La AEVM y las autoridades nacionales europeas vigilarán y supervisarán la aplicación de los requisitos de las NIIF, así como cualquier otra disposición relevante descrita en la </w:t>
      </w:r>
      <w:r w:rsidRPr="00DB09D8">
        <w:rPr>
          <w:rFonts w:ascii="Arial" w:hAnsi="Arial" w:cs="Arial"/>
        </w:rPr>
        <w:lastRenderedPageBreak/>
        <w:t>Declaración, y las autoridades nacionales las incorporarán en sus revisiones y tomarán acciones correctivas cuando corresponda. Al garantizar que los emisores sean transparentes sobre el impacto de COVID-19 en su negocio, la AEVM tiene como objetivo ayudar a los emisores, al mismo tiempo que promueve la protección de los inversores y contribuye a la estabilidad financiera.</w:t>
      </w:r>
    </w:p>
    <w:p w:rsidR="00DB09D8" w:rsidRPr="00DB09D8" w:rsidRDefault="00DB09D8" w:rsidP="00DB09D8">
      <w:pPr>
        <w:jc w:val="both"/>
        <w:rPr>
          <w:rFonts w:ascii="Arial" w:hAnsi="Arial" w:cs="Arial"/>
        </w:rPr>
      </w:pPr>
      <w:r w:rsidRPr="00DB09D8">
        <w:rPr>
          <w:rFonts w:ascii="Arial" w:hAnsi="Arial" w:cs="Arial"/>
        </w:rPr>
        <w:t>La AEVM recopilará datos sobre cómo las entidades incluidas en la lista europea han aplicado las prioridades y la AEVM informará sobre los hallazgos relacionados con estas prioridades en su Informe sobre las actividades de ejecución de 2021.</w:t>
      </w:r>
    </w:p>
    <w:p w:rsidR="00DB09D8" w:rsidRPr="00DB09D8" w:rsidRDefault="00DB09D8" w:rsidP="00DB09D8">
      <w:pPr>
        <w:jc w:val="both"/>
        <w:rPr>
          <w:rFonts w:ascii="Arial" w:hAnsi="Arial" w:cs="Arial"/>
        </w:rPr>
      </w:pPr>
    </w:p>
    <w:p w:rsidR="00DB09D8" w:rsidRPr="00DB09D8" w:rsidRDefault="00DB09D8" w:rsidP="00DB09D8">
      <w:pPr>
        <w:jc w:val="both"/>
        <w:rPr>
          <w:rFonts w:ascii="Arial" w:hAnsi="Arial" w:cs="Arial"/>
        </w:rPr>
      </w:pPr>
    </w:p>
    <w:p w:rsidR="00DB09D8" w:rsidRPr="00DB09D8" w:rsidRDefault="00DB09D8" w:rsidP="00DB09D8">
      <w:pPr>
        <w:jc w:val="both"/>
        <w:rPr>
          <w:rFonts w:ascii="Arial" w:hAnsi="Arial" w:cs="Arial"/>
        </w:rPr>
      </w:pPr>
    </w:p>
    <w:p w:rsidR="00DB09D8" w:rsidRPr="00DB09D8" w:rsidRDefault="00DB09D8" w:rsidP="00DB09D8">
      <w:pPr>
        <w:jc w:val="both"/>
        <w:rPr>
          <w:rFonts w:ascii="Arial" w:hAnsi="Arial" w:cs="Arial"/>
        </w:rPr>
      </w:pPr>
    </w:p>
    <w:sectPr w:rsidR="00DB09D8" w:rsidRPr="00DB0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71D6D"/>
    <w:multiLevelType w:val="multilevel"/>
    <w:tmpl w:val="4AA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24AC3"/>
    <w:multiLevelType w:val="multilevel"/>
    <w:tmpl w:val="BC22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D8"/>
    <w:rsid w:val="000F4B68"/>
    <w:rsid w:val="001739B4"/>
    <w:rsid w:val="003B63A5"/>
    <w:rsid w:val="00DB09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0F15C-1A50-49AD-98B0-B4363938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0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064">
      <w:bodyDiv w:val="1"/>
      <w:marLeft w:val="0"/>
      <w:marRight w:val="0"/>
      <w:marTop w:val="0"/>
      <w:marBottom w:val="0"/>
      <w:divBdr>
        <w:top w:val="none" w:sz="0" w:space="0" w:color="auto"/>
        <w:left w:val="none" w:sz="0" w:space="0" w:color="auto"/>
        <w:bottom w:val="none" w:sz="0" w:space="0" w:color="auto"/>
        <w:right w:val="none" w:sz="0" w:space="0" w:color="auto"/>
      </w:divBdr>
    </w:div>
    <w:div w:id="869490116">
      <w:bodyDiv w:val="1"/>
      <w:marLeft w:val="0"/>
      <w:marRight w:val="0"/>
      <w:marTop w:val="0"/>
      <w:marBottom w:val="0"/>
      <w:divBdr>
        <w:top w:val="none" w:sz="0" w:space="0" w:color="auto"/>
        <w:left w:val="none" w:sz="0" w:space="0" w:color="auto"/>
        <w:bottom w:val="none" w:sz="0" w:space="0" w:color="auto"/>
        <w:right w:val="none" w:sz="0" w:space="0" w:color="auto"/>
      </w:divBdr>
    </w:div>
    <w:div w:id="1022827070">
      <w:bodyDiv w:val="1"/>
      <w:marLeft w:val="0"/>
      <w:marRight w:val="0"/>
      <w:marTop w:val="0"/>
      <w:marBottom w:val="0"/>
      <w:divBdr>
        <w:top w:val="none" w:sz="0" w:space="0" w:color="auto"/>
        <w:left w:val="none" w:sz="0" w:space="0" w:color="auto"/>
        <w:bottom w:val="none" w:sz="0" w:space="0" w:color="auto"/>
        <w:right w:val="none" w:sz="0" w:space="0" w:color="auto"/>
      </w:divBdr>
      <w:divsChild>
        <w:div w:id="1591306789">
          <w:marLeft w:val="0"/>
          <w:marRight w:val="0"/>
          <w:marTop w:val="0"/>
          <w:marBottom w:val="0"/>
          <w:divBdr>
            <w:top w:val="none" w:sz="0" w:space="0" w:color="auto"/>
            <w:left w:val="none" w:sz="0" w:space="0" w:color="auto"/>
            <w:bottom w:val="none" w:sz="0" w:space="0" w:color="auto"/>
            <w:right w:val="none" w:sz="0" w:space="0" w:color="auto"/>
          </w:divBdr>
          <w:divsChild>
            <w:div w:id="323166846">
              <w:marLeft w:val="0"/>
              <w:marRight w:val="0"/>
              <w:marTop w:val="0"/>
              <w:marBottom w:val="0"/>
              <w:divBdr>
                <w:top w:val="none" w:sz="0" w:space="0" w:color="auto"/>
                <w:left w:val="none" w:sz="0" w:space="0" w:color="auto"/>
                <w:bottom w:val="none" w:sz="0" w:space="0" w:color="auto"/>
                <w:right w:val="none" w:sz="0" w:space="0" w:color="auto"/>
              </w:divBdr>
              <w:divsChild>
                <w:div w:id="1078482106">
                  <w:marLeft w:val="0"/>
                  <w:marRight w:val="0"/>
                  <w:marTop w:val="0"/>
                  <w:marBottom w:val="0"/>
                  <w:divBdr>
                    <w:top w:val="none" w:sz="0" w:space="0" w:color="auto"/>
                    <w:left w:val="none" w:sz="0" w:space="0" w:color="auto"/>
                    <w:bottom w:val="none" w:sz="0" w:space="0" w:color="auto"/>
                    <w:right w:val="none" w:sz="0" w:space="0" w:color="auto"/>
                  </w:divBdr>
                  <w:divsChild>
                    <w:div w:id="1909339722">
                      <w:marLeft w:val="0"/>
                      <w:marRight w:val="0"/>
                      <w:marTop w:val="0"/>
                      <w:marBottom w:val="0"/>
                      <w:divBdr>
                        <w:top w:val="none" w:sz="0" w:space="0" w:color="auto"/>
                        <w:left w:val="none" w:sz="0" w:space="0" w:color="auto"/>
                        <w:bottom w:val="none" w:sz="0" w:space="0" w:color="auto"/>
                        <w:right w:val="none" w:sz="0" w:space="0" w:color="auto"/>
                      </w:divBdr>
                      <w:divsChild>
                        <w:div w:id="913079644">
                          <w:marLeft w:val="0"/>
                          <w:marRight w:val="1224"/>
                          <w:marTop w:val="0"/>
                          <w:marBottom w:val="0"/>
                          <w:divBdr>
                            <w:top w:val="none" w:sz="0" w:space="0" w:color="auto"/>
                            <w:left w:val="none" w:sz="0" w:space="0" w:color="auto"/>
                            <w:bottom w:val="none" w:sz="0" w:space="0" w:color="auto"/>
                            <w:right w:val="none" w:sz="0" w:space="0" w:color="auto"/>
                          </w:divBdr>
                          <w:divsChild>
                            <w:div w:id="991177319">
                              <w:marLeft w:val="0"/>
                              <w:marRight w:val="0"/>
                              <w:marTop w:val="0"/>
                              <w:marBottom w:val="0"/>
                              <w:divBdr>
                                <w:top w:val="none" w:sz="0" w:space="0" w:color="auto"/>
                                <w:left w:val="none" w:sz="0" w:space="0" w:color="auto"/>
                                <w:bottom w:val="none" w:sz="0" w:space="0" w:color="auto"/>
                                <w:right w:val="none" w:sz="0" w:space="0" w:color="auto"/>
                              </w:divBdr>
                              <w:divsChild>
                                <w:div w:id="2084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074">
                          <w:marLeft w:val="0"/>
                          <w:marRight w:val="0"/>
                          <w:marTop w:val="0"/>
                          <w:marBottom w:val="0"/>
                          <w:divBdr>
                            <w:top w:val="none" w:sz="0" w:space="0" w:color="auto"/>
                            <w:left w:val="none" w:sz="0" w:space="0" w:color="auto"/>
                            <w:bottom w:val="none" w:sz="0" w:space="0" w:color="auto"/>
                            <w:right w:val="none" w:sz="0" w:space="0" w:color="auto"/>
                          </w:divBdr>
                          <w:divsChild>
                            <w:div w:id="1938899928">
                              <w:marLeft w:val="0"/>
                              <w:marRight w:val="0"/>
                              <w:marTop w:val="0"/>
                              <w:marBottom w:val="0"/>
                              <w:divBdr>
                                <w:top w:val="single" w:sz="6" w:space="0" w:color="D6D6D6"/>
                                <w:left w:val="single" w:sz="6" w:space="0" w:color="D6D6D6"/>
                                <w:bottom w:val="single" w:sz="6" w:space="0" w:color="D6D6D6"/>
                                <w:right w:val="single" w:sz="6" w:space="0" w:color="D6D6D6"/>
                              </w:divBdr>
                              <w:divsChild>
                                <w:div w:id="1986007831">
                                  <w:marLeft w:val="0"/>
                                  <w:marRight w:val="0"/>
                                  <w:marTop w:val="0"/>
                                  <w:marBottom w:val="0"/>
                                  <w:divBdr>
                                    <w:top w:val="none" w:sz="0" w:space="0" w:color="auto"/>
                                    <w:left w:val="none" w:sz="0" w:space="0" w:color="auto"/>
                                    <w:bottom w:val="none" w:sz="0" w:space="0" w:color="auto"/>
                                    <w:right w:val="none" w:sz="0" w:space="0" w:color="auto"/>
                                  </w:divBdr>
                                  <w:divsChild>
                                    <w:div w:id="476070823">
                                      <w:marLeft w:val="0"/>
                                      <w:marRight w:val="0"/>
                                      <w:marTop w:val="0"/>
                                      <w:marBottom w:val="0"/>
                                      <w:divBdr>
                                        <w:top w:val="none" w:sz="0" w:space="0" w:color="auto"/>
                                        <w:left w:val="none" w:sz="0" w:space="0" w:color="auto"/>
                                        <w:bottom w:val="none" w:sz="0" w:space="0" w:color="auto"/>
                                        <w:right w:val="none" w:sz="0" w:space="0" w:color="auto"/>
                                      </w:divBdr>
                                      <w:divsChild>
                                        <w:div w:id="1683164605">
                                          <w:marLeft w:val="0"/>
                                          <w:marRight w:val="0"/>
                                          <w:marTop w:val="0"/>
                                          <w:marBottom w:val="0"/>
                                          <w:divBdr>
                                            <w:top w:val="none" w:sz="0" w:space="0" w:color="auto"/>
                                            <w:left w:val="none" w:sz="0" w:space="0" w:color="auto"/>
                                            <w:bottom w:val="none" w:sz="0" w:space="0" w:color="auto"/>
                                            <w:right w:val="none" w:sz="0" w:space="0" w:color="auto"/>
                                          </w:divBdr>
                                          <w:divsChild>
                                            <w:div w:id="1430538238">
                                              <w:marLeft w:val="0"/>
                                              <w:marRight w:val="0"/>
                                              <w:marTop w:val="0"/>
                                              <w:marBottom w:val="0"/>
                                              <w:divBdr>
                                                <w:top w:val="none" w:sz="0" w:space="0" w:color="auto"/>
                                                <w:left w:val="none" w:sz="0" w:space="0" w:color="auto"/>
                                                <w:bottom w:val="none" w:sz="0" w:space="0" w:color="auto"/>
                                                <w:right w:val="none" w:sz="0" w:space="0" w:color="auto"/>
                                              </w:divBdr>
                                              <w:divsChild>
                                                <w:div w:id="1353798047">
                                                  <w:marLeft w:val="0"/>
                                                  <w:marRight w:val="0"/>
                                                  <w:marTop w:val="0"/>
                                                  <w:marBottom w:val="0"/>
                                                  <w:divBdr>
                                                    <w:top w:val="none" w:sz="0" w:space="0" w:color="auto"/>
                                                    <w:left w:val="none" w:sz="0" w:space="0" w:color="auto"/>
                                                    <w:bottom w:val="single" w:sz="6" w:space="0" w:color="EEEEF0"/>
                                                    <w:right w:val="none" w:sz="0" w:space="0" w:color="auto"/>
                                                  </w:divBdr>
                                                  <w:divsChild>
                                                    <w:div w:id="15779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2983">
                                              <w:marLeft w:val="0"/>
                                              <w:marRight w:val="0"/>
                                              <w:marTop w:val="0"/>
                                              <w:marBottom w:val="0"/>
                                              <w:divBdr>
                                                <w:top w:val="none" w:sz="0" w:space="0" w:color="auto"/>
                                                <w:left w:val="none" w:sz="0" w:space="0" w:color="auto"/>
                                                <w:bottom w:val="none" w:sz="0" w:space="0" w:color="auto"/>
                                                <w:right w:val="none" w:sz="0" w:space="0" w:color="auto"/>
                                              </w:divBdr>
                                              <w:divsChild>
                                                <w:div w:id="593897670">
                                                  <w:marLeft w:val="0"/>
                                                  <w:marRight w:val="0"/>
                                                  <w:marTop w:val="0"/>
                                                  <w:marBottom w:val="0"/>
                                                  <w:divBdr>
                                                    <w:top w:val="none" w:sz="0" w:space="0" w:color="auto"/>
                                                    <w:left w:val="none" w:sz="0" w:space="0" w:color="auto"/>
                                                    <w:bottom w:val="none" w:sz="0" w:space="0" w:color="auto"/>
                                                    <w:right w:val="none" w:sz="0" w:space="0" w:color="auto"/>
                                                  </w:divBdr>
                                                  <w:divsChild>
                                                    <w:div w:id="2004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14819">
                              <w:marLeft w:val="0"/>
                              <w:marRight w:val="0"/>
                              <w:marTop w:val="0"/>
                              <w:marBottom w:val="0"/>
                              <w:divBdr>
                                <w:top w:val="single" w:sz="6" w:space="0" w:color="D6D6D6"/>
                                <w:left w:val="single" w:sz="6" w:space="0" w:color="D6D6D6"/>
                                <w:bottom w:val="single" w:sz="6" w:space="0" w:color="D6D6D6"/>
                                <w:right w:val="single" w:sz="6" w:space="0" w:color="D6D6D6"/>
                              </w:divBdr>
                              <w:divsChild>
                                <w:div w:id="1313486540">
                                  <w:marLeft w:val="0"/>
                                  <w:marRight w:val="0"/>
                                  <w:marTop w:val="0"/>
                                  <w:marBottom w:val="0"/>
                                  <w:divBdr>
                                    <w:top w:val="none" w:sz="0" w:space="0" w:color="auto"/>
                                    <w:left w:val="none" w:sz="0" w:space="0" w:color="auto"/>
                                    <w:bottom w:val="none" w:sz="0" w:space="0" w:color="auto"/>
                                    <w:right w:val="none" w:sz="0" w:space="0" w:color="auto"/>
                                  </w:divBdr>
                                </w:div>
                                <w:div w:id="9451406">
                                  <w:marLeft w:val="0"/>
                                  <w:marRight w:val="0"/>
                                  <w:marTop w:val="0"/>
                                  <w:marBottom w:val="0"/>
                                  <w:divBdr>
                                    <w:top w:val="none" w:sz="0" w:space="0" w:color="auto"/>
                                    <w:left w:val="none" w:sz="0" w:space="0" w:color="auto"/>
                                    <w:bottom w:val="none" w:sz="0" w:space="0" w:color="auto"/>
                                    <w:right w:val="none" w:sz="0" w:space="0" w:color="auto"/>
                                  </w:divBdr>
                                  <w:divsChild>
                                    <w:div w:id="1704211746">
                                      <w:marLeft w:val="0"/>
                                      <w:marRight w:val="0"/>
                                      <w:marTop w:val="0"/>
                                      <w:marBottom w:val="0"/>
                                      <w:divBdr>
                                        <w:top w:val="none" w:sz="0" w:space="0" w:color="auto"/>
                                        <w:left w:val="none" w:sz="0" w:space="0" w:color="auto"/>
                                        <w:bottom w:val="single" w:sz="6" w:space="0" w:color="EEEEF0"/>
                                        <w:right w:val="none" w:sz="0" w:space="0" w:color="auto"/>
                                      </w:divBdr>
                                      <w:divsChild>
                                        <w:div w:id="1704407145">
                                          <w:marLeft w:val="0"/>
                                          <w:marRight w:val="0"/>
                                          <w:marTop w:val="0"/>
                                          <w:marBottom w:val="0"/>
                                          <w:divBdr>
                                            <w:top w:val="none" w:sz="0" w:space="0" w:color="auto"/>
                                            <w:left w:val="none" w:sz="0" w:space="0" w:color="auto"/>
                                            <w:bottom w:val="none" w:sz="0" w:space="0" w:color="auto"/>
                                            <w:right w:val="none" w:sz="0" w:space="0" w:color="auto"/>
                                          </w:divBdr>
                                        </w:div>
                                        <w:div w:id="1337801404">
                                          <w:marLeft w:val="0"/>
                                          <w:marRight w:val="0"/>
                                          <w:marTop w:val="0"/>
                                          <w:marBottom w:val="0"/>
                                          <w:divBdr>
                                            <w:top w:val="none" w:sz="0" w:space="0" w:color="auto"/>
                                            <w:left w:val="none" w:sz="0" w:space="0" w:color="auto"/>
                                            <w:bottom w:val="none" w:sz="0" w:space="0" w:color="auto"/>
                                            <w:right w:val="none" w:sz="0" w:space="0" w:color="auto"/>
                                          </w:divBdr>
                                        </w:div>
                                        <w:div w:id="1012031144">
                                          <w:marLeft w:val="0"/>
                                          <w:marRight w:val="0"/>
                                          <w:marTop w:val="0"/>
                                          <w:marBottom w:val="0"/>
                                          <w:divBdr>
                                            <w:top w:val="none" w:sz="0" w:space="0" w:color="auto"/>
                                            <w:left w:val="none" w:sz="0" w:space="0" w:color="auto"/>
                                            <w:bottom w:val="none" w:sz="0" w:space="0" w:color="auto"/>
                                            <w:right w:val="none" w:sz="0" w:space="0" w:color="auto"/>
                                          </w:divBdr>
                                          <w:divsChild>
                                            <w:div w:id="721639025">
                                              <w:marLeft w:val="0"/>
                                              <w:marRight w:val="0"/>
                                              <w:marTop w:val="0"/>
                                              <w:marBottom w:val="0"/>
                                              <w:divBdr>
                                                <w:top w:val="none" w:sz="0" w:space="0" w:color="auto"/>
                                                <w:left w:val="none" w:sz="0" w:space="0" w:color="auto"/>
                                                <w:bottom w:val="none" w:sz="0" w:space="0" w:color="auto"/>
                                                <w:right w:val="none" w:sz="0" w:space="0" w:color="auto"/>
                                              </w:divBdr>
                                              <w:divsChild>
                                                <w:div w:id="625431906">
                                                  <w:marLeft w:val="0"/>
                                                  <w:marRight w:val="0"/>
                                                  <w:marTop w:val="0"/>
                                                  <w:marBottom w:val="0"/>
                                                  <w:divBdr>
                                                    <w:top w:val="none" w:sz="0" w:space="0" w:color="auto"/>
                                                    <w:left w:val="none" w:sz="0" w:space="0" w:color="auto"/>
                                                    <w:bottom w:val="none" w:sz="0" w:space="0" w:color="auto"/>
                                                    <w:right w:val="none" w:sz="0" w:space="0" w:color="auto"/>
                                                  </w:divBdr>
                                                  <w:divsChild>
                                                    <w:div w:id="573664788">
                                                      <w:marLeft w:val="0"/>
                                                      <w:marRight w:val="0"/>
                                                      <w:marTop w:val="0"/>
                                                      <w:marBottom w:val="0"/>
                                                      <w:divBdr>
                                                        <w:top w:val="none" w:sz="0" w:space="0" w:color="auto"/>
                                                        <w:left w:val="none" w:sz="0" w:space="0" w:color="auto"/>
                                                        <w:bottom w:val="none" w:sz="0" w:space="0" w:color="auto"/>
                                                        <w:right w:val="none" w:sz="0" w:space="0" w:color="auto"/>
                                                      </w:divBdr>
                                                      <w:divsChild>
                                                        <w:div w:id="1621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67095">
                                      <w:marLeft w:val="0"/>
                                      <w:marRight w:val="0"/>
                                      <w:marTop w:val="0"/>
                                      <w:marBottom w:val="0"/>
                                      <w:divBdr>
                                        <w:top w:val="none" w:sz="0" w:space="0" w:color="auto"/>
                                        <w:left w:val="none" w:sz="0" w:space="0" w:color="auto"/>
                                        <w:bottom w:val="single" w:sz="6" w:space="0" w:color="EEEEF0"/>
                                        <w:right w:val="none" w:sz="0" w:space="0" w:color="auto"/>
                                      </w:divBdr>
                                      <w:divsChild>
                                        <w:div w:id="1831212006">
                                          <w:marLeft w:val="0"/>
                                          <w:marRight w:val="0"/>
                                          <w:marTop w:val="0"/>
                                          <w:marBottom w:val="0"/>
                                          <w:divBdr>
                                            <w:top w:val="none" w:sz="0" w:space="0" w:color="auto"/>
                                            <w:left w:val="none" w:sz="0" w:space="0" w:color="auto"/>
                                            <w:bottom w:val="none" w:sz="0" w:space="0" w:color="auto"/>
                                            <w:right w:val="none" w:sz="0" w:space="0" w:color="auto"/>
                                          </w:divBdr>
                                        </w:div>
                                        <w:div w:id="1936942118">
                                          <w:marLeft w:val="0"/>
                                          <w:marRight w:val="0"/>
                                          <w:marTop w:val="0"/>
                                          <w:marBottom w:val="0"/>
                                          <w:divBdr>
                                            <w:top w:val="none" w:sz="0" w:space="0" w:color="auto"/>
                                            <w:left w:val="none" w:sz="0" w:space="0" w:color="auto"/>
                                            <w:bottom w:val="none" w:sz="0" w:space="0" w:color="auto"/>
                                            <w:right w:val="none" w:sz="0" w:space="0" w:color="auto"/>
                                          </w:divBdr>
                                        </w:div>
                                        <w:div w:id="261111231">
                                          <w:marLeft w:val="0"/>
                                          <w:marRight w:val="0"/>
                                          <w:marTop w:val="0"/>
                                          <w:marBottom w:val="0"/>
                                          <w:divBdr>
                                            <w:top w:val="none" w:sz="0" w:space="0" w:color="auto"/>
                                            <w:left w:val="none" w:sz="0" w:space="0" w:color="auto"/>
                                            <w:bottom w:val="none" w:sz="0" w:space="0" w:color="auto"/>
                                            <w:right w:val="none" w:sz="0" w:space="0" w:color="auto"/>
                                          </w:divBdr>
                                          <w:divsChild>
                                            <w:div w:id="2027057814">
                                              <w:marLeft w:val="0"/>
                                              <w:marRight w:val="0"/>
                                              <w:marTop w:val="0"/>
                                              <w:marBottom w:val="0"/>
                                              <w:divBdr>
                                                <w:top w:val="none" w:sz="0" w:space="0" w:color="auto"/>
                                                <w:left w:val="none" w:sz="0" w:space="0" w:color="auto"/>
                                                <w:bottom w:val="none" w:sz="0" w:space="0" w:color="auto"/>
                                                <w:right w:val="none" w:sz="0" w:space="0" w:color="auto"/>
                                              </w:divBdr>
                                              <w:divsChild>
                                                <w:div w:id="266354345">
                                                  <w:marLeft w:val="0"/>
                                                  <w:marRight w:val="0"/>
                                                  <w:marTop w:val="0"/>
                                                  <w:marBottom w:val="0"/>
                                                  <w:divBdr>
                                                    <w:top w:val="none" w:sz="0" w:space="0" w:color="auto"/>
                                                    <w:left w:val="none" w:sz="0" w:space="0" w:color="auto"/>
                                                    <w:bottom w:val="none" w:sz="0" w:space="0" w:color="auto"/>
                                                    <w:right w:val="none" w:sz="0" w:space="0" w:color="auto"/>
                                                  </w:divBdr>
                                                  <w:divsChild>
                                                    <w:div w:id="673609056">
                                                      <w:marLeft w:val="0"/>
                                                      <w:marRight w:val="0"/>
                                                      <w:marTop w:val="0"/>
                                                      <w:marBottom w:val="0"/>
                                                      <w:divBdr>
                                                        <w:top w:val="none" w:sz="0" w:space="0" w:color="auto"/>
                                                        <w:left w:val="none" w:sz="0" w:space="0" w:color="auto"/>
                                                        <w:bottom w:val="none" w:sz="0" w:space="0" w:color="auto"/>
                                                        <w:right w:val="none" w:sz="0" w:space="0" w:color="auto"/>
                                                      </w:divBdr>
                                                      <w:divsChild>
                                                        <w:div w:id="7878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5337">
                                      <w:marLeft w:val="0"/>
                                      <w:marRight w:val="0"/>
                                      <w:marTop w:val="0"/>
                                      <w:marBottom w:val="0"/>
                                      <w:divBdr>
                                        <w:top w:val="none" w:sz="0" w:space="0" w:color="auto"/>
                                        <w:left w:val="none" w:sz="0" w:space="0" w:color="auto"/>
                                        <w:bottom w:val="single" w:sz="6" w:space="0" w:color="EEEEF0"/>
                                        <w:right w:val="none" w:sz="0" w:space="0" w:color="auto"/>
                                      </w:divBdr>
                                      <w:divsChild>
                                        <w:div w:id="1534151421">
                                          <w:marLeft w:val="0"/>
                                          <w:marRight w:val="0"/>
                                          <w:marTop w:val="0"/>
                                          <w:marBottom w:val="0"/>
                                          <w:divBdr>
                                            <w:top w:val="none" w:sz="0" w:space="0" w:color="auto"/>
                                            <w:left w:val="none" w:sz="0" w:space="0" w:color="auto"/>
                                            <w:bottom w:val="none" w:sz="0" w:space="0" w:color="auto"/>
                                            <w:right w:val="none" w:sz="0" w:space="0" w:color="auto"/>
                                          </w:divBdr>
                                        </w:div>
                                        <w:div w:id="1483887074">
                                          <w:marLeft w:val="0"/>
                                          <w:marRight w:val="0"/>
                                          <w:marTop w:val="0"/>
                                          <w:marBottom w:val="0"/>
                                          <w:divBdr>
                                            <w:top w:val="none" w:sz="0" w:space="0" w:color="auto"/>
                                            <w:left w:val="none" w:sz="0" w:space="0" w:color="auto"/>
                                            <w:bottom w:val="none" w:sz="0" w:space="0" w:color="auto"/>
                                            <w:right w:val="none" w:sz="0" w:space="0" w:color="auto"/>
                                          </w:divBdr>
                                        </w:div>
                                        <w:div w:id="1950503391">
                                          <w:marLeft w:val="0"/>
                                          <w:marRight w:val="0"/>
                                          <w:marTop w:val="0"/>
                                          <w:marBottom w:val="0"/>
                                          <w:divBdr>
                                            <w:top w:val="none" w:sz="0" w:space="0" w:color="auto"/>
                                            <w:left w:val="none" w:sz="0" w:space="0" w:color="auto"/>
                                            <w:bottom w:val="none" w:sz="0" w:space="0" w:color="auto"/>
                                            <w:right w:val="none" w:sz="0" w:space="0" w:color="auto"/>
                                          </w:divBdr>
                                          <w:divsChild>
                                            <w:div w:id="2128743051">
                                              <w:marLeft w:val="0"/>
                                              <w:marRight w:val="0"/>
                                              <w:marTop w:val="0"/>
                                              <w:marBottom w:val="0"/>
                                              <w:divBdr>
                                                <w:top w:val="none" w:sz="0" w:space="0" w:color="auto"/>
                                                <w:left w:val="none" w:sz="0" w:space="0" w:color="auto"/>
                                                <w:bottom w:val="none" w:sz="0" w:space="0" w:color="auto"/>
                                                <w:right w:val="none" w:sz="0" w:space="0" w:color="auto"/>
                                              </w:divBdr>
                                              <w:divsChild>
                                                <w:div w:id="1367950394">
                                                  <w:marLeft w:val="0"/>
                                                  <w:marRight w:val="0"/>
                                                  <w:marTop w:val="0"/>
                                                  <w:marBottom w:val="0"/>
                                                  <w:divBdr>
                                                    <w:top w:val="none" w:sz="0" w:space="0" w:color="auto"/>
                                                    <w:left w:val="none" w:sz="0" w:space="0" w:color="auto"/>
                                                    <w:bottom w:val="none" w:sz="0" w:space="0" w:color="auto"/>
                                                    <w:right w:val="none" w:sz="0" w:space="0" w:color="auto"/>
                                                  </w:divBdr>
                                                  <w:divsChild>
                                                    <w:div w:id="1182163009">
                                                      <w:marLeft w:val="0"/>
                                                      <w:marRight w:val="0"/>
                                                      <w:marTop w:val="0"/>
                                                      <w:marBottom w:val="0"/>
                                                      <w:divBdr>
                                                        <w:top w:val="none" w:sz="0" w:space="0" w:color="auto"/>
                                                        <w:left w:val="none" w:sz="0" w:space="0" w:color="auto"/>
                                                        <w:bottom w:val="none" w:sz="0" w:space="0" w:color="auto"/>
                                                        <w:right w:val="none" w:sz="0" w:space="0" w:color="auto"/>
                                                      </w:divBdr>
                                                      <w:divsChild>
                                                        <w:div w:id="1503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3764">
                                      <w:marLeft w:val="0"/>
                                      <w:marRight w:val="0"/>
                                      <w:marTop w:val="0"/>
                                      <w:marBottom w:val="0"/>
                                      <w:divBdr>
                                        <w:top w:val="none" w:sz="0" w:space="0" w:color="auto"/>
                                        <w:left w:val="none" w:sz="0" w:space="0" w:color="auto"/>
                                        <w:bottom w:val="single" w:sz="6" w:space="0" w:color="EEEEF0"/>
                                        <w:right w:val="none" w:sz="0" w:space="0" w:color="auto"/>
                                      </w:divBdr>
                                      <w:divsChild>
                                        <w:div w:id="2053112331">
                                          <w:marLeft w:val="0"/>
                                          <w:marRight w:val="0"/>
                                          <w:marTop w:val="0"/>
                                          <w:marBottom w:val="0"/>
                                          <w:divBdr>
                                            <w:top w:val="none" w:sz="0" w:space="0" w:color="auto"/>
                                            <w:left w:val="none" w:sz="0" w:space="0" w:color="auto"/>
                                            <w:bottom w:val="none" w:sz="0" w:space="0" w:color="auto"/>
                                            <w:right w:val="none" w:sz="0" w:space="0" w:color="auto"/>
                                          </w:divBdr>
                                        </w:div>
                                        <w:div w:id="1817408143">
                                          <w:marLeft w:val="0"/>
                                          <w:marRight w:val="0"/>
                                          <w:marTop w:val="0"/>
                                          <w:marBottom w:val="0"/>
                                          <w:divBdr>
                                            <w:top w:val="none" w:sz="0" w:space="0" w:color="auto"/>
                                            <w:left w:val="none" w:sz="0" w:space="0" w:color="auto"/>
                                            <w:bottom w:val="none" w:sz="0" w:space="0" w:color="auto"/>
                                            <w:right w:val="none" w:sz="0" w:space="0" w:color="auto"/>
                                          </w:divBdr>
                                        </w:div>
                                        <w:div w:id="1384984302">
                                          <w:marLeft w:val="0"/>
                                          <w:marRight w:val="0"/>
                                          <w:marTop w:val="0"/>
                                          <w:marBottom w:val="0"/>
                                          <w:divBdr>
                                            <w:top w:val="none" w:sz="0" w:space="0" w:color="auto"/>
                                            <w:left w:val="none" w:sz="0" w:space="0" w:color="auto"/>
                                            <w:bottom w:val="none" w:sz="0" w:space="0" w:color="auto"/>
                                            <w:right w:val="none" w:sz="0" w:space="0" w:color="auto"/>
                                          </w:divBdr>
                                          <w:divsChild>
                                            <w:div w:id="263391295">
                                              <w:marLeft w:val="0"/>
                                              <w:marRight w:val="0"/>
                                              <w:marTop w:val="0"/>
                                              <w:marBottom w:val="0"/>
                                              <w:divBdr>
                                                <w:top w:val="none" w:sz="0" w:space="0" w:color="auto"/>
                                                <w:left w:val="none" w:sz="0" w:space="0" w:color="auto"/>
                                                <w:bottom w:val="none" w:sz="0" w:space="0" w:color="auto"/>
                                                <w:right w:val="none" w:sz="0" w:space="0" w:color="auto"/>
                                              </w:divBdr>
                                              <w:divsChild>
                                                <w:div w:id="867179209">
                                                  <w:marLeft w:val="0"/>
                                                  <w:marRight w:val="0"/>
                                                  <w:marTop w:val="0"/>
                                                  <w:marBottom w:val="0"/>
                                                  <w:divBdr>
                                                    <w:top w:val="none" w:sz="0" w:space="0" w:color="auto"/>
                                                    <w:left w:val="none" w:sz="0" w:space="0" w:color="auto"/>
                                                    <w:bottom w:val="none" w:sz="0" w:space="0" w:color="auto"/>
                                                    <w:right w:val="none" w:sz="0" w:space="0" w:color="auto"/>
                                                  </w:divBdr>
                                                  <w:divsChild>
                                                    <w:div w:id="868492772">
                                                      <w:marLeft w:val="0"/>
                                                      <w:marRight w:val="0"/>
                                                      <w:marTop w:val="0"/>
                                                      <w:marBottom w:val="0"/>
                                                      <w:divBdr>
                                                        <w:top w:val="none" w:sz="0" w:space="0" w:color="auto"/>
                                                        <w:left w:val="none" w:sz="0" w:space="0" w:color="auto"/>
                                                        <w:bottom w:val="none" w:sz="0" w:space="0" w:color="auto"/>
                                                        <w:right w:val="none" w:sz="0" w:space="0" w:color="auto"/>
                                                      </w:divBdr>
                                                      <w:divsChild>
                                                        <w:div w:id="641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2062">
                                      <w:marLeft w:val="0"/>
                                      <w:marRight w:val="0"/>
                                      <w:marTop w:val="0"/>
                                      <w:marBottom w:val="0"/>
                                      <w:divBdr>
                                        <w:top w:val="none" w:sz="0" w:space="0" w:color="auto"/>
                                        <w:left w:val="none" w:sz="0" w:space="0" w:color="auto"/>
                                        <w:bottom w:val="single" w:sz="6" w:space="0" w:color="EEEEF0"/>
                                        <w:right w:val="none" w:sz="0" w:space="0" w:color="auto"/>
                                      </w:divBdr>
                                      <w:divsChild>
                                        <w:div w:id="176115045">
                                          <w:marLeft w:val="0"/>
                                          <w:marRight w:val="0"/>
                                          <w:marTop w:val="0"/>
                                          <w:marBottom w:val="0"/>
                                          <w:divBdr>
                                            <w:top w:val="none" w:sz="0" w:space="0" w:color="auto"/>
                                            <w:left w:val="none" w:sz="0" w:space="0" w:color="auto"/>
                                            <w:bottom w:val="none" w:sz="0" w:space="0" w:color="auto"/>
                                            <w:right w:val="none" w:sz="0" w:space="0" w:color="auto"/>
                                          </w:divBdr>
                                        </w:div>
                                        <w:div w:id="9372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362222">
      <w:bodyDiv w:val="1"/>
      <w:marLeft w:val="0"/>
      <w:marRight w:val="0"/>
      <w:marTop w:val="0"/>
      <w:marBottom w:val="0"/>
      <w:divBdr>
        <w:top w:val="none" w:sz="0" w:space="0" w:color="auto"/>
        <w:left w:val="none" w:sz="0" w:space="0" w:color="auto"/>
        <w:bottom w:val="none" w:sz="0" w:space="0" w:color="auto"/>
        <w:right w:val="none" w:sz="0" w:space="0" w:color="auto"/>
      </w:divBdr>
      <w:divsChild>
        <w:div w:id="1119110944">
          <w:marLeft w:val="0"/>
          <w:marRight w:val="0"/>
          <w:marTop w:val="0"/>
          <w:marBottom w:val="0"/>
          <w:divBdr>
            <w:top w:val="none" w:sz="0" w:space="0" w:color="auto"/>
            <w:left w:val="none" w:sz="0" w:space="0" w:color="auto"/>
            <w:bottom w:val="none" w:sz="0" w:space="0" w:color="auto"/>
            <w:right w:val="none" w:sz="0" w:space="0" w:color="auto"/>
          </w:divBdr>
          <w:divsChild>
            <w:div w:id="1564483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8489918">
      <w:bodyDiv w:val="1"/>
      <w:marLeft w:val="0"/>
      <w:marRight w:val="0"/>
      <w:marTop w:val="0"/>
      <w:marBottom w:val="0"/>
      <w:divBdr>
        <w:top w:val="none" w:sz="0" w:space="0" w:color="auto"/>
        <w:left w:val="none" w:sz="0" w:space="0" w:color="auto"/>
        <w:bottom w:val="none" w:sz="0" w:space="0" w:color="auto"/>
        <w:right w:val="none" w:sz="0" w:space="0" w:color="auto"/>
      </w:divBdr>
    </w:div>
    <w:div w:id="1641618782">
      <w:bodyDiv w:val="1"/>
      <w:marLeft w:val="0"/>
      <w:marRight w:val="0"/>
      <w:marTop w:val="0"/>
      <w:marBottom w:val="0"/>
      <w:divBdr>
        <w:top w:val="none" w:sz="0" w:space="0" w:color="auto"/>
        <w:left w:val="none" w:sz="0" w:space="0" w:color="auto"/>
        <w:bottom w:val="none" w:sz="0" w:space="0" w:color="auto"/>
        <w:right w:val="none" w:sz="0" w:space="0" w:color="auto"/>
      </w:divBdr>
    </w:div>
    <w:div w:id="19994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sites/default/files/library/esma32-63-951_statement_on_ifrs_9_implications_of_covid-19_related_support_measures.pdf" TargetMode="External"/><Relationship Id="rId3" Type="http://schemas.openxmlformats.org/officeDocument/2006/relationships/settings" Target="settings.xml"/><Relationship Id="rId7" Type="http://schemas.openxmlformats.org/officeDocument/2006/relationships/hyperlink" Target="https://www.esma.europa.eu/sites/default/files/library/esma32-63-951_statement_on_ifrs_9_implications_of_covid-19_related_support_meas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ma.europa.eu/sites/default/files/library/esma32-63-1041_public_statement_on_the_european_common_enforcement_priorities_2020.pdf" TargetMode="External"/><Relationship Id="rId11" Type="http://schemas.openxmlformats.org/officeDocument/2006/relationships/theme" Target="theme/theme1.xml"/><Relationship Id="rId5" Type="http://schemas.openxmlformats.org/officeDocument/2006/relationships/hyperlink" Target="https://www.esma.europa.eu/sites/default/files/library/esma32-63-1041_public_statement_on_the_european_common_enforcement_priorities_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ma.europa.eu/sites/default/files/library/esma32-63-972_public_statement_on_half-yearly_financial_reports_in_relation_to_covid-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2021-08-19T16:42:00Z</dcterms:created>
  <dcterms:modified xsi:type="dcterms:W3CDTF">2021-08-19T16:47:00Z</dcterms:modified>
</cp:coreProperties>
</file>