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22" w:rsidRPr="00C81422" w:rsidRDefault="00C81422" w:rsidP="00C81422">
      <w:pPr>
        <w:jc w:val="both"/>
        <w:rPr>
          <w:rFonts w:ascii="Arial" w:hAnsi="Arial" w:cs="Arial"/>
          <w:b/>
        </w:rPr>
      </w:pPr>
      <w:r w:rsidRPr="00C81422">
        <w:rPr>
          <w:rFonts w:ascii="Arial" w:hAnsi="Arial" w:cs="Arial"/>
          <w:b/>
        </w:rPr>
        <w:t>ESMA CONSULTA SOBRE ENMIENDAS A LAS DIRECTRICES MAR SOBRE DIVULGACIÓN RETRASADA DE INFORMACIÓN PRIVILEGIADA</w:t>
      </w:r>
    </w:p>
    <w:p w:rsidR="00C81422" w:rsidRDefault="00C81422" w:rsidP="00C81422">
      <w:pPr>
        <w:jc w:val="both"/>
        <w:rPr>
          <w:rFonts w:ascii="Arial" w:hAnsi="Arial" w:cs="Arial"/>
        </w:rPr>
      </w:pPr>
    </w:p>
    <w:p w:rsidR="00C81422" w:rsidRPr="00C81422" w:rsidRDefault="00C81422" w:rsidP="00C81422">
      <w:pPr>
        <w:jc w:val="both"/>
        <w:rPr>
          <w:rFonts w:ascii="Arial" w:hAnsi="Arial" w:cs="Arial"/>
        </w:rPr>
      </w:pPr>
      <w:r w:rsidRPr="00C81422">
        <w:rPr>
          <w:rFonts w:ascii="Arial" w:hAnsi="Arial" w:cs="Arial"/>
        </w:rPr>
        <w:t>15 de julio de 2021</w:t>
      </w:r>
      <w:bookmarkStart w:id="0" w:name="_GoBack"/>
      <w:bookmarkEnd w:id="0"/>
    </w:p>
    <w:p w:rsidR="00C81422" w:rsidRDefault="00C81422" w:rsidP="00C81422">
      <w:pPr>
        <w:jc w:val="both"/>
        <w:rPr>
          <w:rFonts w:ascii="Arial" w:hAnsi="Arial" w:cs="Arial"/>
        </w:rPr>
      </w:pPr>
    </w:p>
    <w:p w:rsidR="00C81422" w:rsidRDefault="00C81422" w:rsidP="00C81422">
      <w:pPr>
        <w:jc w:val="both"/>
        <w:rPr>
          <w:rFonts w:ascii="Arial" w:hAnsi="Arial" w:cs="Arial"/>
        </w:rPr>
      </w:pPr>
      <w:r w:rsidRPr="00C81422">
        <w:rPr>
          <w:rFonts w:ascii="Arial" w:hAnsi="Arial" w:cs="Arial"/>
        </w:rPr>
        <w:t>La Autoridad Europea de Valores y Mercados (AEVM), el regulador de los mercados de valores de la UE, ha publicado hoy un </w:t>
      </w:r>
      <w:hyperlink r:id="rId5" w:history="1">
        <w:r w:rsidRPr="00C81422">
          <w:rPr>
            <w:rStyle w:val="Hipervnculo"/>
            <w:rFonts w:ascii="Arial" w:hAnsi="Arial" w:cs="Arial"/>
          </w:rPr>
          <w:t>documento de consulta</w:t>
        </w:r>
      </w:hyperlink>
      <w:r w:rsidRPr="00C81422">
        <w:rPr>
          <w:rFonts w:ascii="Arial" w:hAnsi="Arial" w:cs="Arial"/>
        </w:rPr>
        <w:t xml:space="preserve"> sobre la revisión de sus Directrices sobre la divulgación retrasada de información privilegiada en virtud del Reglamento de abuso de mercado (MAR) en relación con su interacción </w:t>
      </w:r>
      <w:r>
        <w:rPr>
          <w:rFonts w:ascii="Arial" w:hAnsi="Arial" w:cs="Arial"/>
        </w:rPr>
        <w:t xml:space="preserve">con la supervisión prudencial. </w:t>
      </w:r>
    </w:p>
    <w:p w:rsidR="00C81422" w:rsidRPr="00C81422" w:rsidRDefault="00C81422" w:rsidP="00C81422">
      <w:pPr>
        <w:jc w:val="both"/>
        <w:rPr>
          <w:rFonts w:ascii="Arial" w:hAnsi="Arial" w:cs="Arial"/>
        </w:rPr>
      </w:pPr>
      <w:r w:rsidRPr="00C81422">
        <w:rPr>
          <w:rFonts w:ascii="Arial" w:hAnsi="Arial" w:cs="Arial"/>
        </w:rPr>
        <w:t>Los emisores, bajo MAR, pueden retrasar la divulgación de información privilegiada cuando la divulgación inmediata pueda perjudicar el interés legítimo de un emisor, la demora en la divulgación no induzca a error al público y la confidencialidad está garantizada.</w:t>
      </w:r>
    </w:p>
    <w:p w:rsidR="00C81422" w:rsidRPr="00C81422" w:rsidRDefault="00C81422" w:rsidP="00C81422">
      <w:pPr>
        <w:jc w:val="both"/>
        <w:rPr>
          <w:rFonts w:ascii="Arial" w:hAnsi="Arial" w:cs="Arial"/>
        </w:rPr>
      </w:pPr>
      <w:r w:rsidRPr="00C81422">
        <w:rPr>
          <w:rFonts w:ascii="Arial" w:hAnsi="Arial" w:cs="Arial"/>
        </w:rPr>
        <w:t>Las </w:t>
      </w:r>
      <w:hyperlink r:id="rId6" w:history="1">
        <w:r w:rsidRPr="00C81422">
          <w:rPr>
            <w:rStyle w:val="Hipervnculo"/>
            <w:rFonts w:ascii="Arial" w:hAnsi="Arial" w:cs="Arial"/>
          </w:rPr>
          <w:t>Directrices ESMA MAR</w:t>
        </w:r>
      </w:hyperlink>
      <w:r w:rsidRPr="00C81422">
        <w:rPr>
          <w:rFonts w:ascii="Arial" w:hAnsi="Arial" w:cs="Arial"/>
        </w:rPr>
        <w:t> incluyen una lista de intereses legítimos de los emisores que pueden verse perjudicados por la divulgación inmediata de información privilegiada. El propósito de esta consulta es construir y ampliar estas Directrices, en el contexto de la interacción entre las obligaciones de transparencia del MAR con respecto a la información privilegiada y el marco de supervisión prudencial.</w:t>
      </w:r>
    </w:p>
    <w:p w:rsidR="00C81422" w:rsidRPr="00C81422" w:rsidRDefault="00C81422" w:rsidP="00C81422">
      <w:pPr>
        <w:jc w:val="both"/>
        <w:rPr>
          <w:rFonts w:ascii="Arial" w:hAnsi="Arial" w:cs="Arial"/>
        </w:rPr>
      </w:pPr>
      <w:r w:rsidRPr="00C81422">
        <w:rPr>
          <w:rFonts w:ascii="Arial" w:hAnsi="Arial" w:cs="Arial"/>
        </w:rPr>
        <w:t>El Documento de Consulta propone enmendar las Directrices actuales de MAR de la siguiente manera:</w:t>
      </w:r>
    </w:p>
    <w:p w:rsidR="00C81422" w:rsidRPr="00C81422" w:rsidRDefault="00C81422" w:rsidP="00C814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81422">
        <w:rPr>
          <w:rFonts w:ascii="Arial" w:hAnsi="Arial" w:cs="Arial"/>
        </w:rPr>
        <w:t>aclarando que en caso de reembolsos, reducciones y recompras de fondos propios, a la espera de la autorización del supervisor prudencial, la entidad tiene un interés legítimo en retrasar la divulgación de información privilegiada hasta que se conceda la autorización;</w:t>
      </w:r>
    </w:p>
    <w:p w:rsidR="00C81422" w:rsidRPr="00C81422" w:rsidRDefault="00C81422" w:rsidP="00C814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81422">
        <w:rPr>
          <w:rFonts w:ascii="Arial" w:hAnsi="Arial" w:cs="Arial"/>
        </w:rPr>
        <w:t>aclarando que en el caso de proyectos de decisiones del PRES e información preliminar relacionada, la institución tiene un interés legítimo en retrasar la divulgación de información privilegiada hasta que dicha información sea definitiva; y</w:t>
      </w:r>
    </w:p>
    <w:p w:rsidR="00C81422" w:rsidRDefault="00C81422" w:rsidP="00C8142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81422">
        <w:rPr>
          <w:rFonts w:ascii="Arial" w:hAnsi="Arial" w:cs="Arial"/>
        </w:rPr>
        <w:t>agregar una sección separada que aclare que los requisitos de capital del pilar 2 y la guía de capital del pilar 2 contenidas en el proceso de revisión y evaluación supervisora ​​en el marco del paquete de directiva y regulación de requisitos de capital probablemente cumplan con la definición de información privilegiada en virtud del MAR y, por lo tanto, deberían ser divulgadas lo antes posible, una vez final.</w:t>
      </w:r>
    </w:p>
    <w:p w:rsidR="00C81422" w:rsidRDefault="00C81422" w:rsidP="00C81422">
      <w:pPr>
        <w:jc w:val="both"/>
        <w:rPr>
          <w:rFonts w:ascii="Arial" w:hAnsi="Arial" w:cs="Arial"/>
        </w:rPr>
      </w:pPr>
    </w:p>
    <w:p w:rsidR="00C81422" w:rsidRPr="00C81422" w:rsidRDefault="00C81422" w:rsidP="00C81422">
      <w:pPr>
        <w:jc w:val="both"/>
        <w:rPr>
          <w:rFonts w:ascii="Arial" w:hAnsi="Arial" w:cs="Arial"/>
        </w:rPr>
      </w:pPr>
      <w:r w:rsidRPr="00C81422">
        <w:rPr>
          <w:rFonts w:ascii="Arial" w:hAnsi="Arial" w:cs="Arial"/>
          <w:b/>
          <w:bCs/>
        </w:rPr>
        <w:t>Próximos pasos</w:t>
      </w:r>
    </w:p>
    <w:p w:rsidR="00C81422" w:rsidRPr="00C81422" w:rsidRDefault="00C81422" w:rsidP="00C81422">
      <w:pPr>
        <w:jc w:val="both"/>
        <w:rPr>
          <w:rFonts w:ascii="Arial" w:hAnsi="Arial" w:cs="Arial"/>
        </w:rPr>
      </w:pPr>
      <w:r w:rsidRPr="00C81422">
        <w:rPr>
          <w:rFonts w:ascii="Arial" w:hAnsi="Arial" w:cs="Arial"/>
        </w:rPr>
        <w:t>La AEVM invita a todas las partes interesadas del sector bancario, así como a otros participantes del mercado, incluidas las asociaciones comerciales y los organismos de la industria, inversores institucionales y minoristas, consultores y académicos, a enviarnos sus comentarios antes del 27 de agosto de 2021. La AEVM considerará las respuestas y espera publicar un informe final que incluye sus Directrices MAR enmendadas para fines de 2021.</w:t>
      </w:r>
    </w:p>
    <w:p w:rsidR="00C81422" w:rsidRPr="00C81422" w:rsidRDefault="00C81422" w:rsidP="00C81422">
      <w:pPr>
        <w:jc w:val="both"/>
        <w:rPr>
          <w:rFonts w:ascii="Arial" w:hAnsi="Arial" w:cs="Arial"/>
        </w:rPr>
      </w:pPr>
      <w:r w:rsidRPr="00C81422">
        <w:rPr>
          <w:rFonts w:ascii="Arial" w:hAnsi="Arial" w:cs="Arial"/>
        </w:rPr>
        <w:lastRenderedPageBreak/>
        <w:t> </w:t>
      </w:r>
    </w:p>
    <w:p w:rsidR="00C81422" w:rsidRPr="00C81422" w:rsidRDefault="00C81422" w:rsidP="00C81422">
      <w:pPr>
        <w:jc w:val="both"/>
        <w:rPr>
          <w:rFonts w:ascii="Arial" w:hAnsi="Arial" w:cs="Arial"/>
        </w:rPr>
      </w:pPr>
      <w:r w:rsidRPr="00C81422">
        <w:rPr>
          <w:rFonts w:ascii="Arial" w:hAnsi="Arial" w:cs="Arial"/>
        </w:rPr>
        <w:t>Más información:</w:t>
      </w:r>
    </w:p>
    <w:p w:rsidR="00C81422" w:rsidRPr="00C81422" w:rsidRDefault="00C81422" w:rsidP="00C81422">
      <w:pPr>
        <w:jc w:val="both"/>
        <w:rPr>
          <w:rFonts w:ascii="Arial" w:hAnsi="Arial" w:cs="Arial"/>
        </w:rPr>
      </w:pPr>
      <w:r w:rsidRPr="00C81422">
        <w:rPr>
          <w:rFonts w:ascii="Arial" w:hAnsi="Arial" w:cs="Arial"/>
          <w:b/>
          <w:bCs/>
        </w:rPr>
        <w:t xml:space="preserve">Dan </w:t>
      </w:r>
      <w:proofErr w:type="spellStart"/>
      <w:r w:rsidRPr="00C81422">
        <w:rPr>
          <w:rFonts w:ascii="Arial" w:hAnsi="Arial" w:cs="Arial"/>
          <w:b/>
          <w:bCs/>
        </w:rPr>
        <w:t>Nacu-Manole</w:t>
      </w:r>
      <w:proofErr w:type="spellEnd"/>
    </w:p>
    <w:p w:rsidR="00C81422" w:rsidRPr="00C81422" w:rsidRDefault="00C81422" w:rsidP="00C81422">
      <w:pPr>
        <w:jc w:val="both"/>
        <w:rPr>
          <w:rFonts w:ascii="Arial" w:hAnsi="Arial" w:cs="Arial"/>
        </w:rPr>
      </w:pPr>
      <w:r w:rsidRPr="00C81422">
        <w:rPr>
          <w:rFonts w:ascii="Arial" w:hAnsi="Arial" w:cs="Arial"/>
        </w:rPr>
        <w:t>Oficial de comunicaciones</w:t>
      </w:r>
    </w:p>
    <w:p w:rsidR="00C81422" w:rsidRPr="00C81422" w:rsidRDefault="00C81422" w:rsidP="00C81422">
      <w:pPr>
        <w:jc w:val="both"/>
        <w:rPr>
          <w:rFonts w:ascii="Arial" w:hAnsi="Arial" w:cs="Arial"/>
        </w:rPr>
      </w:pPr>
      <w:r w:rsidRPr="00C81422">
        <w:rPr>
          <w:rFonts w:ascii="Segoe UI Symbol" w:hAnsi="Segoe UI Symbol" w:cs="Segoe UI Symbol"/>
          <w:b/>
          <w:bCs/>
        </w:rPr>
        <w:t>✆</w:t>
      </w:r>
      <w:r w:rsidRPr="00C81422">
        <w:rPr>
          <w:rFonts w:ascii="Arial" w:hAnsi="Arial" w:cs="Arial"/>
        </w:rPr>
        <w:t>    +33 (0) 1 58 36 52 06</w:t>
      </w:r>
    </w:p>
    <w:p w:rsidR="00C81422" w:rsidRPr="00C81422" w:rsidRDefault="00C81422" w:rsidP="00C81422">
      <w:pPr>
        <w:jc w:val="both"/>
        <w:rPr>
          <w:rFonts w:ascii="Arial" w:hAnsi="Arial" w:cs="Arial"/>
        </w:rPr>
      </w:pPr>
      <w:r w:rsidRPr="00C81422">
        <w:rPr>
          <w:rFonts w:ascii="Arial" w:hAnsi="Arial" w:cs="Arial"/>
        </w:rPr>
        <w:t>@    </w:t>
      </w:r>
      <w:hyperlink r:id="rId7" w:history="1">
        <w:r w:rsidRPr="00C81422">
          <w:rPr>
            <w:rStyle w:val="Hipervnculo"/>
            <w:rFonts w:ascii="Arial" w:hAnsi="Arial" w:cs="Arial"/>
          </w:rPr>
          <w:t>press@esma.europa.eu</w:t>
        </w:r>
      </w:hyperlink>
    </w:p>
    <w:p w:rsidR="00C81422" w:rsidRPr="00C81422" w:rsidRDefault="00C81422" w:rsidP="00C81422">
      <w:pPr>
        <w:jc w:val="both"/>
        <w:rPr>
          <w:rFonts w:ascii="Arial" w:hAnsi="Arial" w:cs="Arial"/>
        </w:rPr>
      </w:pPr>
    </w:p>
    <w:p w:rsidR="00C81422" w:rsidRPr="00C81422" w:rsidRDefault="00C81422" w:rsidP="00C81422">
      <w:pPr>
        <w:jc w:val="both"/>
        <w:rPr>
          <w:rFonts w:ascii="Arial" w:hAnsi="Arial" w:cs="Arial"/>
        </w:rPr>
      </w:pPr>
    </w:p>
    <w:p w:rsidR="00ED7650" w:rsidRPr="00C81422" w:rsidRDefault="00C81422" w:rsidP="00C81422">
      <w:pPr>
        <w:jc w:val="both"/>
        <w:rPr>
          <w:rFonts w:ascii="Arial" w:hAnsi="Arial" w:cs="Arial"/>
        </w:rPr>
      </w:pPr>
    </w:p>
    <w:sectPr w:rsidR="00ED7650" w:rsidRPr="00C814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508D3"/>
    <w:multiLevelType w:val="multilevel"/>
    <w:tmpl w:val="8C44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22"/>
    <w:rsid w:val="000F4B68"/>
    <w:rsid w:val="001739B4"/>
    <w:rsid w:val="003B63A5"/>
    <w:rsid w:val="00C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AA173-A9A1-459A-B76E-405EE9A2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1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5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1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esma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ma.europa.eu/sites/default/files/library/2016-1478_mar_guidelines_-_legitimate_interests.pdf" TargetMode="External"/><Relationship Id="rId5" Type="http://schemas.openxmlformats.org/officeDocument/2006/relationships/hyperlink" Target="https://www.esma.europa.eu/press-news/consultations/consultation-paper-mar-gls-delay-in-disclosure-inside-information-a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</dc:creator>
  <cp:keywords/>
  <dc:description/>
  <cp:lastModifiedBy>Raúl</cp:lastModifiedBy>
  <cp:revision>1</cp:revision>
  <dcterms:created xsi:type="dcterms:W3CDTF">2021-10-06T18:28:00Z</dcterms:created>
  <dcterms:modified xsi:type="dcterms:W3CDTF">2021-10-06T18:32:00Z</dcterms:modified>
</cp:coreProperties>
</file>