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074" w:rsidRPr="00C72074" w:rsidRDefault="00C72074" w:rsidP="00C72074">
      <w:pPr>
        <w:jc w:val="both"/>
        <w:rPr>
          <w:rFonts w:ascii="Arial" w:hAnsi="Arial" w:cs="Arial"/>
          <w:b/>
        </w:rPr>
      </w:pPr>
      <w:bookmarkStart w:id="0" w:name="_GoBack"/>
      <w:r w:rsidRPr="00C72074">
        <w:rPr>
          <w:rFonts w:ascii="Arial" w:hAnsi="Arial" w:cs="Arial"/>
          <w:b/>
        </w:rPr>
        <w:t>ESMA ESTABLECE SU ESTRATEGIA SOBRE FINANZAS SOSTENIBLES</w:t>
      </w:r>
    </w:p>
    <w:bookmarkEnd w:id="0"/>
    <w:p w:rsidR="00C72074" w:rsidRDefault="00C72074" w:rsidP="00C72074">
      <w:pPr>
        <w:jc w:val="both"/>
        <w:rPr>
          <w:rFonts w:ascii="Arial" w:hAnsi="Arial" w:cs="Arial"/>
          <w:b/>
        </w:rPr>
      </w:pPr>
    </w:p>
    <w:p w:rsidR="00C72074" w:rsidRDefault="00C72074" w:rsidP="00C72074">
      <w:pPr>
        <w:jc w:val="both"/>
        <w:rPr>
          <w:rFonts w:ascii="Arial" w:hAnsi="Arial" w:cs="Arial"/>
        </w:rPr>
      </w:pPr>
    </w:p>
    <w:p w:rsidR="00ED7650" w:rsidRPr="00C72074" w:rsidRDefault="00C72074" w:rsidP="00C72074">
      <w:pPr>
        <w:jc w:val="both"/>
        <w:rPr>
          <w:rFonts w:ascii="Arial" w:hAnsi="Arial" w:cs="Arial"/>
        </w:rPr>
      </w:pPr>
      <w:r w:rsidRPr="00C72074">
        <w:rPr>
          <w:rFonts w:ascii="Arial" w:hAnsi="Arial" w:cs="Arial"/>
        </w:rPr>
        <w:t>06 febrero 2020</w:t>
      </w:r>
    </w:p>
    <w:p w:rsidR="00C72074" w:rsidRPr="00C72074" w:rsidRDefault="00C72074" w:rsidP="00C72074">
      <w:pPr>
        <w:jc w:val="both"/>
        <w:rPr>
          <w:rFonts w:ascii="Arial" w:hAnsi="Arial" w:cs="Arial"/>
        </w:rPr>
      </w:pPr>
    </w:p>
    <w:p w:rsidR="00C72074" w:rsidRPr="00C72074" w:rsidRDefault="00C72074" w:rsidP="00C72074">
      <w:pPr>
        <w:jc w:val="both"/>
        <w:rPr>
          <w:rFonts w:ascii="Arial" w:hAnsi="Arial" w:cs="Arial"/>
        </w:rPr>
      </w:pPr>
      <w:r w:rsidRPr="00C72074">
        <w:rPr>
          <w:rFonts w:ascii="Arial" w:hAnsi="Arial" w:cs="Arial"/>
        </w:rPr>
        <w:t>La Autoridad Europea de Mercados y Valores (ESMA), el regulador de los mercados de valores de la UE, ha publicado hoy su </w:t>
      </w:r>
      <w:hyperlink r:id="rId5" w:history="1">
        <w:r w:rsidRPr="00C72074">
          <w:rPr>
            <w:rStyle w:val="Hipervnculo"/>
            <w:rFonts w:ascii="Arial" w:hAnsi="Arial" w:cs="Arial"/>
          </w:rPr>
          <w:t>Estrategia sobre finanzas sostenibles</w:t>
        </w:r>
      </w:hyperlink>
      <w:r w:rsidRPr="00C72074">
        <w:rPr>
          <w:rFonts w:ascii="Arial" w:hAnsi="Arial" w:cs="Arial"/>
        </w:rPr>
        <w:t> . La estrategia establece cómo ESMA colocará la sostenibilidad en el centro de sus actividades al incorporar factores ambientales, sociales y de gobernanza (ESG) en su trabajo.</w:t>
      </w:r>
    </w:p>
    <w:p w:rsidR="00C72074" w:rsidRPr="00C72074" w:rsidRDefault="00C72074" w:rsidP="00C72074">
      <w:pPr>
        <w:jc w:val="both"/>
        <w:rPr>
          <w:rFonts w:ascii="Arial" w:hAnsi="Arial" w:cs="Arial"/>
        </w:rPr>
      </w:pPr>
      <w:r w:rsidRPr="00C72074">
        <w:rPr>
          <w:rFonts w:ascii="Arial" w:hAnsi="Arial" w:cs="Arial"/>
        </w:rPr>
        <w:t>Las prioridades clave para la AEVM incluyen las obligaciones de transparencia, el análisis de riesgos de los bonos verdes, la inversión ASG, la convergencia de las prácticas de supervisión nacionales sobre los factores ASG, la taxonomía y la supervisión.</w:t>
      </w:r>
    </w:p>
    <w:p w:rsidR="00C72074" w:rsidRDefault="00C72074" w:rsidP="00C72074">
      <w:pPr>
        <w:jc w:val="both"/>
        <w:rPr>
          <w:rFonts w:ascii="Arial" w:hAnsi="Arial" w:cs="Arial"/>
        </w:rPr>
      </w:pPr>
    </w:p>
    <w:p w:rsidR="00C72074" w:rsidRPr="00C72074" w:rsidRDefault="00C72074" w:rsidP="00C72074">
      <w:pPr>
        <w:jc w:val="both"/>
        <w:rPr>
          <w:rFonts w:ascii="Arial" w:hAnsi="Arial" w:cs="Arial"/>
        </w:rPr>
      </w:pPr>
      <w:r w:rsidRPr="00C72074">
        <w:rPr>
          <w:rFonts w:ascii="Arial" w:hAnsi="Arial" w:cs="Arial"/>
        </w:rPr>
        <w:t xml:space="preserve">Steven </w:t>
      </w:r>
      <w:proofErr w:type="spellStart"/>
      <w:r w:rsidRPr="00C72074">
        <w:rPr>
          <w:rFonts w:ascii="Arial" w:hAnsi="Arial" w:cs="Arial"/>
        </w:rPr>
        <w:t>Maijoor</w:t>
      </w:r>
      <w:proofErr w:type="spellEnd"/>
      <w:r w:rsidRPr="00C72074">
        <w:rPr>
          <w:rFonts w:ascii="Arial" w:hAnsi="Arial" w:cs="Arial"/>
        </w:rPr>
        <w:t>, presidente, dijo:</w:t>
      </w:r>
    </w:p>
    <w:p w:rsidR="00C72074" w:rsidRDefault="00C72074" w:rsidP="00C72074">
      <w:pPr>
        <w:jc w:val="both"/>
        <w:rPr>
          <w:rFonts w:ascii="Arial" w:hAnsi="Arial" w:cs="Arial"/>
        </w:rPr>
      </w:pPr>
      <w:r w:rsidRPr="00C72074">
        <w:rPr>
          <w:rFonts w:ascii="Arial" w:hAnsi="Arial" w:cs="Arial"/>
        </w:rPr>
        <w:t>“Los mercados financieros se encuentran en un punto de cambio con las preferencias de los inversores cambiando hacia productos </w:t>
      </w:r>
      <w:r w:rsidRPr="00C72074">
        <w:rPr>
          <w:rFonts w:ascii="Arial" w:hAnsi="Arial" w:cs="Arial"/>
          <w:i/>
          <w:iCs/>
        </w:rPr>
        <w:t>ecológicos</w:t>
      </w:r>
      <w:r w:rsidRPr="00C72074">
        <w:rPr>
          <w:rFonts w:ascii="Arial" w:hAnsi="Arial" w:cs="Arial"/>
        </w:rPr>
        <w:t> y socialmente responsables, y con factores de sostenibilidad que afectan cada vez más los riesgos, los rendimientos y el valor de las inversiones. La AEVM, con su visión general de toda la cadena de inversión, se encuentra en una posición única para respaldar el crecimiento de las finanzas sostenibles al tiempo que contribuye a la protección de los inversores, a unos mercados financieros ordenados y estables”.</w:t>
      </w:r>
    </w:p>
    <w:p w:rsidR="00C72074" w:rsidRDefault="00C72074" w:rsidP="00C72074">
      <w:pPr>
        <w:jc w:val="both"/>
        <w:rPr>
          <w:rFonts w:ascii="Arial" w:hAnsi="Arial" w:cs="Arial"/>
        </w:rPr>
      </w:pPr>
    </w:p>
    <w:p w:rsidR="00C72074" w:rsidRPr="00C72074" w:rsidRDefault="00C72074" w:rsidP="00C72074">
      <w:pPr>
        <w:jc w:val="both"/>
        <w:rPr>
          <w:rFonts w:ascii="Arial" w:hAnsi="Arial" w:cs="Arial"/>
        </w:rPr>
      </w:pPr>
      <w:r w:rsidRPr="00C72074">
        <w:rPr>
          <w:rFonts w:ascii="Arial" w:hAnsi="Arial" w:cs="Arial"/>
          <w:b/>
          <w:bCs/>
        </w:rPr>
        <w:t>Prioridades clave de la AEVM sobre finanzas sostenibles</w:t>
      </w:r>
    </w:p>
    <w:p w:rsidR="00C72074" w:rsidRPr="00C72074" w:rsidRDefault="00C72074" w:rsidP="00C72074">
      <w:pPr>
        <w:jc w:val="both"/>
        <w:rPr>
          <w:rFonts w:ascii="Arial" w:hAnsi="Arial" w:cs="Arial"/>
        </w:rPr>
      </w:pPr>
      <w:r w:rsidRPr="00C72074">
        <w:rPr>
          <w:rFonts w:ascii="Arial" w:hAnsi="Arial" w:cs="Arial"/>
        </w:rPr>
        <w:t>Las prioridades clave para la AEVM destacadas en la estrategia incluyen: </w:t>
      </w:r>
    </w:p>
    <w:p w:rsidR="00C72074" w:rsidRDefault="00C72074" w:rsidP="00C72074">
      <w:pPr>
        <w:pStyle w:val="Prrafodelista"/>
        <w:numPr>
          <w:ilvl w:val="0"/>
          <w:numId w:val="3"/>
        </w:numPr>
        <w:jc w:val="both"/>
        <w:rPr>
          <w:rFonts w:ascii="Arial" w:hAnsi="Arial" w:cs="Arial"/>
        </w:rPr>
      </w:pPr>
      <w:r w:rsidRPr="00C72074">
        <w:rPr>
          <w:rFonts w:ascii="Arial" w:hAnsi="Arial" w:cs="Arial"/>
        </w:rPr>
        <w:t>Completar el marco regulatorio sobre las obligaciones de transparencia a través del Reglamento de Divulgaciones. ESMA trabajará con la EBA y la EIOPA para producir normas técnicas conjuntas;</w:t>
      </w:r>
    </w:p>
    <w:p w:rsidR="00C72074" w:rsidRPr="00C72074" w:rsidRDefault="00C72074" w:rsidP="00C72074">
      <w:pPr>
        <w:pStyle w:val="Prrafodelista"/>
        <w:jc w:val="both"/>
        <w:rPr>
          <w:rFonts w:ascii="Arial" w:hAnsi="Arial" w:cs="Arial"/>
        </w:rPr>
      </w:pPr>
    </w:p>
    <w:p w:rsidR="00C72074" w:rsidRDefault="00C72074" w:rsidP="00C72074">
      <w:pPr>
        <w:pStyle w:val="Prrafodelista"/>
        <w:numPr>
          <w:ilvl w:val="0"/>
          <w:numId w:val="3"/>
        </w:numPr>
        <w:jc w:val="both"/>
        <w:rPr>
          <w:rFonts w:ascii="Arial" w:hAnsi="Arial" w:cs="Arial"/>
        </w:rPr>
      </w:pPr>
      <w:r w:rsidRPr="00C72074">
        <w:rPr>
          <w:rFonts w:ascii="Arial" w:hAnsi="Arial" w:cs="Arial"/>
        </w:rPr>
        <w:t>Informar sobre tendencias, riesgos y vulnerabilidades (TRV) de las finanzas sostenibles mediante la inclusión de un capítulo específico en su Informe TRV, que incluye indicadores relacionados con los bonos verdes, la inversión ESG y el comercio de derechos de emisión;</w:t>
      </w:r>
    </w:p>
    <w:p w:rsidR="00C72074" w:rsidRPr="00C72074" w:rsidRDefault="00C72074" w:rsidP="00C72074">
      <w:pPr>
        <w:pStyle w:val="Prrafodelista"/>
        <w:rPr>
          <w:rFonts w:ascii="Arial" w:hAnsi="Arial" w:cs="Arial"/>
        </w:rPr>
      </w:pPr>
    </w:p>
    <w:p w:rsidR="00C72074" w:rsidRDefault="00C72074" w:rsidP="00C72074">
      <w:pPr>
        <w:pStyle w:val="Prrafodelista"/>
        <w:numPr>
          <w:ilvl w:val="0"/>
          <w:numId w:val="3"/>
        </w:numPr>
        <w:jc w:val="both"/>
        <w:rPr>
          <w:rFonts w:ascii="Arial" w:hAnsi="Arial" w:cs="Arial"/>
        </w:rPr>
      </w:pPr>
      <w:r w:rsidRPr="00C72074">
        <w:rPr>
          <w:rFonts w:ascii="Arial" w:hAnsi="Arial" w:cs="Arial"/>
        </w:rPr>
        <w:t>Utilizar los datos a su disposición para analizar los riesgos financieros del cambio climático, incluidas las pruebas de resistencia potencialmente relacionadas con el clima en diferentes segmentos del mercado;</w:t>
      </w:r>
    </w:p>
    <w:p w:rsidR="00C72074" w:rsidRDefault="00C72074" w:rsidP="00C72074">
      <w:pPr>
        <w:pStyle w:val="Prrafodelista"/>
        <w:jc w:val="both"/>
        <w:rPr>
          <w:rFonts w:ascii="Arial" w:hAnsi="Arial" w:cs="Arial"/>
        </w:rPr>
      </w:pPr>
    </w:p>
    <w:p w:rsidR="00C72074" w:rsidRPr="00C72074" w:rsidRDefault="00C72074" w:rsidP="00C72074">
      <w:pPr>
        <w:pStyle w:val="Prrafodelista"/>
        <w:jc w:val="both"/>
        <w:rPr>
          <w:rFonts w:ascii="Arial" w:hAnsi="Arial" w:cs="Arial"/>
        </w:rPr>
      </w:pPr>
    </w:p>
    <w:p w:rsidR="00C72074" w:rsidRDefault="00C72074" w:rsidP="00C72074">
      <w:pPr>
        <w:pStyle w:val="Prrafodelista"/>
        <w:numPr>
          <w:ilvl w:val="0"/>
          <w:numId w:val="3"/>
        </w:numPr>
        <w:jc w:val="both"/>
        <w:rPr>
          <w:rFonts w:ascii="Arial" w:hAnsi="Arial" w:cs="Arial"/>
        </w:rPr>
      </w:pPr>
      <w:r w:rsidRPr="00C72074">
        <w:rPr>
          <w:rFonts w:ascii="Arial" w:hAnsi="Arial" w:cs="Arial"/>
        </w:rPr>
        <w:lastRenderedPageBreak/>
        <w:t>Buscar la convergencia de las prácticas nacionales de supervisión en los factores ASG con un enfoque en mitigar el riesgo de lavado verde, prevenir prácticas de venta indebida y fomentar la transparencia y confiabilidad en la presentación de información no financiera;</w:t>
      </w:r>
    </w:p>
    <w:p w:rsidR="00C72074" w:rsidRPr="00C72074" w:rsidRDefault="00C72074" w:rsidP="00C72074">
      <w:pPr>
        <w:pStyle w:val="Prrafodelista"/>
        <w:jc w:val="both"/>
        <w:rPr>
          <w:rFonts w:ascii="Arial" w:hAnsi="Arial" w:cs="Arial"/>
        </w:rPr>
      </w:pPr>
    </w:p>
    <w:p w:rsidR="00C72074" w:rsidRDefault="00C72074" w:rsidP="00C72074">
      <w:pPr>
        <w:pStyle w:val="Prrafodelista"/>
        <w:numPr>
          <w:ilvl w:val="0"/>
          <w:numId w:val="3"/>
        </w:numPr>
        <w:jc w:val="both"/>
        <w:rPr>
          <w:rFonts w:ascii="Arial" w:hAnsi="Arial" w:cs="Arial"/>
        </w:rPr>
      </w:pPr>
      <w:r w:rsidRPr="00C72074">
        <w:rPr>
          <w:rFonts w:ascii="Arial" w:hAnsi="Arial" w:cs="Arial"/>
        </w:rPr>
        <w:t>Participar en la Plataforma de la UE sobre finanzas sostenibles que desarrollará y mantendrá la taxonomía de la UE y supervisará los flujos de capital hacia las finanzas sostenibles; y</w:t>
      </w:r>
    </w:p>
    <w:p w:rsidR="00C72074" w:rsidRPr="00C72074" w:rsidRDefault="00C72074" w:rsidP="00C72074">
      <w:pPr>
        <w:pStyle w:val="Prrafodelista"/>
        <w:jc w:val="both"/>
        <w:rPr>
          <w:rFonts w:ascii="Arial" w:hAnsi="Arial" w:cs="Arial"/>
        </w:rPr>
      </w:pPr>
    </w:p>
    <w:p w:rsidR="00C72074" w:rsidRPr="00C72074" w:rsidRDefault="00C72074" w:rsidP="00C72074">
      <w:pPr>
        <w:pStyle w:val="Prrafodelista"/>
        <w:numPr>
          <w:ilvl w:val="0"/>
          <w:numId w:val="3"/>
        </w:numPr>
        <w:jc w:val="both"/>
        <w:rPr>
          <w:rFonts w:ascii="Arial" w:hAnsi="Arial" w:cs="Arial"/>
        </w:rPr>
      </w:pPr>
      <w:r w:rsidRPr="00C72074">
        <w:rPr>
          <w:rFonts w:ascii="Arial" w:hAnsi="Arial" w:cs="Arial"/>
        </w:rPr>
        <w:t>Garantizar que se cumplan las directrices de ESG en las entidades que la AEVM supervisa directamente, y al mismo tiempo estar preparado para aceptar cualquier nuevo mandato de supervisión relacionado con las finanzas sostenibles.</w:t>
      </w:r>
    </w:p>
    <w:p w:rsidR="00C72074" w:rsidRDefault="00C72074" w:rsidP="00C72074">
      <w:pPr>
        <w:jc w:val="both"/>
        <w:rPr>
          <w:rFonts w:ascii="Arial" w:hAnsi="Arial" w:cs="Arial"/>
        </w:rPr>
      </w:pPr>
    </w:p>
    <w:p w:rsidR="00C72074" w:rsidRPr="00C72074" w:rsidRDefault="00C72074" w:rsidP="00C72074">
      <w:pPr>
        <w:jc w:val="both"/>
        <w:rPr>
          <w:rFonts w:ascii="Arial" w:hAnsi="Arial" w:cs="Arial"/>
        </w:rPr>
      </w:pPr>
      <w:r w:rsidRPr="00C72074">
        <w:rPr>
          <w:rFonts w:ascii="Arial" w:hAnsi="Arial" w:cs="Arial"/>
        </w:rPr>
        <w:t>El trabajo de ESMA abarca la cadena de inversión desde el emisor hasta los fondos de inversión, las empresas de inversión y los inversores minoristas. Ya ha cumplido varios objetivos del plan de acción de la UE sobre la financiación del crecimiento sostenible y seguirá ayudando a las instituciones de la UE a alcanzar los objetivos de financiación sostenible, incluso proporcionando asesoramiento sobre áreas en las que pueden ser necesarias nuevas medidas de Nivel 1 y Nivel 2.</w:t>
      </w:r>
    </w:p>
    <w:p w:rsidR="00C72074" w:rsidRPr="00C72074" w:rsidRDefault="00C72074" w:rsidP="00C72074">
      <w:pPr>
        <w:jc w:val="both"/>
        <w:rPr>
          <w:rFonts w:ascii="Arial" w:hAnsi="Arial" w:cs="Arial"/>
        </w:rPr>
      </w:pPr>
      <w:r w:rsidRPr="00C72074">
        <w:rPr>
          <w:rFonts w:ascii="Arial" w:hAnsi="Arial" w:cs="Arial"/>
        </w:rPr>
        <w:t>Para ayudar a ejecutar su estrategia, la AEVM creó una Red de coordinación sobre sostenibilidad en 2019. La red está compuesta por expertos de las autoridades nacionales competentes y personal de la AEVM. Contará con el apoyo de un grupo de trabajo consultivo de partes interesadas, que se establecerá en los próximos meses.</w:t>
      </w:r>
    </w:p>
    <w:p w:rsidR="00C72074" w:rsidRPr="00C72074" w:rsidRDefault="00C72074" w:rsidP="00C72074">
      <w:pPr>
        <w:jc w:val="both"/>
        <w:rPr>
          <w:rFonts w:ascii="Arial" w:hAnsi="Arial" w:cs="Arial"/>
        </w:rPr>
      </w:pPr>
    </w:p>
    <w:p w:rsidR="00C72074" w:rsidRPr="00C72074" w:rsidRDefault="00C72074" w:rsidP="00C72074">
      <w:pPr>
        <w:jc w:val="both"/>
        <w:rPr>
          <w:rFonts w:ascii="Arial" w:hAnsi="Arial" w:cs="Arial"/>
        </w:rPr>
      </w:pPr>
    </w:p>
    <w:sectPr w:rsidR="00C72074" w:rsidRPr="00C720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99B"/>
    <w:multiLevelType w:val="hybridMultilevel"/>
    <w:tmpl w:val="F3D25634"/>
    <w:lvl w:ilvl="0" w:tplc="FCAA8AF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7B090B"/>
    <w:multiLevelType w:val="hybridMultilevel"/>
    <w:tmpl w:val="26889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6C1F7E"/>
    <w:multiLevelType w:val="hybridMultilevel"/>
    <w:tmpl w:val="D73E1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4"/>
    <w:rsid w:val="000F4B68"/>
    <w:rsid w:val="001739B4"/>
    <w:rsid w:val="003B63A5"/>
    <w:rsid w:val="00C720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EEE47-C9D9-49BE-ABA2-BF329433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2074"/>
    <w:rPr>
      <w:color w:val="0563C1" w:themeColor="hyperlink"/>
      <w:u w:val="single"/>
    </w:rPr>
  </w:style>
  <w:style w:type="paragraph" w:styleId="Prrafodelista">
    <w:name w:val="List Paragraph"/>
    <w:basedOn w:val="Normal"/>
    <w:uiPriority w:val="34"/>
    <w:qFormat/>
    <w:rsid w:val="00C72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6675">
      <w:bodyDiv w:val="1"/>
      <w:marLeft w:val="0"/>
      <w:marRight w:val="0"/>
      <w:marTop w:val="0"/>
      <w:marBottom w:val="0"/>
      <w:divBdr>
        <w:top w:val="none" w:sz="0" w:space="0" w:color="auto"/>
        <w:left w:val="none" w:sz="0" w:space="0" w:color="auto"/>
        <w:bottom w:val="none" w:sz="0" w:space="0" w:color="auto"/>
        <w:right w:val="none" w:sz="0" w:space="0" w:color="auto"/>
      </w:divBdr>
    </w:div>
    <w:div w:id="1701004872">
      <w:bodyDiv w:val="1"/>
      <w:marLeft w:val="0"/>
      <w:marRight w:val="0"/>
      <w:marTop w:val="0"/>
      <w:marBottom w:val="0"/>
      <w:divBdr>
        <w:top w:val="none" w:sz="0" w:space="0" w:color="auto"/>
        <w:left w:val="none" w:sz="0" w:space="0" w:color="auto"/>
        <w:bottom w:val="none" w:sz="0" w:space="0" w:color="auto"/>
        <w:right w:val="none" w:sz="0" w:space="0" w:color="auto"/>
      </w:divBdr>
    </w:div>
    <w:div w:id="212658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sma.europa.eu/sites/default/files/library/esma22-105-1052_sustainable_finance_strategy.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565</Words>
  <Characters>3108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2021-07-14T21:33:00Z</dcterms:created>
  <dcterms:modified xsi:type="dcterms:W3CDTF">2021-07-14T21:41:00Z</dcterms:modified>
</cp:coreProperties>
</file>