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DB" w:rsidRPr="00435DDB" w:rsidRDefault="00435DDB" w:rsidP="00435DDB">
      <w:pPr>
        <w:jc w:val="both"/>
        <w:rPr>
          <w:rFonts w:ascii="Arial" w:hAnsi="Arial" w:cs="Arial"/>
        </w:rPr>
      </w:pPr>
      <w:r w:rsidRPr="00435DDB">
        <w:rPr>
          <w:rFonts w:ascii="Arial" w:hAnsi="Arial" w:cs="Arial"/>
        </w:rPr>
        <w:t>ESMA PROPONE MEJORAS A LA DIRECTIVA DE TRANSPARENCIA DESPUÉS DEL CASO WIRECARD</w:t>
      </w:r>
    </w:p>
    <w:p w:rsidR="00435DDB" w:rsidRDefault="00435DDB" w:rsidP="00435DDB">
      <w:pPr>
        <w:jc w:val="both"/>
        <w:rPr>
          <w:rFonts w:ascii="Arial" w:hAnsi="Arial" w:cs="Arial"/>
        </w:rPr>
      </w:pPr>
    </w:p>
    <w:p w:rsidR="00435DDB" w:rsidRPr="00435DDB" w:rsidRDefault="00435DDB" w:rsidP="00435DDB">
      <w:pPr>
        <w:jc w:val="both"/>
        <w:rPr>
          <w:rFonts w:ascii="Arial" w:hAnsi="Arial" w:cs="Arial"/>
        </w:rPr>
      </w:pPr>
      <w:r w:rsidRPr="00435DDB">
        <w:rPr>
          <w:rFonts w:ascii="Arial" w:hAnsi="Arial" w:cs="Arial"/>
        </w:rPr>
        <w:t>03 marzo 2021</w:t>
      </w:r>
    </w:p>
    <w:p w:rsidR="00435DDB" w:rsidRDefault="00435DDB" w:rsidP="00435DDB">
      <w:pPr>
        <w:jc w:val="both"/>
        <w:rPr>
          <w:rFonts w:ascii="Arial" w:hAnsi="Arial" w:cs="Arial"/>
        </w:rPr>
      </w:pPr>
    </w:p>
    <w:p w:rsidR="00435DDB" w:rsidRPr="00435DDB" w:rsidRDefault="00435DDB" w:rsidP="00435DDB">
      <w:pPr>
        <w:jc w:val="both"/>
        <w:rPr>
          <w:rFonts w:ascii="Arial" w:hAnsi="Arial" w:cs="Arial"/>
        </w:rPr>
      </w:pPr>
      <w:r w:rsidRPr="00435DDB">
        <w:rPr>
          <w:rFonts w:ascii="Arial" w:hAnsi="Arial" w:cs="Arial"/>
        </w:rPr>
        <w:t>La Autoridad Europea de Mercados y Valores (ESMA), el regulador de los mercados de valores de la UE, ha </w:t>
      </w:r>
      <w:hyperlink r:id="rId5" w:history="1">
        <w:r w:rsidRPr="00435DDB">
          <w:rPr>
            <w:rStyle w:val="Hipervnculo"/>
            <w:rFonts w:ascii="Arial" w:hAnsi="Arial" w:cs="Arial"/>
          </w:rPr>
          <w:t>escrito</w:t>
        </w:r>
      </w:hyperlink>
      <w:r w:rsidRPr="00435DDB">
        <w:rPr>
          <w:rFonts w:ascii="Arial" w:hAnsi="Arial" w:cs="Arial"/>
        </w:rPr>
        <w:t> a la Comisión Europe</w:t>
      </w:r>
      <w:bookmarkStart w:id="0" w:name="_GoBack"/>
      <w:bookmarkEnd w:id="0"/>
      <w:r w:rsidRPr="00435DDB">
        <w:rPr>
          <w:rFonts w:ascii="Arial" w:hAnsi="Arial" w:cs="Arial"/>
        </w:rPr>
        <w:t xml:space="preserve">a (CE) con sus propuestas para mejorar la Directiva de Transparencia (TD) tras el caso </w:t>
      </w:r>
      <w:proofErr w:type="spellStart"/>
      <w:r w:rsidRPr="00435DDB">
        <w:rPr>
          <w:rFonts w:ascii="Arial" w:hAnsi="Arial" w:cs="Arial"/>
        </w:rPr>
        <w:t>Wirecard</w:t>
      </w:r>
      <w:proofErr w:type="spellEnd"/>
      <w:r w:rsidRPr="00435DDB">
        <w:rPr>
          <w:rFonts w:ascii="Arial" w:hAnsi="Arial" w:cs="Arial"/>
        </w:rPr>
        <w:t>. La carta aborda las disposiciones relacionadas con el cumplimiento de la información financiera.</w:t>
      </w:r>
    </w:p>
    <w:p w:rsidR="00435DDB" w:rsidRDefault="00435DDB" w:rsidP="00435DDB">
      <w:pPr>
        <w:jc w:val="both"/>
        <w:rPr>
          <w:rFonts w:ascii="Arial" w:hAnsi="Arial" w:cs="Arial"/>
        </w:rPr>
      </w:pPr>
      <w:r w:rsidRPr="00435DDB">
        <w:rPr>
          <w:rFonts w:ascii="Arial" w:hAnsi="Arial" w:cs="Arial"/>
        </w:rPr>
        <w:t>ESMA recomienda que la CE considere modificar el TD para cumplir cuatro objetivos:</w:t>
      </w:r>
    </w:p>
    <w:p w:rsidR="00435DDB" w:rsidRPr="00435DDB" w:rsidRDefault="00435DDB" w:rsidP="00435DDB">
      <w:pPr>
        <w:jc w:val="both"/>
        <w:rPr>
          <w:rFonts w:ascii="Arial" w:hAnsi="Arial" w:cs="Arial"/>
        </w:rPr>
      </w:pPr>
    </w:p>
    <w:p w:rsidR="00435DDB" w:rsidRPr="00435DDB" w:rsidRDefault="00435DDB" w:rsidP="00435DDB">
      <w:pPr>
        <w:numPr>
          <w:ilvl w:val="0"/>
          <w:numId w:val="1"/>
        </w:numPr>
        <w:jc w:val="both"/>
        <w:rPr>
          <w:rFonts w:ascii="Arial" w:hAnsi="Arial" w:cs="Arial"/>
        </w:rPr>
      </w:pPr>
      <w:r w:rsidRPr="00435DDB">
        <w:rPr>
          <w:rFonts w:ascii="Arial" w:hAnsi="Arial" w:cs="Arial"/>
          <w:b/>
          <w:bCs/>
        </w:rPr>
        <w:t>Mejorar la cooperación entre las autoridades de la UE a través de:</w:t>
      </w:r>
    </w:p>
    <w:p w:rsidR="00435DDB" w:rsidRPr="00435DDB" w:rsidRDefault="00435DDB" w:rsidP="00435DDB">
      <w:pPr>
        <w:numPr>
          <w:ilvl w:val="0"/>
          <w:numId w:val="2"/>
        </w:numPr>
        <w:jc w:val="both"/>
        <w:rPr>
          <w:rFonts w:ascii="Arial" w:hAnsi="Arial" w:cs="Arial"/>
        </w:rPr>
      </w:pPr>
      <w:r w:rsidRPr="00435DDB">
        <w:rPr>
          <w:rFonts w:ascii="Arial" w:hAnsi="Arial" w:cs="Arial"/>
        </w:rPr>
        <w:t xml:space="preserve">Eliminar los impedimentos de confidencialidad que impiden un intercambio de información eficiente y efectivo entre las autoridades competentes (CA) de TD y las CA de MAR / </w:t>
      </w:r>
      <w:proofErr w:type="spellStart"/>
      <w:r w:rsidRPr="00435DDB">
        <w:rPr>
          <w:rFonts w:ascii="Arial" w:hAnsi="Arial" w:cs="Arial"/>
        </w:rPr>
        <w:t>Prospectus</w:t>
      </w:r>
      <w:proofErr w:type="spellEnd"/>
      <w:r w:rsidRPr="00435DDB">
        <w:rPr>
          <w:rFonts w:ascii="Arial" w:hAnsi="Arial" w:cs="Arial"/>
        </w:rPr>
        <w:t>, órganos de supervisión de auditoría, supervisores prudenciales y autoridades de supervisión contra el blanqueo de capitales (AML); y</w:t>
      </w:r>
    </w:p>
    <w:p w:rsidR="00435DDB" w:rsidRDefault="00435DDB" w:rsidP="00435DDB">
      <w:pPr>
        <w:numPr>
          <w:ilvl w:val="0"/>
          <w:numId w:val="2"/>
        </w:numPr>
        <w:jc w:val="both"/>
        <w:rPr>
          <w:rFonts w:ascii="Arial" w:hAnsi="Arial" w:cs="Arial"/>
        </w:rPr>
      </w:pPr>
      <w:r w:rsidRPr="00435DDB">
        <w:rPr>
          <w:rFonts w:ascii="Arial" w:hAnsi="Arial" w:cs="Arial"/>
        </w:rPr>
        <w:t>Desarrollar RTS sobre cooperación e intercambio de información entre los encargados de hacer cumplir la contabilidad y los órganos de supervisión de auditoría, los supervisores prudenciales y, cuando corresponda, con los supervisores ALD.</w:t>
      </w:r>
    </w:p>
    <w:p w:rsidR="00435DDB" w:rsidRPr="00435DDB" w:rsidRDefault="00435DDB" w:rsidP="00435DDB">
      <w:pPr>
        <w:ind w:left="720"/>
        <w:jc w:val="both"/>
        <w:rPr>
          <w:rFonts w:ascii="Arial" w:hAnsi="Arial" w:cs="Arial"/>
        </w:rPr>
      </w:pPr>
    </w:p>
    <w:p w:rsidR="00435DDB" w:rsidRPr="00435DDB" w:rsidRDefault="00435DDB" w:rsidP="00435DDB">
      <w:pPr>
        <w:numPr>
          <w:ilvl w:val="0"/>
          <w:numId w:val="3"/>
        </w:numPr>
        <w:jc w:val="both"/>
        <w:rPr>
          <w:rFonts w:ascii="Arial" w:hAnsi="Arial" w:cs="Arial"/>
        </w:rPr>
      </w:pPr>
      <w:r w:rsidRPr="00435DDB">
        <w:rPr>
          <w:rFonts w:ascii="Arial" w:hAnsi="Arial" w:cs="Arial"/>
          <w:b/>
          <w:bCs/>
        </w:rPr>
        <w:t>Mejorar la coordinación y la gobernanza a nivel nacional a través de:</w:t>
      </w:r>
    </w:p>
    <w:p w:rsidR="00435DDB" w:rsidRPr="00435DDB" w:rsidRDefault="00435DDB" w:rsidP="00435DDB">
      <w:pPr>
        <w:numPr>
          <w:ilvl w:val="0"/>
          <w:numId w:val="4"/>
        </w:numPr>
        <w:jc w:val="both"/>
        <w:rPr>
          <w:rFonts w:ascii="Arial" w:hAnsi="Arial" w:cs="Arial"/>
        </w:rPr>
      </w:pPr>
      <w:r w:rsidRPr="00435DDB">
        <w:rPr>
          <w:rFonts w:ascii="Arial" w:hAnsi="Arial" w:cs="Arial"/>
        </w:rPr>
        <w:t>Exigir que las medidas nacionales de transposición aclaren las responsabilidades, obligaciones de información y roles cuando se implementen modelos de delegación o designación relacionados con el cumplimiento de la información financiera; y</w:t>
      </w:r>
    </w:p>
    <w:p w:rsidR="00435DDB" w:rsidRDefault="00435DDB" w:rsidP="00435DDB">
      <w:pPr>
        <w:numPr>
          <w:ilvl w:val="0"/>
          <w:numId w:val="4"/>
        </w:numPr>
        <w:jc w:val="both"/>
        <w:rPr>
          <w:rFonts w:ascii="Arial" w:hAnsi="Arial" w:cs="Arial"/>
        </w:rPr>
      </w:pPr>
      <w:r w:rsidRPr="00435DDB">
        <w:rPr>
          <w:rFonts w:ascii="Arial" w:hAnsi="Arial" w:cs="Arial"/>
        </w:rPr>
        <w:t>Incluir cláusulas de revisión periódica para garantizar que los modelos de delegación y designación sean adecuados para su propósito.</w:t>
      </w:r>
    </w:p>
    <w:p w:rsidR="00435DDB" w:rsidRPr="00435DDB" w:rsidRDefault="00435DDB" w:rsidP="00435DDB">
      <w:pPr>
        <w:ind w:left="720"/>
        <w:jc w:val="both"/>
        <w:rPr>
          <w:rFonts w:ascii="Arial" w:hAnsi="Arial" w:cs="Arial"/>
        </w:rPr>
      </w:pPr>
    </w:p>
    <w:p w:rsidR="00435DDB" w:rsidRPr="00435DDB" w:rsidRDefault="00435DDB" w:rsidP="00435DDB">
      <w:pPr>
        <w:numPr>
          <w:ilvl w:val="0"/>
          <w:numId w:val="5"/>
        </w:numPr>
        <w:jc w:val="both"/>
        <w:rPr>
          <w:rFonts w:ascii="Arial" w:hAnsi="Arial" w:cs="Arial"/>
        </w:rPr>
      </w:pPr>
      <w:r w:rsidRPr="00435DDB">
        <w:rPr>
          <w:rFonts w:ascii="Arial" w:hAnsi="Arial" w:cs="Arial"/>
          <w:b/>
          <w:bCs/>
        </w:rPr>
        <w:t>Fortalecer la independencia de las ANC a través de:</w:t>
      </w:r>
    </w:p>
    <w:p w:rsidR="00435DDB" w:rsidRPr="00435DDB" w:rsidRDefault="00435DDB" w:rsidP="00435DDB">
      <w:pPr>
        <w:numPr>
          <w:ilvl w:val="0"/>
          <w:numId w:val="6"/>
        </w:numPr>
        <w:jc w:val="both"/>
        <w:rPr>
          <w:rFonts w:ascii="Arial" w:hAnsi="Arial" w:cs="Arial"/>
        </w:rPr>
      </w:pPr>
      <w:r w:rsidRPr="00435DDB">
        <w:rPr>
          <w:rFonts w:ascii="Arial" w:hAnsi="Arial" w:cs="Arial"/>
        </w:rPr>
        <w:t>No permitir la subcontratación de la tarea de exámenes periódicos de información financiera a firmas de auditoría; y</w:t>
      </w:r>
    </w:p>
    <w:p w:rsidR="00435DDB" w:rsidRDefault="00435DDB" w:rsidP="00435DDB">
      <w:pPr>
        <w:numPr>
          <w:ilvl w:val="0"/>
          <w:numId w:val="6"/>
        </w:numPr>
        <w:jc w:val="both"/>
        <w:rPr>
          <w:rFonts w:ascii="Arial" w:hAnsi="Arial" w:cs="Arial"/>
        </w:rPr>
      </w:pPr>
      <w:r w:rsidRPr="00435DDB">
        <w:rPr>
          <w:rFonts w:ascii="Arial" w:hAnsi="Arial" w:cs="Arial"/>
        </w:rPr>
        <w:t>Modificar el DT para garantizar que la autoridad central competente, las autoridades designadas y / o las entidades delegadas y su personal sean independientes de los participantes del mercado y cumplan sus funciones y actúen con independencia de los gobiernos.</w:t>
      </w:r>
    </w:p>
    <w:p w:rsidR="00435DDB" w:rsidRPr="00435DDB" w:rsidRDefault="00435DDB" w:rsidP="00435DDB">
      <w:pPr>
        <w:ind w:left="720"/>
        <w:jc w:val="both"/>
        <w:rPr>
          <w:rFonts w:ascii="Arial" w:hAnsi="Arial" w:cs="Arial"/>
        </w:rPr>
      </w:pPr>
    </w:p>
    <w:p w:rsidR="00435DDB" w:rsidRPr="00435DDB" w:rsidRDefault="00435DDB" w:rsidP="00435DDB">
      <w:pPr>
        <w:numPr>
          <w:ilvl w:val="0"/>
          <w:numId w:val="7"/>
        </w:numPr>
        <w:jc w:val="both"/>
        <w:rPr>
          <w:rFonts w:ascii="Arial" w:hAnsi="Arial" w:cs="Arial"/>
        </w:rPr>
      </w:pPr>
      <w:r w:rsidRPr="00435DDB">
        <w:rPr>
          <w:rFonts w:ascii="Arial" w:hAnsi="Arial" w:cs="Arial"/>
          <w:b/>
          <w:bCs/>
        </w:rPr>
        <w:lastRenderedPageBreak/>
        <w:t>Reforzar la supervisión armonizada de la información en toda la UE mediante:</w:t>
      </w:r>
    </w:p>
    <w:p w:rsidR="00435DDB" w:rsidRPr="00435DDB" w:rsidRDefault="00435DDB" w:rsidP="00435DDB">
      <w:pPr>
        <w:numPr>
          <w:ilvl w:val="0"/>
          <w:numId w:val="8"/>
        </w:numPr>
        <w:jc w:val="both"/>
        <w:rPr>
          <w:rFonts w:ascii="Arial" w:hAnsi="Arial" w:cs="Arial"/>
        </w:rPr>
      </w:pPr>
      <w:r w:rsidRPr="00435DDB">
        <w:rPr>
          <w:rFonts w:ascii="Arial" w:hAnsi="Arial" w:cs="Arial"/>
        </w:rPr>
        <w:t>Modificar el DT, para garantizar que los poderes de los encargados de hacer cumplir la contabilidad estén armonizados en toda la UE. En particular, para asegurar que todos los encargados de hacer cumplir la contabilidad, incluidas las entidades delegadas y las autoridades designadas, tengan poderes vinculantes para solicitar información y para exigir información correctiva;</w:t>
      </w:r>
    </w:p>
    <w:p w:rsidR="00435DDB" w:rsidRPr="00435DDB" w:rsidRDefault="00435DDB" w:rsidP="00435DDB">
      <w:pPr>
        <w:numPr>
          <w:ilvl w:val="0"/>
          <w:numId w:val="8"/>
        </w:numPr>
        <w:jc w:val="both"/>
        <w:rPr>
          <w:rFonts w:ascii="Arial" w:hAnsi="Arial" w:cs="Arial"/>
        </w:rPr>
      </w:pPr>
      <w:r w:rsidRPr="00435DDB">
        <w:rPr>
          <w:rFonts w:ascii="Arial" w:hAnsi="Arial" w:cs="Arial"/>
        </w:rPr>
        <w:t>Complementar las facultades de las ANC para, entre otras cosas, exigir una segunda auditoría o examen forense independiente y realizar inspecciones o investigaciones conjuntas in situ;</w:t>
      </w:r>
    </w:p>
    <w:p w:rsidR="00435DDB" w:rsidRPr="00435DDB" w:rsidRDefault="00435DDB" w:rsidP="00435DDB">
      <w:pPr>
        <w:numPr>
          <w:ilvl w:val="0"/>
          <w:numId w:val="8"/>
        </w:numPr>
        <w:jc w:val="both"/>
        <w:rPr>
          <w:rFonts w:ascii="Arial" w:hAnsi="Arial" w:cs="Arial"/>
        </w:rPr>
      </w:pPr>
      <w:r w:rsidRPr="00435DDB">
        <w:rPr>
          <w:rFonts w:ascii="Arial" w:hAnsi="Arial" w:cs="Arial"/>
        </w:rPr>
        <w:t>Reforzar el papel de la AEVM en la información financiera mediante la inclusión del Reglamento NIC en el artículo 1, apartado 2, del Reglamento de la AEVM; y</w:t>
      </w:r>
    </w:p>
    <w:p w:rsidR="00435DDB" w:rsidRPr="00435DDB" w:rsidRDefault="00435DDB" w:rsidP="00435DDB">
      <w:pPr>
        <w:numPr>
          <w:ilvl w:val="0"/>
          <w:numId w:val="8"/>
        </w:numPr>
        <w:jc w:val="both"/>
        <w:rPr>
          <w:rFonts w:ascii="Arial" w:hAnsi="Arial" w:cs="Arial"/>
        </w:rPr>
      </w:pPr>
      <w:r w:rsidRPr="00435DDB">
        <w:rPr>
          <w:rFonts w:ascii="Arial" w:hAnsi="Arial" w:cs="Arial"/>
        </w:rPr>
        <w:t>Fortalecer la aplicación y el cumplimiento coherentes de las divulgaciones relacionadas con las Medidas de desempeño alternativas.</w:t>
      </w:r>
    </w:p>
    <w:p w:rsidR="00435DDB" w:rsidRPr="00435DDB" w:rsidRDefault="00435DDB" w:rsidP="00435DDB">
      <w:pPr>
        <w:jc w:val="both"/>
        <w:rPr>
          <w:rFonts w:ascii="Arial" w:hAnsi="Arial" w:cs="Arial"/>
        </w:rPr>
      </w:pPr>
      <w:r w:rsidRPr="00435DDB">
        <w:rPr>
          <w:rFonts w:ascii="Arial" w:hAnsi="Arial" w:cs="Arial"/>
        </w:rPr>
        <w:t xml:space="preserve">Las modificaciones propuestas al DT se basan en la experiencia adquirida por la AEVM al coordinar la aplicación de la información financiera en Europa, en particular, al preparar informes, discutir casos de supervisión o preparar declaraciones y opiniones. Además, la carta aborda algunas de las deficiencias encontradas al realizar las revisiones por pares de la AEVM sobre la aplicación de las Directrices sobre el cumplimiento de la información financiera en 2017 y en el contexto del caso </w:t>
      </w:r>
      <w:proofErr w:type="spellStart"/>
      <w:r w:rsidRPr="00435DDB">
        <w:rPr>
          <w:rFonts w:ascii="Arial" w:hAnsi="Arial" w:cs="Arial"/>
        </w:rPr>
        <w:t>Wirecard</w:t>
      </w:r>
      <w:proofErr w:type="spellEnd"/>
      <w:r w:rsidRPr="00435DDB">
        <w:rPr>
          <w:rFonts w:ascii="Arial" w:hAnsi="Arial" w:cs="Arial"/>
        </w:rPr>
        <w:t>.</w:t>
      </w:r>
    </w:p>
    <w:p w:rsidR="00435DDB" w:rsidRDefault="00435DDB" w:rsidP="00435DDB">
      <w:pPr>
        <w:jc w:val="both"/>
        <w:rPr>
          <w:rFonts w:ascii="Arial" w:hAnsi="Arial" w:cs="Arial"/>
          <w:b/>
          <w:bCs/>
        </w:rPr>
      </w:pPr>
    </w:p>
    <w:p w:rsidR="00435DDB" w:rsidRPr="00435DDB" w:rsidRDefault="00435DDB" w:rsidP="00435DDB">
      <w:pPr>
        <w:jc w:val="both"/>
        <w:rPr>
          <w:rFonts w:ascii="Arial" w:hAnsi="Arial" w:cs="Arial"/>
        </w:rPr>
      </w:pPr>
      <w:r>
        <w:rPr>
          <w:rFonts w:ascii="Arial" w:hAnsi="Arial" w:cs="Arial"/>
          <w:b/>
          <w:bCs/>
        </w:rPr>
        <w:t>Antecedentes</w:t>
      </w:r>
    </w:p>
    <w:p w:rsidR="00435DDB" w:rsidRPr="00435DDB" w:rsidRDefault="00435DDB" w:rsidP="00435DDB">
      <w:pPr>
        <w:jc w:val="both"/>
        <w:rPr>
          <w:rFonts w:ascii="Arial" w:hAnsi="Arial" w:cs="Arial"/>
        </w:rPr>
      </w:pPr>
      <w:r w:rsidRPr="00435DDB">
        <w:rPr>
          <w:rFonts w:ascii="Arial" w:hAnsi="Arial" w:cs="Arial"/>
        </w:rPr>
        <w:t>En noviembre de 2020, la AEVM publicó los </w:t>
      </w:r>
      <w:hyperlink r:id="rId6" w:history="1">
        <w:r w:rsidRPr="00435DDB">
          <w:rPr>
            <w:rStyle w:val="Hipervnculo"/>
            <w:rFonts w:ascii="Arial" w:hAnsi="Arial" w:cs="Arial"/>
          </w:rPr>
          <w:t>resultados</w:t>
        </w:r>
      </w:hyperlink>
      <w:r w:rsidRPr="00435DDB">
        <w:rPr>
          <w:rFonts w:ascii="Arial" w:hAnsi="Arial" w:cs="Arial"/>
        </w:rPr>
        <w:t xml:space="preserve"> de su revisión por pares, que evaluó los eventos que llevaron al colapso de </w:t>
      </w:r>
      <w:proofErr w:type="spellStart"/>
      <w:r w:rsidRPr="00435DDB">
        <w:rPr>
          <w:rFonts w:ascii="Arial" w:hAnsi="Arial" w:cs="Arial"/>
        </w:rPr>
        <w:t>Wirecard</w:t>
      </w:r>
      <w:proofErr w:type="spellEnd"/>
      <w:r w:rsidRPr="00435DDB">
        <w:rPr>
          <w:rFonts w:ascii="Arial" w:hAnsi="Arial" w:cs="Arial"/>
        </w:rPr>
        <w:t xml:space="preserve"> y la respuesta de supervisión de </w:t>
      </w:r>
      <w:proofErr w:type="spellStart"/>
      <w:r w:rsidRPr="00435DDB">
        <w:rPr>
          <w:rFonts w:ascii="Arial" w:hAnsi="Arial" w:cs="Arial"/>
        </w:rPr>
        <w:t>BaFin</w:t>
      </w:r>
      <w:proofErr w:type="spellEnd"/>
      <w:r w:rsidRPr="00435DDB">
        <w:rPr>
          <w:rFonts w:ascii="Arial" w:hAnsi="Arial" w:cs="Arial"/>
        </w:rPr>
        <w:t xml:space="preserve"> y el Panel de cumplimiento de informes financieros.</w:t>
      </w:r>
    </w:p>
    <w:p w:rsidR="00435DDB" w:rsidRPr="00435DDB" w:rsidRDefault="00435DDB" w:rsidP="00435DDB">
      <w:pPr>
        <w:jc w:val="both"/>
        <w:rPr>
          <w:rFonts w:ascii="Arial" w:hAnsi="Arial" w:cs="Arial"/>
        </w:rPr>
      </w:pPr>
      <w:r w:rsidRPr="00435DDB">
        <w:rPr>
          <w:rFonts w:ascii="Arial" w:hAnsi="Arial" w:cs="Arial"/>
        </w:rPr>
        <w:t>En julio de 2017, la AEVM publicó los </w:t>
      </w:r>
      <w:hyperlink r:id="rId7" w:history="1">
        <w:r w:rsidRPr="00435DDB">
          <w:rPr>
            <w:rStyle w:val="Hipervnculo"/>
            <w:rFonts w:ascii="Arial" w:hAnsi="Arial" w:cs="Arial"/>
          </w:rPr>
          <w:t>resultados</w:t>
        </w:r>
      </w:hyperlink>
      <w:r w:rsidRPr="00435DDB">
        <w:rPr>
          <w:rFonts w:ascii="Arial" w:hAnsi="Arial" w:cs="Arial"/>
        </w:rPr>
        <w:t> de su revisión por pares sobre la aplicación de las Directrices de la AEVM sobre el cumplimiento de la información financiera.</w:t>
      </w:r>
    </w:p>
    <w:p w:rsidR="00435DDB" w:rsidRPr="00435DDB" w:rsidRDefault="00435DDB" w:rsidP="00435DDB">
      <w:pPr>
        <w:jc w:val="both"/>
        <w:rPr>
          <w:rFonts w:ascii="Arial" w:hAnsi="Arial" w:cs="Arial"/>
        </w:rPr>
      </w:pPr>
      <w:r w:rsidRPr="00435DDB">
        <w:rPr>
          <w:rFonts w:ascii="Arial" w:hAnsi="Arial" w:cs="Arial"/>
        </w:rPr>
        <w:t> </w:t>
      </w:r>
    </w:p>
    <w:p w:rsidR="00435DDB" w:rsidRPr="00435DDB" w:rsidRDefault="00435DDB" w:rsidP="00435DDB">
      <w:pPr>
        <w:jc w:val="both"/>
        <w:rPr>
          <w:rFonts w:ascii="Arial" w:hAnsi="Arial" w:cs="Arial"/>
        </w:rPr>
      </w:pPr>
      <w:r w:rsidRPr="00435DDB">
        <w:rPr>
          <w:rFonts w:ascii="Arial" w:hAnsi="Arial" w:cs="Arial"/>
        </w:rPr>
        <w:t>Más información:</w:t>
      </w:r>
    </w:p>
    <w:p w:rsidR="00435DDB" w:rsidRPr="00435DDB" w:rsidRDefault="00435DDB" w:rsidP="00435DDB">
      <w:pPr>
        <w:jc w:val="both"/>
        <w:rPr>
          <w:rFonts w:ascii="Arial" w:hAnsi="Arial" w:cs="Arial"/>
        </w:rPr>
      </w:pPr>
      <w:r w:rsidRPr="00435DDB">
        <w:rPr>
          <w:rFonts w:ascii="Arial" w:hAnsi="Arial" w:cs="Arial"/>
          <w:b/>
          <w:bCs/>
        </w:rPr>
        <w:t xml:space="preserve">Dan </w:t>
      </w:r>
      <w:proofErr w:type="spellStart"/>
      <w:r w:rsidRPr="00435DDB">
        <w:rPr>
          <w:rFonts w:ascii="Arial" w:hAnsi="Arial" w:cs="Arial"/>
          <w:b/>
          <w:bCs/>
        </w:rPr>
        <w:t>Nacu-Manole</w:t>
      </w:r>
      <w:proofErr w:type="spellEnd"/>
    </w:p>
    <w:p w:rsidR="00435DDB" w:rsidRPr="00435DDB" w:rsidRDefault="00435DDB" w:rsidP="00435DDB">
      <w:pPr>
        <w:jc w:val="both"/>
        <w:rPr>
          <w:rFonts w:ascii="Arial" w:hAnsi="Arial" w:cs="Arial"/>
        </w:rPr>
      </w:pPr>
      <w:r w:rsidRPr="00435DDB">
        <w:rPr>
          <w:rFonts w:ascii="Arial" w:hAnsi="Arial" w:cs="Arial"/>
        </w:rPr>
        <w:t>Oficial de comunicaciones</w:t>
      </w:r>
    </w:p>
    <w:p w:rsidR="00435DDB" w:rsidRPr="00435DDB" w:rsidRDefault="00435DDB" w:rsidP="00435DDB">
      <w:pPr>
        <w:jc w:val="both"/>
        <w:rPr>
          <w:rFonts w:ascii="Arial" w:hAnsi="Arial" w:cs="Arial"/>
        </w:rPr>
      </w:pPr>
      <w:r w:rsidRPr="00435DDB">
        <w:rPr>
          <w:rFonts w:ascii="Segoe UI Symbol" w:hAnsi="Segoe UI Symbol" w:cs="Segoe UI Symbol"/>
          <w:b/>
          <w:bCs/>
        </w:rPr>
        <w:t>✆</w:t>
      </w:r>
      <w:r w:rsidRPr="00435DDB">
        <w:rPr>
          <w:rFonts w:ascii="Arial" w:hAnsi="Arial" w:cs="Arial"/>
        </w:rPr>
        <w:t>    +33 (0) 1 58 36 52 06</w:t>
      </w:r>
    </w:p>
    <w:p w:rsidR="00ED7650" w:rsidRPr="00435DDB" w:rsidRDefault="00435DDB" w:rsidP="00435DDB">
      <w:pPr>
        <w:jc w:val="both"/>
        <w:rPr>
          <w:rFonts w:ascii="Arial" w:hAnsi="Arial" w:cs="Arial"/>
        </w:rPr>
      </w:pPr>
      <w:r w:rsidRPr="00435DDB">
        <w:rPr>
          <w:rFonts w:ascii="Arial" w:hAnsi="Arial" w:cs="Arial"/>
        </w:rPr>
        <w:t>@    </w:t>
      </w:r>
      <w:hyperlink r:id="rId8" w:history="1">
        <w:r w:rsidRPr="00435DDB">
          <w:rPr>
            <w:rStyle w:val="Hipervnculo"/>
            <w:rFonts w:ascii="Arial" w:hAnsi="Arial" w:cs="Arial"/>
          </w:rPr>
          <w:t>press@esma.europa.eu</w:t>
        </w:r>
      </w:hyperlink>
    </w:p>
    <w:sectPr w:rsidR="00ED7650" w:rsidRPr="00435D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C97"/>
    <w:multiLevelType w:val="multilevel"/>
    <w:tmpl w:val="F248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D17E8"/>
    <w:multiLevelType w:val="multilevel"/>
    <w:tmpl w:val="A04C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D6D0D"/>
    <w:multiLevelType w:val="multilevel"/>
    <w:tmpl w:val="AB20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E491D"/>
    <w:multiLevelType w:val="multilevel"/>
    <w:tmpl w:val="2518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64E75"/>
    <w:multiLevelType w:val="multilevel"/>
    <w:tmpl w:val="4644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A70F6"/>
    <w:multiLevelType w:val="multilevel"/>
    <w:tmpl w:val="D908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F64E04"/>
    <w:multiLevelType w:val="multilevel"/>
    <w:tmpl w:val="6330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25998"/>
    <w:multiLevelType w:val="multilevel"/>
    <w:tmpl w:val="EFF8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D53A2"/>
    <w:multiLevelType w:val="multilevel"/>
    <w:tmpl w:val="7D2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lvlOverride w:ilvl="0">
      <w:startOverride w:val="2"/>
    </w:lvlOverride>
  </w:num>
  <w:num w:numId="4">
    <w:abstractNumId w:val="2"/>
  </w:num>
  <w:num w:numId="5">
    <w:abstractNumId w:val="3"/>
    <w:lvlOverride w:ilvl="0">
      <w:startOverride w:val="3"/>
    </w:lvlOverride>
  </w:num>
  <w:num w:numId="6">
    <w:abstractNumId w:val="4"/>
  </w:num>
  <w:num w:numId="7">
    <w:abstractNumId w:val="7"/>
    <w:lvlOverride w:ilvl="0">
      <w:startOverride w:val="4"/>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DB"/>
    <w:rsid w:val="000F4B68"/>
    <w:rsid w:val="001739B4"/>
    <w:rsid w:val="003B63A5"/>
    <w:rsid w:val="00435D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7037-6324-44F6-BDB1-4D14C149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5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8340">
      <w:bodyDiv w:val="1"/>
      <w:marLeft w:val="0"/>
      <w:marRight w:val="0"/>
      <w:marTop w:val="0"/>
      <w:marBottom w:val="0"/>
      <w:divBdr>
        <w:top w:val="none" w:sz="0" w:space="0" w:color="auto"/>
        <w:left w:val="none" w:sz="0" w:space="0" w:color="auto"/>
        <w:bottom w:val="none" w:sz="0" w:space="0" w:color="auto"/>
        <w:right w:val="none" w:sz="0" w:space="0" w:color="auto"/>
      </w:divBdr>
      <w:divsChild>
        <w:div w:id="685592529">
          <w:marLeft w:val="0"/>
          <w:marRight w:val="0"/>
          <w:marTop w:val="0"/>
          <w:marBottom w:val="600"/>
          <w:divBdr>
            <w:top w:val="none" w:sz="0" w:space="0" w:color="auto"/>
            <w:left w:val="none" w:sz="0" w:space="0" w:color="auto"/>
            <w:bottom w:val="none" w:sz="0" w:space="0" w:color="auto"/>
            <w:right w:val="none" w:sz="0" w:space="0" w:color="auto"/>
          </w:divBdr>
        </w:div>
        <w:div w:id="1763991932">
          <w:marLeft w:val="0"/>
          <w:marRight w:val="0"/>
          <w:marTop w:val="0"/>
          <w:marBottom w:val="0"/>
          <w:divBdr>
            <w:top w:val="none" w:sz="0" w:space="0" w:color="auto"/>
            <w:left w:val="none" w:sz="0" w:space="0" w:color="auto"/>
            <w:bottom w:val="none" w:sz="0" w:space="0" w:color="auto"/>
            <w:right w:val="none" w:sz="0" w:space="0" w:color="auto"/>
          </w:divBdr>
        </w:div>
      </w:divsChild>
    </w:div>
    <w:div w:id="481580636">
      <w:bodyDiv w:val="1"/>
      <w:marLeft w:val="0"/>
      <w:marRight w:val="0"/>
      <w:marTop w:val="0"/>
      <w:marBottom w:val="0"/>
      <w:divBdr>
        <w:top w:val="none" w:sz="0" w:space="0" w:color="auto"/>
        <w:left w:val="none" w:sz="0" w:space="0" w:color="auto"/>
        <w:bottom w:val="none" w:sz="0" w:space="0" w:color="auto"/>
        <w:right w:val="none" w:sz="0" w:space="0" w:color="auto"/>
      </w:divBdr>
      <w:divsChild>
        <w:div w:id="1211455431">
          <w:marLeft w:val="0"/>
          <w:marRight w:val="0"/>
          <w:marTop w:val="0"/>
          <w:marBottom w:val="0"/>
          <w:divBdr>
            <w:top w:val="none" w:sz="0" w:space="0" w:color="auto"/>
            <w:left w:val="none" w:sz="0" w:space="0" w:color="auto"/>
            <w:bottom w:val="none" w:sz="0" w:space="0" w:color="auto"/>
            <w:right w:val="none" w:sz="0" w:space="0" w:color="auto"/>
          </w:divBdr>
          <w:divsChild>
            <w:div w:id="60300028">
              <w:marLeft w:val="0"/>
              <w:marRight w:val="0"/>
              <w:marTop w:val="0"/>
              <w:marBottom w:val="0"/>
              <w:divBdr>
                <w:top w:val="none" w:sz="0" w:space="0" w:color="auto"/>
                <w:left w:val="none" w:sz="0" w:space="0" w:color="auto"/>
                <w:bottom w:val="none" w:sz="0" w:space="0" w:color="auto"/>
                <w:right w:val="none" w:sz="0" w:space="0" w:color="auto"/>
              </w:divBdr>
              <w:divsChild>
                <w:div w:id="1569874664">
                  <w:marLeft w:val="0"/>
                  <w:marRight w:val="0"/>
                  <w:marTop w:val="0"/>
                  <w:marBottom w:val="0"/>
                  <w:divBdr>
                    <w:top w:val="none" w:sz="0" w:space="0" w:color="auto"/>
                    <w:left w:val="none" w:sz="0" w:space="0" w:color="auto"/>
                    <w:bottom w:val="none" w:sz="0" w:space="0" w:color="auto"/>
                    <w:right w:val="none" w:sz="0" w:space="0" w:color="auto"/>
                  </w:divBdr>
                  <w:divsChild>
                    <w:div w:id="1438137417">
                      <w:marLeft w:val="0"/>
                      <w:marRight w:val="0"/>
                      <w:marTop w:val="0"/>
                      <w:marBottom w:val="0"/>
                      <w:divBdr>
                        <w:top w:val="none" w:sz="0" w:space="0" w:color="auto"/>
                        <w:left w:val="none" w:sz="0" w:space="0" w:color="auto"/>
                        <w:bottom w:val="none" w:sz="0" w:space="0" w:color="auto"/>
                        <w:right w:val="none" w:sz="0" w:space="0" w:color="auto"/>
                      </w:divBdr>
                      <w:divsChild>
                        <w:div w:id="600646237">
                          <w:marLeft w:val="0"/>
                          <w:marRight w:val="1224"/>
                          <w:marTop w:val="0"/>
                          <w:marBottom w:val="0"/>
                          <w:divBdr>
                            <w:top w:val="none" w:sz="0" w:space="0" w:color="auto"/>
                            <w:left w:val="none" w:sz="0" w:space="0" w:color="auto"/>
                            <w:bottom w:val="none" w:sz="0" w:space="0" w:color="auto"/>
                            <w:right w:val="none" w:sz="0" w:space="0" w:color="auto"/>
                          </w:divBdr>
                          <w:divsChild>
                            <w:div w:id="1575823110">
                              <w:marLeft w:val="0"/>
                              <w:marRight w:val="0"/>
                              <w:marTop w:val="0"/>
                              <w:marBottom w:val="0"/>
                              <w:divBdr>
                                <w:top w:val="none" w:sz="0" w:space="0" w:color="auto"/>
                                <w:left w:val="none" w:sz="0" w:space="0" w:color="auto"/>
                                <w:bottom w:val="none" w:sz="0" w:space="0" w:color="auto"/>
                                <w:right w:val="none" w:sz="0" w:space="0" w:color="auto"/>
                              </w:divBdr>
                              <w:divsChild>
                                <w:div w:id="782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812">
                          <w:marLeft w:val="0"/>
                          <w:marRight w:val="0"/>
                          <w:marTop w:val="0"/>
                          <w:marBottom w:val="0"/>
                          <w:divBdr>
                            <w:top w:val="none" w:sz="0" w:space="0" w:color="auto"/>
                            <w:left w:val="none" w:sz="0" w:space="0" w:color="auto"/>
                            <w:bottom w:val="none" w:sz="0" w:space="0" w:color="auto"/>
                            <w:right w:val="none" w:sz="0" w:space="0" w:color="auto"/>
                          </w:divBdr>
                          <w:divsChild>
                            <w:div w:id="836043578">
                              <w:marLeft w:val="0"/>
                              <w:marRight w:val="0"/>
                              <w:marTop w:val="0"/>
                              <w:marBottom w:val="0"/>
                              <w:divBdr>
                                <w:top w:val="single" w:sz="6" w:space="0" w:color="D6D6D6"/>
                                <w:left w:val="single" w:sz="6" w:space="0" w:color="D6D6D6"/>
                                <w:bottom w:val="single" w:sz="6" w:space="0" w:color="D6D6D6"/>
                                <w:right w:val="single" w:sz="6" w:space="0" w:color="D6D6D6"/>
                              </w:divBdr>
                              <w:divsChild>
                                <w:div w:id="1607232471">
                                  <w:marLeft w:val="0"/>
                                  <w:marRight w:val="0"/>
                                  <w:marTop w:val="0"/>
                                  <w:marBottom w:val="0"/>
                                  <w:divBdr>
                                    <w:top w:val="none" w:sz="0" w:space="0" w:color="auto"/>
                                    <w:left w:val="none" w:sz="0" w:space="0" w:color="auto"/>
                                    <w:bottom w:val="none" w:sz="0" w:space="0" w:color="auto"/>
                                    <w:right w:val="none" w:sz="0" w:space="0" w:color="auto"/>
                                  </w:divBdr>
                                  <w:divsChild>
                                    <w:div w:id="338122537">
                                      <w:marLeft w:val="0"/>
                                      <w:marRight w:val="0"/>
                                      <w:marTop w:val="0"/>
                                      <w:marBottom w:val="0"/>
                                      <w:divBdr>
                                        <w:top w:val="none" w:sz="0" w:space="0" w:color="auto"/>
                                        <w:left w:val="none" w:sz="0" w:space="0" w:color="auto"/>
                                        <w:bottom w:val="none" w:sz="0" w:space="0" w:color="auto"/>
                                        <w:right w:val="none" w:sz="0" w:space="0" w:color="auto"/>
                                      </w:divBdr>
                                      <w:divsChild>
                                        <w:div w:id="1928073798">
                                          <w:marLeft w:val="0"/>
                                          <w:marRight w:val="0"/>
                                          <w:marTop w:val="0"/>
                                          <w:marBottom w:val="0"/>
                                          <w:divBdr>
                                            <w:top w:val="none" w:sz="0" w:space="0" w:color="auto"/>
                                            <w:left w:val="none" w:sz="0" w:space="0" w:color="auto"/>
                                            <w:bottom w:val="single" w:sz="6" w:space="0" w:color="EEEEF0"/>
                                            <w:right w:val="none" w:sz="0" w:space="0" w:color="auto"/>
                                          </w:divBdr>
                                          <w:divsChild>
                                            <w:div w:id="17644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2852">
                              <w:marLeft w:val="0"/>
                              <w:marRight w:val="0"/>
                              <w:marTop w:val="0"/>
                              <w:marBottom w:val="0"/>
                              <w:divBdr>
                                <w:top w:val="single" w:sz="6" w:space="0" w:color="D6D6D6"/>
                                <w:left w:val="single" w:sz="6" w:space="0" w:color="D6D6D6"/>
                                <w:bottom w:val="single" w:sz="6" w:space="0" w:color="D6D6D6"/>
                                <w:right w:val="single" w:sz="6" w:space="0" w:color="D6D6D6"/>
                              </w:divBdr>
                              <w:divsChild>
                                <w:div w:id="1161233435">
                                  <w:marLeft w:val="0"/>
                                  <w:marRight w:val="0"/>
                                  <w:marTop w:val="0"/>
                                  <w:marBottom w:val="0"/>
                                  <w:divBdr>
                                    <w:top w:val="none" w:sz="0" w:space="0" w:color="auto"/>
                                    <w:left w:val="none" w:sz="0" w:space="0" w:color="auto"/>
                                    <w:bottom w:val="none" w:sz="0" w:space="0" w:color="auto"/>
                                    <w:right w:val="none" w:sz="0" w:space="0" w:color="auto"/>
                                  </w:divBdr>
                                </w:div>
                                <w:div w:id="720441603">
                                  <w:marLeft w:val="0"/>
                                  <w:marRight w:val="0"/>
                                  <w:marTop w:val="0"/>
                                  <w:marBottom w:val="0"/>
                                  <w:divBdr>
                                    <w:top w:val="none" w:sz="0" w:space="0" w:color="auto"/>
                                    <w:left w:val="none" w:sz="0" w:space="0" w:color="auto"/>
                                    <w:bottom w:val="none" w:sz="0" w:space="0" w:color="auto"/>
                                    <w:right w:val="none" w:sz="0" w:space="0" w:color="auto"/>
                                  </w:divBdr>
                                  <w:divsChild>
                                    <w:div w:id="195823039">
                                      <w:marLeft w:val="0"/>
                                      <w:marRight w:val="0"/>
                                      <w:marTop w:val="0"/>
                                      <w:marBottom w:val="0"/>
                                      <w:divBdr>
                                        <w:top w:val="none" w:sz="0" w:space="0" w:color="auto"/>
                                        <w:left w:val="none" w:sz="0" w:space="0" w:color="auto"/>
                                        <w:bottom w:val="single" w:sz="6" w:space="0" w:color="EEEEF0"/>
                                        <w:right w:val="none" w:sz="0" w:space="0" w:color="auto"/>
                                      </w:divBdr>
                                      <w:divsChild>
                                        <w:div w:id="544372260">
                                          <w:marLeft w:val="0"/>
                                          <w:marRight w:val="0"/>
                                          <w:marTop w:val="0"/>
                                          <w:marBottom w:val="0"/>
                                          <w:divBdr>
                                            <w:top w:val="none" w:sz="0" w:space="0" w:color="auto"/>
                                            <w:left w:val="none" w:sz="0" w:space="0" w:color="auto"/>
                                            <w:bottom w:val="none" w:sz="0" w:space="0" w:color="auto"/>
                                            <w:right w:val="none" w:sz="0" w:space="0" w:color="auto"/>
                                          </w:divBdr>
                                        </w:div>
                                        <w:div w:id="1596744878">
                                          <w:marLeft w:val="0"/>
                                          <w:marRight w:val="0"/>
                                          <w:marTop w:val="0"/>
                                          <w:marBottom w:val="0"/>
                                          <w:divBdr>
                                            <w:top w:val="none" w:sz="0" w:space="0" w:color="auto"/>
                                            <w:left w:val="none" w:sz="0" w:space="0" w:color="auto"/>
                                            <w:bottom w:val="none" w:sz="0" w:space="0" w:color="auto"/>
                                            <w:right w:val="none" w:sz="0" w:space="0" w:color="auto"/>
                                          </w:divBdr>
                                        </w:div>
                                        <w:div w:id="394865073">
                                          <w:marLeft w:val="0"/>
                                          <w:marRight w:val="0"/>
                                          <w:marTop w:val="0"/>
                                          <w:marBottom w:val="0"/>
                                          <w:divBdr>
                                            <w:top w:val="none" w:sz="0" w:space="0" w:color="auto"/>
                                            <w:left w:val="none" w:sz="0" w:space="0" w:color="auto"/>
                                            <w:bottom w:val="none" w:sz="0" w:space="0" w:color="auto"/>
                                            <w:right w:val="none" w:sz="0" w:space="0" w:color="auto"/>
                                          </w:divBdr>
                                          <w:divsChild>
                                            <w:div w:id="484007676">
                                              <w:marLeft w:val="0"/>
                                              <w:marRight w:val="0"/>
                                              <w:marTop w:val="0"/>
                                              <w:marBottom w:val="0"/>
                                              <w:divBdr>
                                                <w:top w:val="none" w:sz="0" w:space="0" w:color="auto"/>
                                                <w:left w:val="none" w:sz="0" w:space="0" w:color="auto"/>
                                                <w:bottom w:val="none" w:sz="0" w:space="0" w:color="auto"/>
                                                <w:right w:val="none" w:sz="0" w:space="0" w:color="auto"/>
                                              </w:divBdr>
                                              <w:divsChild>
                                                <w:div w:id="134298402">
                                                  <w:marLeft w:val="0"/>
                                                  <w:marRight w:val="0"/>
                                                  <w:marTop w:val="0"/>
                                                  <w:marBottom w:val="0"/>
                                                  <w:divBdr>
                                                    <w:top w:val="none" w:sz="0" w:space="0" w:color="auto"/>
                                                    <w:left w:val="none" w:sz="0" w:space="0" w:color="auto"/>
                                                    <w:bottom w:val="none" w:sz="0" w:space="0" w:color="auto"/>
                                                    <w:right w:val="none" w:sz="0" w:space="0" w:color="auto"/>
                                                  </w:divBdr>
                                                  <w:divsChild>
                                                    <w:div w:id="195167573">
                                                      <w:marLeft w:val="0"/>
                                                      <w:marRight w:val="0"/>
                                                      <w:marTop w:val="0"/>
                                                      <w:marBottom w:val="0"/>
                                                      <w:divBdr>
                                                        <w:top w:val="none" w:sz="0" w:space="0" w:color="auto"/>
                                                        <w:left w:val="none" w:sz="0" w:space="0" w:color="auto"/>
                                                        <w:bottom w:val="none" w:sz="0" w:space="0" w:color="auto"/>
                                                        <w:right w:val="none" w:sz="0" w:space="0" w:color="auto"/>
                                                      </w:divBdr>
                                                      <w:divsChild>
                                                        <w:div w:id="4715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548">
                                      <w:marLeft w:val="0"/>
                                      <w:marRight w:val="0"/>
                                      <w:marTop w:val="0"/>
                                      <w:marBottom w:val="0"/>
                                      <w:divBdr>
                                        <w:top w:val="none" w:sz="0" w:space="0" w:color="auto"/>
                                        <w:left w:val="none" w:sz="0" w:space="0" w:color="auto"/>
                                        <w:bottom w:val="single" w:sz="6" w:space="0" w:color="EEEEF0"/>
                                        <w:right w:val="none" w:sz="0" w:space="0" w:color="auto"/>
                                      </w:divBdr>
                                      <w:divsChild>
                                        <w:div w:id="197088993">
                                          <w:marLeft w:val="0"/>
                                          <w:marRight w:val="0"/>
                                          <w:marTop w:val="0"/>
                                          <w:marBottom w:val="0"/>
                                          <w:divBdr>
                                            <w:top w:val="none" w:sz="0" w:space="0" w:color="auto"/>
                                            <w:left w:val="none" w:sz="0" w:space="0" w:color="auto"/>
                                            <w:bottom w:val="none" w:sz="0" w:space="0" w:color="auto"/>
                                            <w:right w:val="none" w:sz="0" w:space="0" w:color="auto"/>
                                          </w:divBdr>
                                        </w:div>
                                        <w:div w:id="641809548">
                                          <w:marLeft w:val="0"/>
                                          <w:marRight w:val="0"/>
                                          <w:marTop w:val="0"/>
                                          <w:marBottom w:val="0"/>
                                          <w:divBdr>
                                            <w:top w:val="none" w:sz="0" w:space="0" w:color="auto"/>
                                            <w:left w:val="none" w:sz="0" w:space="0" w:color="auto"/>
                                            <w:bottom w:val="none" w:sz="0" w:space="0" w:color="auto"/>
                                            <w:right w:val="none" w:sz="0" w:space="0" w:color="auto"/>
                                          </w:divBdr>
                                        </w:div>
                                        <w:div w:id="1544711077">
                                          <w:marLeft w:val="0"/>
                                          <w:marRight w:val="0"/>
                                          <w:marTop w:val="0"/>
                                          <w:marBottom w:val="0"/>
                                          <w:divBdr>
                                            <w:top w:val="none" w:sz="0" w:space="0" w:color="auto"/>
                                            <w:left w:val="none" w:sz="0" w:space="0" w:color="auto"/>
                                            <w:bottom w:val="none" w:sz="0" w:space="0" w:color="auto"/>
                                            <w:right w:val="none" w:sz="0" w:space="0" w:color="auto"/>
                                          </w:divBdr>
                                          <w:divsChild>
                                            <w:div w:id="353307144">
                                              <w:marLeft w:val="0"/>
                                              <w:marRight w:val="0"/>
                                              <w:marTop w:val="0"/>
                                              <w:marBottom w:val="0"/>
                                              <w:divBdr>
                                                <w:top w:val="none" w:sz="0" w:space="0" w:color="auto"/>
                                                <w:left w:val="none" w:sz="0" w:space="0" w:color="auto"/>
                                                <w:bottom w:val="none" w:sz="0" w:space="0" w:color="auto"/>
                                                <w:right w:val="none" w:sz="0" w:space="0" w:color="auto"/>
                                              </w:divBdr>
                                              <w:divsChild>
                                                <w:div w:id="371925562">
                                                  <w:marLeft w:val="0"/>
                                                  <w:marRight w:val="0"/>
                                                  <w:marTop w:val="0"/>
                                                  <w:marBottom w:val="0"/>
                                                  <w:divBdr>
                                                    <w:top w:val="none" w:sz="0" w:space="0" w:color="auto"/>
                                                    <w:left w:val="none" w:sz="0" w:space="0" w:color="auto"/>
                                                    <w:bottom w:val="none" w:sz="0" w:space="0" w:color="auto"/>
                                                    <w:right w:val="none" w:sz="0" w:space="0" w:color="auto"/>
                                                  </w:divBdr>
                                                  <w:divsChild>
                                                    <w:div w:id="1082067175">
                                                      <w:marLeft w:val="0"/>
                                                      <w:marRight w:val="0"/>
                                                      <w:marTop w:val="0"/>
                                                      <w:marBottom w:val="0"/>
                                                      <w:divBdr>
                                                        <w:top w:val="none" w:sz="0" w:space="0" w:color="auto"/>
                                                        <w:left w:val="none" w:sz="0" w:space="0" w:color="auto"/>
                                                        <w:bottom w:val="none" w:sz="0" w:space="0" w:color="auto"/>
                                                        <w:right w:val="none" w:sz="0" w:space="0" w:color="auto"/>
                                                      </w:divBdr>
                                                      <w:divsChild>
                                                        <w:div w:id="14232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09218">
                                      <w:marLeft w:val="0"/>
                                      <w:marRight w:val="0"/>
                                      <w:marTop w:val="0"/>
                                      <w:marBottom w:val="0"/>
                                      <w:divBdr>
                                        <w:top w:val="none" w:sz="0" w:space="0" w:color="auto"/>
                                        <w:left w:val="none" w:sz="0" w:space="0" w:color="auto"/>
                                        <w:bottom w:val="single" w:sz="6" w:space="0" w:color="EEEEF0"/>
                                        <w:right w:val="none" w:sz="0" w:space="0" w:color="auto"/>
                                      </w:divBdr>
                                      <w:divsChild>
                                        <w:div w:id="1071268302">
                                          <w:marLeft w:val="0"/>
                                          <w:marRight w:val="0"/>
                                          <w:marTop w:val="0"/>
                                          <w:marBottom w:val="0"/>
                                          <w:divBdr>
                                            <w:top w:val="none" w:sz="0" w:space="0" w:color="auto"/>
                                            <w:left w:val="none" w:sz="0" w:space="0" w:color="auto"/>
                                            <w:bottom w:val="none" w:sz="0" w:space="0" w:color="auto"/>
                                            <w:right w:val="none" w:sz="0" w:space="0" w:color="auto"/>
                                          </w:divBdr>
                                        </w:div>
                                        <w:div w:id="150026709">
                                          <w:marLeft w:val="0"/>
                                          <w:marRight w:val="0"/>
                                          <w:marTop w:val="0"/>
                                          <w:marBottom w:val="0"/>
                                          <w:divBdr>
                                            <w:top w:val="none" w:sz="0" w:space="0" w:color="auto"/>
                                            <w:left w:val="none" w:sz="0" w:space="0" w:color="auto"/>
                                            <w:bottom w:val="none" w:sz="0" w:space="0" w:color="auto"/>
                                            <w:right w:val="none" w:sz="0" w:space="0" w:color="auto"/>
                                          </w:divBdr>
                                        </w:div>
                                      </w:divsChild>
                                    </w:div>
                                    <w:div w:id="895236253">
                                      <w:marLeft w:val="0"/>
                                      <w:marRight w:val="0"/>
                                      <w:marTop w:val="0"/>
                                      <w:marBottom w:val="0"/>
                                      <w:divBdr>
                                        <w:top w:val="none" w:sz="0" w:space="0" w:color="auto"/>
                                        <w:left w:val="none" w:sz="0" w:space="0" w:color="auto"/>
                                        <w:bottom w:val="single" w:sz="6" w:space="0" w:color="EEEEF0"/>
                                        <w:right w:val="none" w:sz="0" w:space="0" w:color="auto"/>
                                      </w:divBdr>
                                      <w:divsChild>
                                        <w:div w:id="1480267287">
                                          <w:marLeft w:val="0"/>
                                          <w:marRight w:val="0"/>
                                          <w:marTop w:val="0"/>
                                          <w:marBottom w:val="0"/>
                                          <w:divBdr>
                                            <w:top w:val="none" w:sz="0" w:space="0" w:color="auto"/>
                                            <w:left w:val="none" w:sz="0" w:space="0" w:color="auto"/>
                                            <w:bottom w:val="none" w:sz="0" w:space="0" w:color="auto"/>
                                            <w:right w:val="none" w:sz="0" w:space="0" w:color="auto"/>
                                          </w:divBdr>
                                        </w:div>
                                        <w:div w:id="234509052">
                                          <w:marLeft w:val="0"/>
                                          <w:marRight w:val="0"/>
                                          <w:marTop w:val="0"/>
                                          <w:marBottom w:val="0"/>
                                          <w:divBdr>
                                            <w:top w:val="none" w:sz="0" w:space="0" w:color="auto"/>
                                            <w:left w:val="none" w:sz="0" w:space="0" w:color="auto"/>
                                            <w:bottom w:val="none" w:sz="0" w:space="0" w:color="auto"/>
                                            <w:right w:val="none" w:sz="0" w:space="0" w:color="auto"/>
                                          </w:divBdr>
                                        </w:div>
                                        <w:div w:id="877202618">
                                          <w:marLeft w:val="0"/>
                                          <w:marRight w:val="0"/>
                                          <w:marTop w:val="0"/>
                                          <w:marBottom w:val="0"/>
                                          <w:divBdr>
                                            <w:top w:val="none" w:sz="0" w:space="0" w:color="auto"/>
                                            <w:left w:val="none" w:sz="0" w:space="0" w:color="auto"/>
                                            <w:bottom w:val="none" w:sz="0" w:space="0" w:color="auto"/>
                                            <w:right w:val="none" w:sz="0" w:space="0" w:color="auto"/>
                                          </w:divBdr>
                                          <w:divsChild>
                                            <w:div w:id="1248682">
                                              <w:marLeft w:val="0"/>
                                              <w:marRight w:val="0"/>
                                              <w:marTop w:val="0"/>
                                              <w:marBottom w:val="0"/>
                                              <w:divBdr>
                                                <w:top w:val="none" w:sz="0" w:space="0" w:color="auto"/>
                                                <w:left w:val="none" w:sz="0" w:space="0" w:color="auto"/>
                                                <w:bottom w:val="none" w:sz="0" w:space="0" w:color="auto"/>
                                                <w:right w:val="none" w:sz="0" w:space="0" w:color="auto"/>
                                              </w:divBdr>
                                              <w:divsChild>
                                                <w:div w:id="700083831">
                                                  <w:marLeft w:val="0"/>
                                                  <w:marRight w:val="0"/>
                                                  <w:marTop w:val="0"/>
                                                  <w:marBottom w:val="0"/>
                                                  <w:divBdr>
                                                    <w:top w:val="none" w:sz="0" w:space="0" w:color="auto"/>
                                                    <w:left w:val="none" w:sz="0" w:space="0" w:color="auto"/>
                                                    <w:bottom w:val="none" w:sz="0" w:space="0" w:color="auto"/>
                                                    <w:right w:val="none" w:sz="0" w:space="0" w:color="auto"/>
                                                  </w:divBdr>
                                                  <w:divsChild>
                                                    <w:div w:id="1073695587">
                                                      <w:marLeft w:val="0"/>
                                                      <w:marRight w:val="0"/>
                                                      <w:marTop w:val="0"/>
                                                      <w:marBottom w:val="0"/>
                                                      <w:divBdr>
                                                        <w:top w:val="none" w:sz="0" w:space="0" w:color="auto"/>
                                                        <w:left w:val="none" w:sz="0" w:space="0" w:color="auto"/>
                                                        <w:bottom w:val="none" w:sz="0" w:space="0" w:color="auto"/>
                                                        <w:right w:val="none" w:sz="0" w:space="0" w:color="auto"/>
                                                      </w:divBdr>
                                                      <w:divsChild>
                                                        <w:div w:id="7891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73231">
                                      <w:marLeft w:val="0"/>
                                      <w:marRight w:val="0"/>
                                      <w:marTop w:val="0"/>
                                      <w:marBottom w:val="0"/>
                                      <w:divBdr>
                                        <w:top w:val="none" w:sz="0" w:space="0" w:color="auto"/>
                                        <w:left w:val="none" w:sz="0" w:space="0" w:color="auto"/>
                                        <w:bottom w:val="single" w:sz="6" w:space="0" w:color="EEEEF0"/>
                                        <w:right w:val="none" w:sz="0" w:space="0" w:color="auto"/>
                                      </w:divBdr>
                                      <w:divsChild>
                                        <w:div w:id="1952857223">
                                          <w:marLeft w:val="0"/>
                                          <w:marRight w:val="0"/>
                                          <w:marTop w:val="0"/>
                                          <w:marBottom w:val="0"/>
                                          <w:divBdr>
                                            <w:top w:val="none" w:sz="0" w:space="0" w:color="auto"/>
                                            <w:left w:val="none" w:sz="0" w:space="0" w:color="auto"/>
                                            <w:bottom w:val="none" w:sz="0" w:space="0" w:color="auto"/>
                                            <w:right w:val="none" w:sz="0" w:space="0" w:color="auto"/>
                                          </w:divBdr>
                                        </w:div>
                                        <w:div w:id="767312190">
                                          <w:marLeft w:val="0"/>
                                          <w:marRight w:val="0"/>
                                          <w:marTop w:val="0"/>
                                          <w:marBottom w:val="0"/>
                                          <w:divBdr>
                                            <w:top w:val="none" w:sz="0" w:space="0" w:color="auto"/>
                                            <w:left w:val="none" w:sz="0" w:space="0" w:color="auto"/>
                                            <w:bottom w:val="none" w:sz="0" w:space="0" w:color="auto"/>
                                            <w:right w:val="none" w:sz="0" w:space="0" w:color="auto"/>
                                          </w:divBdr>
                                        </w:div>
                                        <w:div w:id="1246187731">
                                          <w:marLeft w:val="0"/>
                                          <w:marRight w:val="0"/>
                                          <w:marTop w:val="0"/>
                                          <w:marBottom w:val="0"/>
                                          <w:divBdr>
                                            <w:top w:val="none" w:sz="0" w:space="0" w:color="auto"/>
                                            <w:left w:val="none" w:sz="0" w:space="0" w:color="auto"/>
                                            <w:bottom w:val="none" w:sz="0" w:space="0" w:color="auto"/>
                                            <w:right w:val="none" w:sz="0" w:space="0" w:color="auto"/>
                                          </w:divBdr>
                                          <w:divsChild>
                                            <w:div w:id="284118050">
                                              <w:marLeft w:val="0"/>
                                              <w:marRight w:val="0"/>
                                              <w:marTop w:val="0"/>
                                              <w:marBottom w:val="0"/>
                                              <w:divBdr>
                                                <w:top w:val="none" w:sz="0" w:space="0" w:color="auto"/>
                                                <w:left w:val="none" w:sz="0" w:space="0" w:color="auto"/>
                                                <w:bottom w:val="none" w:sz="0" w:space="0" w:color="auto"/>
                                                <w:right w:val="none" w:sz="0" w:space="0" w:color="auto"/>
                                              </w:divBdr>
                                              <w:divsChild>
                                                <w:div w:id="1013263544">
                                                  <w:marLeft w:val="0"/>
                                                  <w:marRight w:val="0"/>
                                                  <w:marTop w:val="0"/>
                                                  <w:marBottom w:val="0"/>
                                                  <w:divBdr>
                                                    <w:top w:val="none" w:sz="0" w:space="0" w:color="auto"/>
                                                    <w:left w:val="none" w:sz="0" w:space="0" w:color="auto"/>
                                                    <w:bottom w:val="none" w:sz="0" w:space="0" w:color="auto"/>
                                                    <w:right w:val="none" w:sz="0" w:space="0" w:color="auto"/>
                                                  </w:divBdr>
                                                  <w:divsChild>
                                                    <w:div w:id="1655527351">
                                                      <w:marLeft w:val="0"/>
                                                      <w:marRight w:val="0"/>
                                                      <w:marTop w:val="0"/>
                                                      <w:marBottom w:val="0"/>
                                                      <w:divBdr>
                                                        <w:top w:val="none" w:sz="0" w:space="0" w:color="auto"/>
                                                        <w:left w:val="none" w:sz="0" w:space="0" w:color="auto"/>
                                                        <w:bottom w:val="none" w:sz="0" w:space="0" w:color="auto"/>
                                                        <w:right w:val="none" w:sz="0" w:space="0" w:color="auto"/>
                                                      </w:divBdr>
                                                      <w:divsChild>
                                                        <w:div w:id="150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3833366">
      <w:bodyDiv w:val="1"/>
      <w:marLeft w:val="0"/>
      <w:marRight w:val="0"/>
      <w:marTop w:val="0"/>
      <w:marBottom w:val="0"/>
      <w:divBdr>
        <w:top w:val="none" w:sz="0" w:space="0" w:color="auto"/>
        <w:left w:val="none" w:sz="0" w:space="0" w:color="auto"/>
        <w:bottom w:val="none" w:sz="0" w:space="0" w:color="auto"/>
        <w:right w:val="none" w:sz="0" w:space="0" w:color="auto"/>
      </w:divBdr>
      <w:divsChild>
        <w:div w:id="1403455514">
          <w:marLeft w:val="0"/>
          <w:marRight w:val="0"/>
          <w:marTop w:val="0"/>
          <w:marBottom w:val="0"/>
          <w:divBdr>
            <w:top w:val="none" w:sz="0" w:space="0" w:color="auto"/>
            <w:left w:val="none" w:sz="0" w:space="0" w:color="auto"/>
            <w:bottom w:val="none" w:sz="0" w:space="0" w:color="auto"/>
            <w:right w:val="none" w:sz="0" w:space="0" w:color="auto"/>
          </w:divBdr>
          <w:divsChild>
            <w:div w:id="451896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ma.europa.eu" TargetMode="External"/><Relationship Id="rId3" Type="http://schemas.openxmlformats.org/officeDocument/2006/relationships/settings" Target="settings.xml"/><Relationship Id="rId7" Type="http://schemas.openxmlformats.org/officeDocument/2006/relationships/hyperlink" Target="https://www.esma.europa.eu/sites/default/files/library/esma42-111-4138_peer_review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ma.europa.eu/sites/default/files/library/esma42-111-5349_fast_track_peer_review_report_-_wirecard.pdf" TargetMode="External"/><Relationship Id="rId5" Type="http://schemas.openxmlformats.org/officeDocument/2006/relationships/hyperlink" Target="https://www.esma.europa.eu/sites/default/files/library/esma32-51-818_letter_to_the_ec_on_next_steps_following_wirecard.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2021-09-02T04:19:00Z</dcterms:created>
  <dcterms:modified xsi:type="dcterms:W3CDTF">2021-09-02T04:21:00Z</dcterms:modified>
</cp:coreProperties>
</file>