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82" w:rsidRPr="00D14682" w:rsidRDefault="00D14682" w:rsidP="00D14682">
      <w:pPr>
        <w:jc w:val="both"/>
        <w:rPr>
          <w:rFonts w:ascii="Arial" w:hAnsi="Arial" w:cs="Arial"/>
          <w:b/>
          <w:bCs/>
        </w:rPr>
      </w:pPr>
      <w:bookmarkStart w:id="0" w:name="_GoBack"/>
      <w:r w:rsidRPr="00D14682">
        <w:rPr>
          <w:rFonts w:ascii="Arial" w:hAnsi="Arial" w:cs="Arial"/>
          <w:b/>
          <w:bCs/>
        </w:rPr>
        <w:t>El BCE publica estadísticas bancarias de supervisión para el primer trimestre de 2020</w:t>
      </w:r>
    </w:p>
    <w:bookmarkEnd w:id="0"/>
    <w:p w:rsidR="00D14682" w:rsidRPr="00D14682" w:rsidRDefault="00D14682" w:rsidP="00D14682">
      <w:pPr>
        <w:jc w:val="both"/>
        <w:rPr>
          <w:rFonts w:ascii="Arial" w:hAnsi="Arial" w:cs="Arial"/>
        </w:rPr>
      </w:pPr>
      <w:r w:rsidRPr="00D14682">
        <w:rPr>
          <w:rFonts w:ascii="Arial" w:hAnsi="Arial" w:cs="Arial"/>
        </w:rPr>
        <w:t>24 de julio de 2020</w:t>
      </w:r>
    </w:p>
    <w:p w:rsidR="00D14682" w:rsidRPr="00D14682" w:rsidRDefault="00D14682" w:rsidP="00D14682">
      <w:pPr>
        <w:numPr>
          <w:ilvl w:val="0"/>
          <w:numId w:val="2"/>
        </w:numPr>
        <w:jc w:val="both"/>
        <w:rPr>
          <w:rFonts w:ascii="Arial" w:hAnsi="Arial" w:cs="Arial"/>
        </w:rPr>
      </w:pPr>
      <w:r w:rsidRPr="00D14682">
        <w:rPr>
          <w:rFonts w:ascii="Arial" w:hAnsi="Arial" w:cs="Arial"/>
        </w:rPr>
        <w:t>Los coeficientes de capital de las instituciones importantes disminuyen ligeramente en el primer trimestre de 2020, con un coeficiente de capital total agregado del 18,11% (frente al 18,53% del cuarto trimestre de 2019)</w:t>
      </w:r>
    </w:p>
    <w:p w:rsidR="00D14682" w:rsidRPr="00D14682" w:rsidRDefault="00D14682" w:rsidP="00D14682">
      <w:pPr>
        <w:numPr>
          <w:ilvl w:val="0"/>
          <w:numId w:val="2"/>
        </w:numPr>
        <w:jc w:val="both"/>
        <w:rPr>
          <w:rFonts w:ascii="Arial" w:hAnsi="Arial" w:cs="Arial"/>
        </w:rPr>
      </w:pPr>
      <w:r w:rsidRPr="00D14682">
        <w:rPr>
          <w:rFonts w:ascii="Arial" w:hAnsi="Arial" w:cs="Arial"/>
        </w:rPr>
        <w:t>La tasa de morosidad agregada sigue disminuyendo hasta situarse en el 3,05%, el nivel más bajo desde que se publicaron los datos por primera vez en 2015</w:t>
      </w:r>
    </w:p>
    <w:p w:rsidR="00D14682" w:rsidRPr="00D14682" w:rsidRDefault="00D14682" w:rsidP="00D14682">
      <w:pPr>
        <w:numPr>
          <w:ilvl w:val="0"/>
          <w:numId w:val="2"/>
        </w:numPr>
        <w:jc w:val="both"/>
        <w:rPr>
          <w:rFonts w:ascii="Arial" w:hAnsi="Arial" w:cs="Arial"/>
        </w:rPr>
      </w:pPr>
      <w:r w:rsidRPr="00D14682">
        <w:rPr>
          <w:rFonts w:ascii="Arial" w:hAnsi="Arial" w:cs="Arial"/>
        </w:rPr>
        <w:t>El rendimiento anualizado sobre el capital cae a un nivel agregado de 1,21% al final del primer trimestre de 2020, frente al 5,76% del año anterior</w:t>
      </w:r>
    </w:p>
    <w:p w:rsidR="00D14682" w:rsidRPr="00D14682" w:rsidRDefault="00D14682" w:rsidP="00D14682">
      <w:pPr>
        <w:numPr>
          <w:ilvl w:val="0"/>
          <w:numId w:val="2"/>
        </w:numPr>
        <w:jc w:val="both"/>
        <w:rPr>
          <w:rFonts w:ascii="Arial" w:hAnsi="Arial" w:cs="Arial"/>
        </w:rPr>
      </w:pPr>
      <w:r w:rsidRPr="00D14682">
        <w:rPr>
          <w:rFonts w:ascii="Arial" w:hAnsi="Arial" w:cs="Arial"/>
        </w:rPr>
        <w:t>Los préstamos y anticipos aumentan un 4,3% hasta situarse en 15,0 billones de euros en el primer trimestre de 2020, frente a los 14,4 billones de euros del cuarto trimestre de 2019, impulsados ​​principalmente por préstamos y anticipos a sociedades no financieras y otras sociedades financieras</w:t>
      </w:r>
    </w:p>
    <w:p w:rsidR="00D14682" w:rsidRPr="00D14682" w:rsidRDefault="00D14682" w:rsidP="00D14682">
      <w:pPr>
        <w:jc w:val="both"/>
        <w:rPr>
          <w:rFonts w:ascii="Arial" w:hAnsi="Arial" w:cs="Arial"/>
          <w:b/>
          <w:bCs/>
        </w:rPr>
      </w:pPr>
      <w:r w:rsidRPr="00D14682">
        <w:rPr>
          <w:rFonts w:ascii="Arial" w:hAnsi="Arial" w:cs="Arial"/>
          <w:b/>
          <w:bCs/>
        </w:rPr>
        <w:t>Adecuación de capital</w:t>
      </w:r>
    </w:p>
    <w:p w:rsidR="00ED7650" w:rsidRDefault="00D14682" w:rsidP="00D14682">
      <w:pPr>
        <w:jc w:val="both"/>
        <w:rPr>
          <w:rFonts w:ascii="Arial" w:hAnsi="Arial" w:cs="Arial"/>
        </w:rPr>
      </w:pPr>
      <w:r w:rsidRPr="00D14682">
        <w:rPr>
          <w:rFonts w:ascii="Arial" w:hAnsi="Arial" w:cs="Arial"/>
        </w:rPr>
        <w:t>Los </w:t>
      </w:r>
      <w:hyperlink r:id="rId5" w:history="1">
        <w:r w:rsidRPr="00D14682">
          <w:rPr>
            <w:rStyle w:val="Hipervnculo"/>
            <w:rFonts w:ascii="Arial" w:hAnsi="Arial" w:cs="Arial"/>
          </w:rPr>
          <w:t>ratios de capital</w:t>
        </w:r>
      </w:hyperlink>
      <w:r w:rsidRPr="00D14682">
        <w:rPr>
          <w:rFonts w:ascii="Arial" w:hAnsi="Arial" w:cs="Arial"/>
        </w:rPr>
        <w:t> agregado para el grupo de entidades significativas del MUS (es decir, aquellas entidades de crédito supervisadas directamente por el BCE) descendieron ligeramente en el primer trimestre de 2020 en comparación con el trimestre anterior. El coeficiente agregado de capital ordinario de nivel 1 (CET1) se situó en el 14,43%, el coeficiente agregado de nivel 1 se situó en el 15,65% y el coeficiente de capital total agregado se situó en el 18,11%. Los coeficientes de capital CET1 agregados a nivel de país oscilaron entre el 11,85% en España y el 28,19% en Estonia. En todos los modelos de negocio de SSM, los bancos de importancia sistémica global (G-SIB) informaron el índice de capital CET1 agregado más bajo (13,32%) y los prestamistas de desarrollo / promocionales informaron el más alto (31,48%).</w:t>
      </w:r>
    </w:p>
    <w:p w:rsidR="00D14682" w:rsidRPr="00D14682" w:rsidRDefault="00D14682" w:rsidP="00D14682">
      <w:pPr>
        <w:spacing w:after="0"/>
        <w:jc w:val="both"/>
        <w:rPr>
          <w:rFonts w:ascii="Arial" w:hAnsi="Arial" w:cs="Arial"/>
          <w:b/>
          <w:bCs/>
        </w:rPr>
      </w:pPr>
      <w:r w:rsidRPr="00D14682">
        <w:rPr>
          <w:rFonts w:ascii="Arial" w:hAnsi="Arial" w:cs="Arial"/>
          <w:b/>
          <w:bCs/>
        </w:rPr>
        <w:t>Gráfico 1</w:t>
      </w:r>
    </w:p>
    <w:p w:rsidR="00D14682" w:rsidRPr="00D14682" w:rsidRDefault="00D14682" w:rsidP="00D14682">
      <w:pPr>
        <w:spacing w:after="0"/>
        <w:jc w:val="both"/>
        <w:rPr>
          <w:rFonts w:ascii="Arial" w:hAnsi="Arial" w:cs="Arial"/>
        </w:rPr>
      </w:pPr>
      <w:r w:rsidRPr="00D14682">
        <w:rPr>
          <w:rFonts w:ascii="Arial" w:hAnsi="Arial" w:cs="Arial"/>
        </w:rPr>
        <w:t>Ratio de capital total y sus componentes por período de referencia</w:t>
      </w:r>
    </w:p>
    <w:p w:rsidR="00D14682" w:rsidRDefault="0051161D" w:rsidP="00D14682">
      <w:pPr>
        <w:spacing w:after="0"/>
        <w:jc w:val="both"/>
        <w:rPr>
          <w:rFonts w:ascii="Arial" w:hAnsi="Arial" w:cs="Arial"/>
        </w:rPr>
      </w:pPr>
      <w:r>
        <w:rPr>
          <w:rFonts w:ascii="Arial" w:hAnsi="Arial" w:cs="Arial"/>
        </w:rPr>
        <w:t>_______________________________________________________________________</w:t>
      </w:r>
    </w:p>
    <w:p w:rsidR="00D14682" w:rsidRDefault="00D14682" w:rsidP="00D14682">
      <w:pPr>
        <w:spacing w:after="0"/>
        <w:jc w:val="both"/>
        <w:rPr>
          <w:rFonts w:ascii="Arial" w:hAnsi="Arial" w:cs="Arial"/>
        </w:rPr>
      </w:pPr>
      <w:r w:rsidRPr="00D14682">
        <w:rPr>
          <w:rFonts w:ascii="Arial" w:hAnsi="Arial" w:cs="Arial"/>
        </w:rPr>
        <w:t>(Miles de millones de euros; porcentajes)</w:t>
      </w:r>
    </w:p>
    <w:p w:rsidR="00D14682" w:rsidRDefault="00D14682" w:rsidP="00D14682">
      <w:pPr>
        <w:spacing w:after="0"/>
        <w:jc w:val="both"/>
        <w:rPr>
          <w:rFonts w:ascii="Arial" w:hAnsi="Arial" w:cs="Arial"/>
        </w:rPr>
      </w:pPr>
    </w:p>
    <w:p w:rsidR="00D14682" w:rsidRDefault="00D14682" w:rsidP="00D14682">
      <w:pPr>
        <w:jc w:val="both"/>
        <w:rPr>
          <w:rFonts w:ascii="Arial" w:hAnsi="Arial" w:cs="Arial"/>
        </w:rPr>
      </w:pPr>
      <w:r>
        <w:rPr>
          <w:noProof/>
          <w:lang w:eastAsia="es-MX"/>
        </w:rPr>
        <w:drawing>
          <wp:inline distT="0" distB="0" distL="0" distR="0" wp14:anchorId="28B38E62" wp14:editId="667FC212">
            <wp:extent cx="5612130" cy="2051455"/>
            <wp:effectExtent l="0" t="0" r="7620" b="6350"/>
            <wp:docPr id="2" name="Imagen 2" descr="https://www.bankingsupervision.europa.eu/press/pr/date/2020/html/pr200724/ssm.pr200724.en_img0.png?d3dd5b49dcf4ed116b619256daed5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kingsupervision.europa.eu/press/pr/date/2020/html/pr200724/ssm.pr200724.en_img0.png?d3dd5b49dcf4ed116b619256daed5ef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051455"/>
                    </a:xfrm>
                    <a:prstGeom prst="rect">
                      <a:avLst/>
                    </a:prstGeom>
                    <a:noFill/>
                    <a:ln>
                      <a:noFill/>
                    </a:ln>
                  </pic:spPr>
                </pic:pic>
              </a:graphicData>
            </a:graphic>
          </wp:inline>
        </w:drawing>
      </w:r>
    </w:p>
    <w:p w:rsidR="00D14682" w:rsidRDefault="00D14682" w:rsidP="00D14682">
      <w:pPr>
        <w:jc w:val="both"/>
        <w:rPr>
          <w:rFonts w:ascii="Arial" w:hAnsi="Arial" w:cs="Arial"/>
        </w:rPr>
      </w:pPr>
      <w:r w:rsidRPr="00D14682">
        <w:rPr>
          <w:rFonts w:ascii="Arial" w:hAnsi="Arial" w:cs="Arial"/>
        </w:rPr>
        <w:t>Fuente: BCE.</w:t>
      </w:r>
    </w:p>
    <w:p w:rsidR="00D14682" w:rsidRPr="00D14682" w:rsidRDefault="00D14682" w:rsidP="00D14682">
      <w:pPr>
        <w:spacing w:after="0"/>
        <w:jc w:val="both"/>
        <w:rPr>
          <w:rFonts w:ascii="Arial" w:hAnsi="Arial" w:cs="Arial"/>
          <w:b/>
          <w:bCs/>
        </w:rPr>
      </w:pPr>
      <w:r w:rsidRPr="00D14682">
        <w:rPr>
          <w:rFonts w:ascii="Arial" w:hAnsi="Arial" w:cs="Arial"/>
          <w:b/>
          <w:bCs/>
        </w:rPr>
        <w:lastRenderedPageBreak/>
        <w:t>Cuadro 2</w:t>
      </w:r>
    </w:p>
    <w:p w:rsidR="00D14682" w:rsidRPr="00D14682" w:rsidRDefault="00D14682" w:rsidP="00D14682">
      <w:pPr>
        <w:spacing w:after="0"/>
        <w:jc w:val="both"/>
        <w:rPr>
          <w:rFonts w:ascii="Arial" w:hAnsi="Arial" w:cs="Arial"/>
        </w:rPr>
      </w:pPr>
      <w:r w:rsidRPr="00D14682">
        <w:rPr>
          <w:rFonts w:ascii="Arial" w:hAnsi="Arial" w:cs="Arial"/>
        </w:rPr>
        <w:t>Ratios de capital por país para el primer trimestre de 2020</w:t>
      </w:r>
    </w:p>
    <w:p w:rsidR="00D14682" w:rsidRDefault="0051161D" w:rsidP="00D14682">
      <w:pPr>
        <w:spacing w:after="0"/>
        <w:jc w:val="both"/>
        <w:rPr>
          <w:rFonts w:ascii="Arial" w:hAnsi="Arial" w:cs="Arial"/>
        </w:rPr>
      </w:pPr>
      <w:r>
        <w:rPr>
          <w:rFonts w:ascii="Arial" w:hAnsi="Arial" w:cs="Arial"/>
        </w:rPr>
        <w:t>________________________________________________________________________</w:t>
      </w:r>
    </w:p>
    <w:p w:rsidR="00D14682" w:rsidRDefault="00D14682" w:rsidP="00D14682">
      <w:pPr>
        <w:spacing w:after="0"/>
        <w:jc w:val="both"/>
        <w:rPr>
          <w:rFonts w:ascii="Arial" w:hAnsi="Arial" w:cs="Arial"/>
        </w:rPr>
      </w:pPr>
      <w:r w:rsidRPr="00D14682">
        <w:rPr>
          <w:rFonts w:ascii="Arial" w:hAnsi="Arial" w:cs="Arial"/>
        </w:rPr>
        <w:t>(Porcentajes)</w:t>
      </w:r>
    </w:p>
    <w:p w:rsidR="00D14682" w:rsidRP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r>
        <w:rPr>
          <w:noProof/>
          <w:lang w:eastAsia="es-MX"/>
        </w:rPr>
        <w:drawing>
          <wp:inline distT="0" distB="0" distL="0" distR="0" wp14:anchorId="748BB2DA" wp14:editId="2CC6D32A">
            <wp:extent cx="5612130" cy="2045712"/>
            <wp:effectExtent l="0" t="0" r="7620" b="0"/>
            <wp:docPr id="4" name="Imagen 4" descr="https://www.bankingsupervision.europa.eu/press/pr/date/2020/html/pr200724/ssm.pr200724.en_img1.png?83d1dd2d27381c9631deb64d89897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nkingsupervision.europa.eu/press/pr/date/2020/html/pr200724/ssm.pr200724.en_img1.png?83d1dd2d27381c9631deb64d89897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045712"/>
                    </a:xfrm>
                    <a:prstGeom prst="rect">
                      <a:avLst/>
                    </a:prstGeom>
                    <a:noFill/>
                    <a:ln>
                      <a:noFill/>
                    </a:ln>
                  </pic:spPr>
                </pic:pic>
              </a:graphicData>
            </a:graphic>
          </wp:inline>
        </w:drawing>
      </w:r>
    </w:p>
    <w:p w:rsidR="00D14682" w:rsidRDefault="00D14682" w:rsidP="00D14682">
      <w:pPr>
        <w:spacing w:after="0"/>
        <w:jc w:val="both"/>
        <w:rPr>
          <w:rFonts w:ascii="Arial" w:hAnsi="Arial" w:cs="Arial"/>
        </w:rPr>
      </w:pPr>
      <w:r w:rsidRPr="00D14682">
        <w:rPr>
          <w:rFonts w:ascii="Arial" w:hAnsi="Arial" w:cs="Arial"/>
        </w:rPr>
        <w:t>Fuente: BCE.</w:t>
      </w:r>
    </w:p>
    <w:p w:rsidR="00D14682" w:rsidRDefault="00D14682" w:rsidP="00D14682">
      <w:pPr>
        <w:spacing w:after="0"/>
        <w:jc w:val="both"/>
        <w:rPr>
          <w:rFonts w:ascii="Arial" w:hAnsi="Arial" w:cs="Arial"/>
        </w:rPr>
      </w:pPr>
      <w:r w:rsidRPr="00D14682">
        <w:rPr>
          <w:rFonts w:ascii="Arial" w:hAnsi="Arial" w:cs="Arial"/>
        </w:rPr>
        <w:t>Nota: Algunos países que participan en la supervisión bancaria europea no están incluidos en este cuadro, ya sea por razones de confidencialidad o porque no existen instituciones significativas en el nivel más alto de consolidación en ese país.</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b/>
          <w:bCs/>
        </w:rPr>
      </w:pPr>
      <w:r w:rsidRPr="00D14682">
        <w:rPr>
          <w:rFonts w:ascii="Arial" w:hAnsi="Arial" w:cs="Arial"/>
          <w:b/>
          <w:bCs/>
        </w:rPr>
        <w:t>Gráfico 3</w:t>
      </w:r>
    </w:p>
    <w:p w:rsidR="00D14682" w:rsidRPr="00D14682" w:rsidRDefault="00D14682" w:rsidP="00D14682">
      <w:pPr>
        <w:spacing w:after="0"/>
        <w:jc w:val="both"/>
        <w:rPr>
          <w:rFonts w:ascii="Arial" w:hAnsi="Arial" w:cs="Arial"/>
        </w:rPr>
      </w:pPr>
      <w:r w:rsidRPr="00D14682">
        <w:rPr>
          <w:rFonts w:ascii="Arial" w:hAnsi="Arial" w:cs="Arial"/>
        </w:rPr>
        <w:t>Ratios de capital por modelo de negocio para el primer trimestre de 2020</w:t>
      </w:r>
    </w:p>
    <w:p w:rsidR="00D14682" w:rsidRDefault="0051161D" w:rsidP="00D14682">
      <w:pPr>
        <w:spacing w:after="0"/>
        <w:jc w:val="both"/>
        <w:rPr>
          <w:rFonts w:ascii="Arial" w:hAnsi="Arial" w:cs="Arial"/>
        </w:rPr>
      </w:pPr>
      <w:r>
        <w:rPr>
          <w:rFonts w:ascii="Arial" w:hAnsi="Arial" w:cs="Arial"/>
        </w:rPr>
        <w:t>_______________________________________________________________________</w:t>
      </w:r>
    </w:p>
    <w:p w:rsidR="00D14682" w:rsidRDefault="00D14682" w:rsidP="00D14682">
      <w:pPr>
        <w:spacing w:after="0"/>
        <w:jc w:val="both"/>
        <w:rPr>
          <w:rFonts w:ascii="Arial" w:hAnsi="Arial" w:cs="Arial"/>
        </w:rPr>
      </w:pPr>
      <w:r w:rsidRPr="00D14682">
        <w:rPr>
          <w:rFonts w:ascii="Arial" w:hAnsi="Arial" w:cs="Arial"/>
        </w:rPr>
        <w:t>(Porcentajes)</w:t>
      </w:r>
    </w:p>
    <w:p w:rsidR="00D14682" w:rsidRP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r>
        <w:rPr>
          <w:noProof/>
          <w:lang w:eastAsia="es-MX"/>
        </w:rPr>
        <w:drawing>
          <wp:inline distT="0" distB="0" distL="0" distR="0" wp14:anchorId="47CF0F6A" wp14:editId="3DD18402">
            <wp:extent cx="5612130" cy="2045712"/>
            <wp:effectExtent l="0" t="0" r="7620" b="0"/>
            <wp:docPr id="5" name="Imagen 5" descr="https://www.bankingsupervision.europa.eu/press/pr/date/2020/html/pr200724/ssm.pr200724.en_img2.png?f50ca67f27cf49bf825e98a6d8ad0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nkingsupervision.europa.eu/press/pr/date/2020/html/pr200724/ssm.pr200724.en_img2.png?f50ca67f27cf49bf825e98a6d8ad04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045712"/>
                    </a:xfrm>
                    <a:prstGeom prst="rect">
                      <a:avLst/>
                    </a:prstGeom>
                    <a:noFill/>
                    <a:ln>
                      <a:noFill/>
                    </a:ln>
                  </pic:spPr>
                </pic:pic>
              </a:graphicData>
            </a:graphic>
          </wp:inline>
        </w:drawing>
      </w:r>
    </w:p>
    <w:p w:rsidR="00D14682" w:rsidRDefault="00D14682" w:rsidP="00D14682">
      <w:pPr>
        <w:spacing w:after="0"/>
        <w:jc w:val="both"/>
        <w:rPr>
          <w:rFonts w:ascii="Arial" w:hAnsi="Arial" w:cs="Arial"/>
        </w:rPr>
      </w:pPr>
      <w:r w:rsidRPr="00D14682">
        <w:rPr>
          <w:rFonts w:ascii="Arial" w:hAnsi="Arial" w:cs="Arial"/>
        </w:rPr>
        <w:t>Fuente: BCE.</w:t>
      </w:r>
    </w:p>
    <w:p w:rsidR="00D14682" w:rsidRDefault="00D14682" w:rsidP="00D14682">
      <w:pPr>
        <w:spacing w:after="0"/>
        <w:jc w:val="both"/>
        <w:rPr>
          <w:rFonts w:ascii="Arial" w:hAnsi="Arial" w:cs="Arial"/>
        </w:rPr>
      </w:pPr>
      <w:r w:rsidRPr="00D14682">
        <w:rPr>
          <w:rFonts w:ascii="Arial" w:hAnsi="Arial" w:cs="Arial"/>
        </w:rPr>
        <w:t>Nota: “Prestamistas de desarrollo / promociones” se refiere a prestamistas de desarrollo y promocionales; “Prestamistas minoristas” se refiere a prestamistas minoristas y de crédito al consumo.</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b/>
          <w:bCs/>
        </w:rPr>
      </w:pPr>
      <w:r w:rsidRPr="00D14682">
        <w:rPr>
          <w:rFonts w:ascii="Arial" w:hAnsi="Arial" w:cs="Arial"/>
          <w:b/>
          <w:bCs/>
        </w:rPr>
        <w:lastRenderedPageBreak/>
        <w:t>Calidad de activos</w:t>
      </w:r>
    </w:p>
    <w:p w:rsidR="00D14682" w:rsidRDefault="00D14682" w:rsidP="00D14682">
      <w:pPr>
        <w:spacing w:after="0"/>
        <w:jc w:val="both"/>
        <w:rPr>
          <w:rFonts w:ascii="Arial" w:hAnsi="Arial" w:cs="Arial"/>
        </w:rPr>
      </w:pPr>
      <w:r w:rsidRPr="00D14682">
        <w:rPr>
          <w:rFonts w:ascii="Arial" w:hAnsi="Arial" w:cs="Arial"/>
        </w:rPr>
        <w:t>La </w:t>
      </w:r>
      <w:hyperlink r:id="rId9" w:history="1">
        <w:r w:rsidRPr="00D14682">
          <w:rPr>
            <w:rStyle w:val="Hipervnculo"/>
            <w:rFonts w:ascii="Arial" w:hAnsi="Arial" w:cs="Arial"/>
          </w:rPr>
          <w:t>ratio de</w:t>
        </w:r>
      </w:hyperlink>
      <w:r w:rsidRPr="00D14682">
        <w:rPr>
          <w:rFonts w:ascii="Arial" w:hAnsi="Arial" w:cs="Arial"/>
        </w:rPr>
        <w:t> morosidad agregada ( </w:t>
      </w:r>
      <w:hyperlink r:id="rId10" w:history="1">
        <w:r w:rsidRPr="00D14682">
          <w:rPr>
            <w:rStyle w:val="Hipervnculo"/>
            <w:rFonts w:ascii="Arial" w:hAnsi="Arial" w:cs="Arial"/>
          </w:rPr>
          <w:t>ratio de</w:t>
        </w:r>
      </w:hyperlink>
      <w:r w:rsidRPr="00D14682">
        <w:rPr>
          <w:rFonts w:ascii="Arial" w:hAnsi="Arial" w:cs="Arial"/>
        </w:rPr>
        <w:t> morosidad) siguió mejorando hasta situarse en el 3,05% en el primer trimestre de 2020. El stock de morosidad descendió un 0,99%, mientras que el valor contable bruto de préstamos y anticipos aumentó un 4,63%. En todos los modelos de negocio de SSM, los custodios y administradores de activos registraron el índice de morosidad agregado más bajo (0,20%) y los prestamistas diversificados registraron el más alto (7,50%).</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b/>
          <w:bCs/>
        </w:rPr>
      </w:pPr>
      <w:r w:rsidRPr="00D14682">
        <w:rPr>
          <w:rFonts w:ascii="Arial" w:hAnsi="Arial" w:cs="Arial"/>
          <w:b/>
          <w:bCs/>
        </w:rPr>
        <w:t>Gráfico 4</w:t>
      </w:r>
    </w:p>
    <w:p w:rsidR="00D14682" w:rsidRPr="00D14682" w:rsidRDefault="00D14682" w:rsidP="00D14682">
      <w:pPr>
        <w:spacing w:after="0"/>
        <w:jc w:val="both"/>
        <w:rPr>
          <w:rFonts w:ascii="Arial" w:hAnsi="Arial" w:cs="Arial"/>
        </w:rPr>
      </w:pPr>
      <w:r w:rsidRPr="00D14682">
        <w:rPr>
          <w:rFonts w:ascii="Arial" w:hAnsi="Arial" w:cs="Arial"/>
        </w:rPr>
        <w:t>Préstamos morosos por período de referencia</w:t>
      </w:r>
    </w:p>
    <w:p w:rsidR="00D14682" w:rsidRDefault="0051161D" w:rsidP="00D14682">
      <w:pPr>
        <w:spacing w:after="0"/>
        <w:jc w:val="both"/>
        <w:rPr>
          <w:rFonts w:ascii="Arial" w:hAnsi="Arial" w:cs="Arial"/>
        </w:rPr>
      </w:pPr>
      <w:r>
        <w:rPr>
          <w:rFonts w:ascii="Arial" w:hAnsi="Arial" w:cs="Arial"/>
        </w:rPr>
        <w:t>_______________________________________________________________________</w:t>
      </w:r>
    </w:p>
    <w:p w:rsidR="00D14682" w:rsidRDefault="00D14682" w:rsidP="00D14682">
      <w:pPr>
        <w:spacing w:after="0"/>
        <w:jc w:val="both"/>
        <w:rPr>
          <w:rFonts w:ascii="Arial" w:hAnsi="Arial" w:cs="Arial"/>
        </w:rPr>
      </w:pPr>
      <w:r w:rsidRPr="00D14682">
        <w:rPr>
          <w:rFonts w:ascii="Arial" w:hAnsi="Arial" w:cs="Arial"/>
        </w:rPr>
        <w:t>(Miles de millones de euros; porcentajes)</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r>
        <w:rPr>
          <w:noProof/>
          <w:lang w:eastAsia="es-MX"/>
        </w:rPr>
        <w:drawing>
          <wp:inline distT="0" distB="0" distL="0" distR="0" wp14:anchorId="02264D5E" wp14:editId="6F3A7753">
            <wp:extent cx="5612130" cy="2054764"/>
            <wp:effectExtent l="0" t="0" r="7620" b="3175"/>
            <wp:docPr id="6" name="Imagen 6" descr="https://www.bankingsupervision.europa.eu/press/pr/date/2020/html/pr200724/ssm.pr200724.en_img3.png?d2da51972d877aeef2bb2c37214b3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ankingsupervision.europa.eu/press/pr/date/2020/html/pr200724/ssm.pr200724.en_img3.png?d2da51972d877aeef2bb2c37214b38b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54764"/>
                    </a:xfrm>
                    <a:prstGeom prst="rect">
                      <a:avLst/>
                    </a:prstGeom>
                    <a:noFill/>
                    <a:ln>
                      <a:noFill/>
                    </a:ln>
                  </pic:spPr>
                </pic:pic>
              </a:graphicData>
            </a:graphic>
          </wp:inline>
        </w:drawing>
      </w:r>
    </w:p>
    <w:p w:rsidR="00D14682" w:rsidRDefault="00D14682" w:rsidP="00D14682">
      <w:pPr>
        <w:spacing w:after="0"/>
        <w:jc w:val="both"/>
        <w:rPr>
          <w:rFonts w:ascii="Arial" w:hAnsi="Arial" w:cs="Arial"/>
        </w:rPr>
      </w:pPr>
      <w:r w:rsidRPr="00D14682">
        <w:rPr>
          <w:rFonts w:ascii="Arial" w:hAnsi="Arial" w:cs="Arial"/>
        </w:rPr>
        <w:t>Fuente: BCE.</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b/>
          <w:bCs/>
        </w:rPr>
      </w:pPr>
    </w:p>
    <w:p w:rsidR="00D14682" w:rsidRPr="00D14682" w:rsidRDefault="00D14682" w:rsidP="00D14682">
      <w:pPr>
        <w:spacing w:after="0"/>
        <w:jc w:val="both"/>
        <w:rPr>
          <w:rFonts w:ascii="Arial" w:hAnsi="Arial" w:cs="Arial"/>
          <w:b/>
          <w:bCs/>
        </w:rPr>
      </w:pPr>
      <w:r w:rsidRPr="00D14682">
        <w:rPr>
          <w:rFonts w:ascii="Arial" w:hAnsi="Arial" w:cs="Arial"/>
          <w:b/>
          <w:bCs/>
        </w:rPr>
        <w:t>Gráfico 5</w:t>
      </w:r>
    </w:p>
    <w:p w:rsidR="00D14682" w:rsidRDefault="00D14682" w:rsidP="00D14682">
      <w:pPr>
        <w:spacing w:after="0"/>
        <w:jc w:val="both"/>
        <w:rPr>
          <w:rFonts w:ascii="Arial" w:hAnsi="Arial" w:cs="Arial"/>
        </w:rPr>
      </w:pPr>
      <w:r w:rsidRPr="00D14682">
        <w:rPr>
          <w:rFonts w:ascii="Arial" w:hAnsi="Arial" w:cs="Arial"/>
        </w:rPr>
        <w:t>Ratio de morosidad por país durante el primer trimestre de 2020</w:t>
      </w:r>
    </w:p>
    <w:p w:rsidR="00D14682" w:rsidRPr="00D14682" w:rsidRDefault="0051161D" w:rsidP="00D14682">
      <w:pPr>
        <w:spacing w:after="0"/>
        <w:jc w:val="both"/>
        <w:rPr>
          <w:rFonts w:ascii="Arial" w:hAnsi="Arial" w:cs="Arial"/>
        </w:rPr>
      </w:pPr>
      <w:r>
        <w:rPr>
          <w:rFonts w:ascii="Arial" w:hAnsi="Arial" w:cs="Arial"/>
        </w:rPr>
        <w:t>_______________________________________________________________________</w:t>
      </w:r>
    </w:p>
    <w:p w:rsidR="00D14682" w:rsidRPr="00D14682" w:rsidRDefault="00D14682" w:rsidP="00D14682">
      <w:pPr>
        <w:spacing w:after="0"/>
        <w:jc w:val="both"/>
        <w:rPr>
          <w:rFonts w:ascii="Arial" w:hAnsi="Arial" w:cs="Arial"/>
        </w:rPr>
      </w:pPr>
      <w:r w:rsidRPr="00D14682">
        <w:rPr>
          <w:rFonts w:ascii="Arial" w:hAnsi="Arial" w:cs="Arial"/>
        </w:rPr>
        <w:t>(Porcentajes)</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r>
        <w:rPr>
          <w:noProof/>
          <w:lang w:eastAsia="es-MX"/>
        </w:rPr>
        <w:drawing>
          <wp:inline distT="0" distB="0" distL="0" distR="0" wp14:anchorId="1AB4654E" wp14:editId="1A1E14F1">
            <wp:extent cx="5612130" cy="2054764"/>
            <wp:effectExtent l="0" t="0" r="7620" b="3175"/>
            <wp:docPr id="7" name="Imagen 7" descr="https://www.bankingsupervision.europa.eu/press/pr/date/2020/html/pr200724/ssm.pr200724.en_img4.png?96c723d0a642d8625c4452c46dbc2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nkingsupervision.europa.eu/press/pr/date/2020/html/pr200724/ssm.pr200724.en_img4.png?96c723d0a642d8625c4452c46dbc26c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54764"/>
                    </a:xfrm>
                    <a:prstGeom prst="rect">
                      <a:avLst/>
                    </a:prstGeom>
                    <a:noFill/>
                    <a:ln>
                      <a:noFill/>
                    </a:ln>
                  </pic:spPr>
                </pic:pic>
              </a:graphicData>
            </a:graphic>
          </wp:inline>
        </w:drawing>
      </w:r>
    </w:p>
    <w:p w:rsidR="00D14682" w:rsidRDefault="00D14682" w:rsidP="00D14682">
      <w:pPr>
        <w:spacing w:after="0"/>
        <w:jc w:val="both"/>
        <w:rPr>
          <w:rFonts w:ascii="Arial" w:hAnsi="Arial" w:cs="Arial"/>
        </w:rPr>
      </w:pPr>
      <w:r w:rsidRPr="00D14682">
        <w:rPr>
          <w:rFonts w:ascii="Arial" w:hAnsi="Arial" w:cs="Arial"/>
        </w:rPr>
        <w:t>Fuente: BCE.</w:t>
      </w:r>
    </w:p>
    <w:p w:rsidR="00D14682" w:rsidRDefault="00D14682" w:rsidP="00D14682">
      <w:pPr>
        <w:spacing w:after="0"/>
        <w:jc w:val="both"/>
        <w:rPr>
          <w:rFonts w:ascii="Arial" w:hAnsi="Arial" w:cs="Arial"/>
        </w:rPr>
      </w:pPr>
      <w:r w:rsidRPr="00D14682">
        <w:rPr>
          <w:rFonts w:ascii="Arial" w:hAnsi="Arial" w:cs="Arial"/>
        </w:rPr>
        <w:lastRenderedPageBreak/>
        <w:br/>
        <w:t>Nota: Algunos países que participan en la supervisión bancaria europea no están incluidos en este cuadro, ya sea por razones de confidencialidad o porque no existen instituciones significativas en el nivel más alto de consolidación en ese país.</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b/>
          <w:bCs/>
        </w:rPr>
      </w:pPr>
      <w:r w:rsidRPr="00D14682">
        <w:rPr>
          <w:rFonts w:ascii="Arial" w:hAnsi="Arial" w:cs="Arial"/>
          <w:b/>
          <w:bCs/>
        </w:rPr>
        <w:t>Gráfico 6</w:t>
      </w:r>
    </w:p>
    <w:p w:rsidR="00D14682" w:rsidRPr="00D14682" w:rsidRDefault="00D14682" w:rsidP="00D14682">
      <w:pPr>
        <w:spacing w:after="0"/>
        <w:jc w:val="both"/>
        <w:rPr>
          <w:rFonts w:ascii="Arial" w:hAnsi="Arial" w:cs="Arial"/>
        </w:rPr>
      </w:pPr>
      <w:r w:rsidRPr="00D14682">
        <w:rPr>
          <w:rFonts w:ascii="Arial" w:hAnsi="Arial" w:cs="Arial"/>
        </w:rPr>
        <w:t>Ratio de morosidad por modelo de negocio para el primer trimestre de 2020</w:t>
      </w:r>
    </w:p>
    <w:p w:rsidR="00D14682" w:rsidRDefault="0051161D" w:rsidP="00D14682">
      <w:pPr>
        <w:spacing w:after="0"/>
        <w:jc w:val="both"/>
        <w:rPr>
          <w:rFonts w:ascii="Arial" w:hAnsi="Arial" w:cs="Arial"/>
        </w:rPr>
      </w:pPr>
      <w:r>
        <w:rPr>
          <w:rFonts w:ascii="Arial" w:hAnsi="Arial" w:cs="Arial"/>
        </w:rPr>
        <w:t>_______________________________________________________________________</w:t>
      </w:r>
    </w:p>
    <w:p w:rsidR="00D14682" w:rsidRDefault="00D14682" w:rsidP="00D14682">
      <w:pPr>
        <w:spacing w:after="0"/>
        <w:jc w:val="both"/>
        <w:rPr>
          <w:rFonts w:ascii="Arial" w:hAnsi="Arial" w:cs="Arial"/>
        </w:rPr>
      </w:pPr>
      <w:r w:rsidRPr="00D14682">
        <w:rPr>
          <w:rFonts w:ascii="Arial" w:hAnsi="Arial" w:cs="Arial"/>
        </w:rPr>
        <w:t>(Porcentajes)</w:t>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r>
        <w:rPr>
          <w:noProof/>
          <w:lang w:eastAsia="es-MX"/>
        </w:rPr>
        <w:drawing>
          <wp:inline distT="0" distB="0" distL="0" distR="0" wp14:anchorId="312F47A2" wp14:editId="735BED3D">
            <wp:extent cx="5612130" cy="2054764"/>
            <wp:effectExtent l="0" t="0" r="7620" b="3175"/>
            <wp:docPr id="9" name="Imagen 9" descr="https://www.bankingsupervision.europa.eu/press/pr/date/2020/html/pr200724/ssm.pr200724.en_img5.png?5c5a627f9af855e6b4a539747efdad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ankingsupervision.europa.eu/press/pr/date/2020/html/pr200724/ssm.pr200724.en_img5.png?5c5a627f9af855e6b4a539747efdada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054764"/>
                    </a:xfrm>
                    <a:prstGeom prst="rect">
                      <a:avLst/>
                    </a:prstGeom>
                    <a:noFill/>
                    <a:ln>
                      <a:noFill/>
                    </a:ln>
                  </pic:spPr>
                </pic:pic>
              </a:graphicData>
            </a:graphic>
          </wp:inline>
        </w:drawing>
      </w:r>
    </w:p>
    <w:p w:rsidR="00D14682" w:rsidRDefault="00D14682" w:rsidP="00D14682">
      <w:pPr>
        <w:spacing w:after="0"/>
        <w:jc w:val="both"/>
        <w:rPr>
          <w:rFonts w:ascii="Arial" w:hAnsi="Arial" w:cs="Arial"/>
        </w:rPr>
      </w:pPr>
    </w:p>
    <w:p w:rsidR="00D14682" w:rsidRDefault="00D14682" w:rsidP="00D14682">
      <w:pPr>
        <w:spacing w:after="0"/>
        <w:jc w:val="both"/>
        <w:rPr>
          <w:rFonts w:ascii="Arial" w:hAnsi="Arial" w:cs="Arial"/>
        </w:rPr>
      </w:pPr>
      <w:r w:rsidRPr="00D14682">
        <w:rPr>
          <w:rFonts w:ascii="Arial" w:hAnsi="Arial" w:cs="Arial"/>
        </w:rPr>
        <w:t>Fuente: BCE.</w:t>
      </w:r>
    </w:p>
    <w:p w:rsidR="00D14682" w:rsidRDefault="00D14682" w:rsidP="00D14682">
      <w:pPr>
        <w:spacing w:after="0"/>
        <w:jc w:val="both"/>
        <w:rPr>
          <w:rFonts w:ascii="Arial" w:hAnsi="Arial" w:cs="Arial"/>
        </w:rPr>
      </w:pPr>
      <w:r w:rsidRPr="00D14682">
        <w:rPr>
          <w:rFonts w:ascii="Arial" w:hAnsi="Arial" w:cs="Arial"/>
        </w:rPr>
        <w:t>Nota: “Prestamistas de desarrollo / promociones” se refiere a prestamistas de desarrollo y promocionales; “Prestamistas minoristas” se refiere a prestamistas minoristas y de crédito al consumo.</w:t>
      </w:r>
    </w:p>
    <w:p w:rsidR="00D14682" w:rsidRP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b/>
          <w:bCs/>
        </w:rPr>
      </w:pPr>
      <w:r w:rsidRPr="00D14682">
        <w:rPr>
          <w:rFonts w:ascii="Arial" w:hAnsi="Arial" w:cs="Arial"/>
          <w:b/>
          <w:bCs/>
        </w:rPr>
        <w:t>Liquidez</w:t>
      </w:r>
    </w:p>
    <w:p w:rsidR="00D14682" w:rsidRPr="00D14682" w:rsidRDefault="00D14682" w:rsidP="00D14682">
      <w:pPr>
        <w:spacing w:after="0"/>
        <w:jc w:val="both"/>
        <w:rPr>
          <w:rFonts w:ascii="Arial" w:hAnsi="Arial" w:cs="Arial"/>
        </w:rPr>
      </w:pPr>
      <w:r w:rsidRPr="00D14682">
        <w:rPr>
          <w:rFonts w:ascii="Arial" w:hAnsi="Arial" w:cs="Arial"/>
        </w:rPr>
        <w:t>El </w:t>
      </w:r>
      <w:hyperlink r:id="rId14" w:history="1">
        <w:r w:rsidRPr="00D14682">
          <w:rPr>
            <w:rStyle w:val="Hipervnculo"/>
            <w:rFonts w:ascii="Arial" w:hAnsi="Arial" w:cs="Arial"/>
          </w:rPr>
          <w:t>índice de cobertura de liquidez</w:t>
        </w:r>
      </w:hyperlink>
      <w:r w:rsidRPr="00D14682">
        <w:rPr>
          <w:rFonts w:ascii="Arial" w:hAnsi="Arial" w:cs="Arial"/>
        </w:rPr>
        <w:t> agregada aumentó a 146,57% en el primer trimestre de 2020, frente al 145,93% del trimestre anterior. A nivel de país, las proporciones agregadas oscilaron entre el 125,65% en Grecia y el 402,18% en Malta. En todos los modelos de negocio de SSM, los G-SIB informaron el índice agregado más bajo (135,77%), mientras que los pequeños prestamistas del mercado informaron el más alto (236,66%).</w:t>
      </w:r>
    </w:p>
    <w:p w:rsid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rPr>
      </w:pPr>
    </w:p>
    <w:p w:rsidR="00D14682" w:rsidRPr="00D14682" w:rsidRDefault="00D14682" w:rsidP="00D14682">
      <w:pPr>
        <w:spacing w:after="0"/>
        <w:jc w:val="both"/>
        <w:rPr>
          <w:rFonts w:ascii="Arial" w:hAnsi="Arial" w:cs="Arial"/>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51161D" w:rsidRDefault="0051161D" w:rsidP="00D14682">
      <w:pPr>
        <w:spacing w:after="0"/>
        <w:jc w:val="both"/>
        <w:rPr>
          <w:rFonts w:ascii="Arial" w:hAnsi="Arial" w:cs="Arial"/>
          <w:b/>
          <w:bCs/>
        </w:rPr>
      </w:pPr>
    </w:p>
    <w:p w:rsidR="00D14682" w:rsidRPr="00D14682" w:rsidRDefault="00D14682" w:rsidP="00D14682">
      <w:pPr>
        <w:spacing w:after="0"/>
        <w:jc w:val="both"/>
        <w:rPr>
          <w:rFonts w:ascii="Arial" w:hAnsi="Arial" w:cs="Arial"/>
          <w:b/>
          <w:bCs/>
        </w:rPr>
      </w:pPr>
      <w:r w:rsidRPr="00D14682">
        <w:rPr>
          <w:rFonts w:ascii="Arial" w:hAnsi="Arial" w:cs="Arial"/>
          <w:b/>
          <w:bCs/>
        </w:rPr>
        <w:lastRenderedPageBreak/>
        <w:t>Gráfico 7</w:t>
      </w:r>
    </w:p>
    <w:p w:rsidR="00D14682" w:rsidRDefault="00D14682" w:rsidP="00D14682">
      <w:pPr>
        <w:spacing w:after="0"/>
        <w:jc w:val="both"/>
        <w:rPr>
          <w:rFonts w:ascii="Arial" w:hAnsi="Arial" w:cs="Arial"/>
        </w:rPr>
      </w:pPr>
      <w:r w:rsidRPr="00D14682">
        <w:rPr>
          <w:rFonts w:ascii="Arial" w:hAnsi="Arial" w:cs="Arial"/>
        </w:rPr>
        <w:t>Ratio de cobertura de liquidez por período de referencia</w:t>
      </w:r>
    </w:p>
    <w:p w:rsidR="00D14682" w:rsidRPr="00D14682" w:rsidRDefault="00D14682" w:rsidP="00D14682">
      <w:pPr>
        <w:spacing w:after="0"/>
        <w:jc w:val="both"/>
        <w:rPr>
          <w:rFonts w:ascii="Arial" w:hAnsi="Arial" w:cs="Arial"/>
        </w:rPr>
      </w:pPr>
      <w:r>
        <w:rPr>
          <w:rFonts w:ascii="Arial" w:hAnsi="Arial" w:cs="Arial"/>
        </w:rPr>
        <w:t>_________</w:t>
      </w:r>
      <w:r w:rsidR="0051161D">
        <w:rPr>
          <w:rFonts w:ascii="Arial" w:hAnsi="Arial" w:cs="Arial"/>
        </w:rPr>
        <w:t>_____________________________________________________________</w:t>
      </w:r>
      <w:r>
        <w:rPr>
          <w:rFonts w:ascii="Arial" w:hAnsi="Arial" w:cs="Arial"/>
        </w:rPr>
        <w:t>_</w:t>
      </w:r>
    </w:p>
    <w:p w:rsidR="00D14682" w:rsidRDefault="00D14682" w:rsidP="00D14682">
      <w:pPr>
        <w:spacing w:after="0"/>
        <w:jc w:val="both"/>
        <w:rPr>
          <w:rFonts w:ascii="Arial" w:hAnsi="Arial" w:cs="Arial"/>
        </w:rPr>
      </w:pPr>
      <w:r w:rsidRPr="00D14682">
        <w:rPr>
          <w:rFonts w:ascii="Arial" w:hAnsi="Arial" w:cs="Arial"/>
        </w:rPr>
        <w:t>(Miles de millones de euros; porcentajes)</w:t>
      </w:r>
    </w:p>
    <w:p w:rsidR="0051161D" w:rsidRDefault="0051161D" w:rsidP="00D14682">
      <w:pPr>
        <w:spacing w:after="0"/>
        <w:jc w:val="both"/>
        <w:rPr>
          <w:rFonts w:ascii="Arial" w:hAnsi="Arial" w:cs="Arial"/>
        </w:rPr>
      </w:pPr>
    </w:p>
    <w:p w:rsidR="00D14682" w:rsidRDefault="00D14682" w:rsidP="00D14682">
      <w:pPr>
        <w:spacing w:after="0"/>
        <w:jc w:val="both"/>
        <w:rPr>
          <w:rFonts w:ascii="Arial" w:hAnsi="Arial" w:cs="Arial"/>
        </w:rPr>
      </w:pPr>
      <w:r>
        <w:rPr>
          <w:noProof/>
          <w:lang w:eastAsia="es-MX"/>
        </w:rPr>
        <w:drawing>
          <wp:inline distT="0" distB="0" distL="0" distR="0" wp14:anchorId="4CE26FF9" wp14:editId="7551565F">
            <wp:extent cx="5612130" cy="2054764"/>
            <wp:effectExtent l="0" t="0" r="7620" b="3175"/>
            <wp:docPr id="11" name="Imagen 11" descr="https://www.bankingsupervision.europa.eu/press/pr/date/2020/html/pr200724/ssm.pr200724.en_img6.png?91b1201e5130eeaa368beaf15832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ankingsupervision.europa.eu/press/pr/date/2020/html/pr200724/ssm.pr200724.en_img6.png?91b1201e5130eeaa368beaf1583215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054764"/>
                    </a:xfrm>
                    <a:prstGeom prst="rect">
                      <a:avLst/>
                    </a:prstGeom>
                    <a:noFill/>
                    <a:ln>
                      <a:noFill/>
                    </a:ln>
                  </pic:spPr>
                </pic:pic>
              </a:graphicData>
            </a:graphic>
          </wp:inline>
        </w:drawing>
      </w:r>
    </w:p>
    <w:p w:rsidR="0051161D" w:rsidRDefault="0051161D" w:rsidP="00D14682">
      <w:pPr>
        <w:spacing w:after="0"/>
        <w:jc w:val="both"/>
        <w:rPr>
          <w:rFonts w:ascii="Arial" w:hAnsi="Arial" w:cs="Arial"/>
        </w:rPr>
      </w:pPr>
      <w:r w:rsidRPr="0051161D">
        <w:rPr>
          <w:rFonts w:ascii="Arial" w:hAnsi="Arial" w:cs="Arial"/>
        </w:rPr>
        <w:t>Fuente: BCE.</w:t>
      </w:r>
    </w:p>
    <w:p w:rsidR="0051161D" w:rsidRDefault="0051161D" w:rsidP="00D14682">
      <w:pPr>
        <w:spacing w:after="0"/>
        <w:jc w:val="both"/>
        <w:rPr>
          <w:rFonts w:ascii="Arial" w:hAnsi="Arial" w:cs="Arial"/>
        </w:rPr>
      </w:pPr>
    </w:p>
    <w:p w:rsidR="0051161D" w:rsidRDefault="0051161D" w:rsidP="00D14682">
      <w:pPr>
        <w:spacing w:after="0"/>
        <w:jc w:val="both"/>
        <w:rPr>
          <w:rFonts w:ascii="Arial" w:hAnsi="Arial" w:cs="Arial"/>
        </w:rPr>
      </w:pPr>
    </w:p>
    <w:p w:rsidR="0051161D" w:rsidRDefault="0051161D" w:rsidP="00D14682">
      <w:pPr>
        <w:spacing w:after="0"/>
        <w:jc w:val="both"/>
        <w:rPr>
          <w:rFonts w:ascii="Arial" w:hAnsi="Arial" w:cs="Arial"/>
        </w:rPr>
      </w:pPr>
    </w:p>
    <w:p w:rsidR="0051161D" w:rsidRPr="0051161D" w:rsidRDefault="0051161D" w:rsidP="0051161D">
      <w:pPr>
        <w:spacing w:after="0"/>
        <w:jc w:val="both"/>
        <w:rPr>
          <w:rFonts w:ascii="Arial" w:hAnsi="Arial" w:cs="Arial"/>
          <w:b/>
          <w:bCs/>
        </w:rPr>
      </w:pPr>
      <w:r w:rsidRPr="0051161D">
        <w:rPr>
          <w:rFonts w:ascii="Arial" w:hAnsi="Arial" w:cs="Arial"/>
          <w:b/>
          <w:bCs/>
        </w:rPr>
        <w:t>Gráfico 8</w:t>
      </w:r>
    </w:p>
    <w:p w:rsidR="0051161D" w:rsidRPr="0051161D" w:rsidRDefault="0051161D" w:rsidP="0051161D">
      <w:pPr>
        <w:spacing w:after="0"/>
        <w:jc w:val="both"/>
        <w:rPr>
          <w:rFonts w:ascii="Arial" w:hAnsi="Arial" w:cs="Arial"/>
        </w:rPr>
      </w:pPr>
      <w:r w:rsidRPr="0051161D">
        <w:rPr>
          <w:rFonts w:ascii="Arial" w:hAnsi="Arial" w:cs="Arial"/>
        </w:rPr>
        <w:t>Ratio de cobertura de liquidez por país para el primer trimestre de 2020</w:t>
      </w:r>
    </w:p>
    <w:p w:rsidR="0051161D" w:rsidRDefault="0051161D" w:rsidP="0051161D">
      <w:pPr>
        <w:spacing w:after="0"/>
        <w:jc w:val="both"/>
        <w:rPr>
          <w:rFonts w:ascii="Arial" w:hAnsi="Arial" w:cs="Arial"/>
        </w:rPr>
      </w:pPr>
      <w:r>
        <w:rPr>
          <w:rFonts w:ascii="Arial" w:hAnsi="Arial" w:cs="Arial"/>
        </w:rPr>
        <w:t>_______________________________________________________________________</w:t>
      </w:r>
    </w:p>
    <w:p w:rsidR="0051161D" w:rsidRPr="0051161D" w:rsidRDefault="0051161D" w:rsidP="0051161D">
      <w:pPr>
        <w:spacing w:after="0"/>
        <w:jc w:val="both"/>
        <w:rPr>
          <w:rFonts w:ascii="Arial" w:hAnsi="Arial" w:cs="Arial"/>
        </w:rPr>
      </w:pPr>
      <w:r w:rsidRPr="0051161D">
        <w:rPr>
          <w:rFonts w:ascii="Arial" w:hAnsi="Arial" w:cs="Arial"/>
        </w:rPr>
        <w:t>(Porcentajes)</w:t>
      </w:r>
    </w:p>
    <w:p w:rsidR="0051161D" w:rsidRPr="00D14682" w:rsidRDefault="0051161D" w:rsidP="00D14682">
      <w:pPr>
        <w:spacing w:after="0"/>
        <w:jc w:val="both"/>
        <w:rPr>
          <w:rFonts w:ascii="Arial" w:hAnsi="Arial" w:cs="Arial"/>
        </w:rPr>
      </w:pPr>
    </w:p>
    <w:p w:rsidR="00D14682" w:rsidRDefault="0051161D" w:rsidP="00D14682">
      <w:pPr>
        <w:spacing w:after="0"/>
        <w:jc w:val="both"/>
        <w:rPr>
          <w:rFonts w:ascii="Arial" w:hAnsi="Arial" w:cs="Arial"/>
        </w:rPr>
      </w:pPr>
      <w:r>
        <w:rPr>
          <w:noProof/>
          <w:lang w:eastAsia="es-MX"/>
        </w:rPr>
        <w:drawing>
          <wp:inline distT="0" distB="0" distL="0" distR="0" wp14:anchorId="60FDAB8C" wp14:editId="45889A5D">
            <wp:extent cx="5612130" cy="2045712"/>
            <wp:effectExtent l="0" t="0" r="7620" b="0"/>
            <wp:docPr id="12" name="Imagen 12" descr="https://www.bankingsupervision.europa.eu/press/pr/date/2020/html/pr200724/ssm.pr200724.en_img7.png?9ebaeb1d05686a7e8e409d223b8cd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ankingsupervision.europa.eu/press/pr/date/2020/html/pr200724/ssm.pr200724.en_img7.png?9ebaeb1d05686a7e8e409d223b8cda9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045712"/>
                    </a:xfrm>
                    <a:prstGeom prst="rect">
                      <a:avLst/>
                    </a:prstGeom>
                    <a:noFill/>
                    <a:ln>
                      <a:noFill/>
                    </a:ln>
                  </pic:spPr>
                </pic:pic>
              </a:graphicData>
            </a:graphic>
          </wp:inline>
        </w:drawing>
      </w:r>
    </w:p>
    <w:p w:rsidR="0051161D" w:rsidRDefault="0051161D" w:rsidP="00D14682">
      <w:pPr>
        <w:spacing w:after="0"/>
        <w:jc w:val="both"/>
        <w:rPr>
          <w:rFonts w:ascii="Arial" w:hAnsi="Arial" w:cs="Arial"/>
        </w:rPr>
      </w:pPr>
      <w:r w:rsidRPr="0051161D">
        <w:rPr>
          <w:rFonts w:ascii="Arial" w:hAnsi="Arial" w:cs="Arial"/>
        </w:rPr>
        <w:t>Fuente: BCE.</w:t>
      </w:r>
    </w:p>
    <w:p w:rsidR="0051161D" w:rsidRDefault="0051161D" w:rsidP="00D14682">
      <w:pPr>
        <w:spacing w:after="0"/>
        <w:jc w:val="both"/>
        <w:rPr>
          <w:rFonts w:ascii="Arial" w:hAnsi="Arial" w:cs="Arial"/>
        </w:rPr>
      </w:pPr>
      <w:r w:rsidRPr="0051161D">
        <w:rPr>
          <w:rFonts w:ascii="Arial" w:hAnsi="Arial" w:cs="Arial"/>
        </w:rPr>
        <w:t>Nota: Algunos países que participan en la supervisión bancaria europea no están incluidos en este cuadro, ya sea por razones de confidencialidad o porque no existen instituciones significativas en el nivel más alto de consolidación en ese país.</w:t>
      </w:r>
    </w:p>
    <w:p w:rsidR="0051161D" w:rsidRDefault="0051161D" w:rsidP="00D14682">
      <w:pPr>
        <w:spacing w:after="0"/>
        <w:jc w:val="both"/>
        <w:rPr>
          <w:rFonts w:ascii="Arial" w:hAnsi="Arial" w:cs="Arial"/>
        </w:rPr>
      </w:pPr>
    </w:p>
    <w:p w:rsidR="0051161D" w:rsidRDefault="0051161D" w:rsidP="00D14682">
      <w:pPr>
        <w:spacing w:after="0"/>
        <w:jc w:val="both"/>
        <w:rPr>
          <w:rFonts w:ascii="Arial" w:hAnsi="Arial" w:cs="Arial"/>
        </w:rPr>
      </w:pPr>
    </w:p>
    <w:p w:rsidR="0051161D" w:rsidRDefault="0051161D" w:rsidP="00D14682">
      <w:pPr>
        <w:spacing w:after="0"/>
        <w:jc w:val="both"/>
        <w:rPr>
          <w:rFonts w:ascii="Arial" w:hAnsi="Arial" w:cs="Arial"/>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Pr="0051161D" w:rsidRDefault="0051161D" w:rsidP="0051161D">
      <w:pPr>
        <w:spacing w:after="0"/>
        <w:jc w:val="both"/>
        <w:rPr>
          <w:rFonts w:ascii="Arial" w:hAnsi="Arial" w:cs="Arial"/>
          <w:b/>
          <w:bCs/>
        </w:rPr>
      </w:pPr>
      <w:r w:rsidRPr="0051161D">
        <w:rPr>
          <w:rFonts w:ascii="Arial" w:hAnsi="Arial" w:cs="Arial"/>
          <w:b/>
          <w:bCs/>
        </w:rPr>
        <w:lastRenderedPageBreak/>
        <w:t>Gráfico 9</w:t>
      </w:r>
    </w:p>
    <w:p w:rsidR="0051161D" w:rsidRDefault="0051161D" w:rsidP="0051161D">
      <w:pPr>
        <w:spacing w:after="0"/>
        <w:jc w:val="both"/>
        <w:rPr>
          <w:rFonts w:ascii="Arial" w:hAnsi="Arial" w:cs="Arial"/>
        </w:rPr>
      </w:pPr>
      <w:r w:rsidRPr="0051161D">
        <w:rPr>
          <w:rFonts w:ascii="Arial" w:hAnsi="Arial" w:cs="Arial"/>
        </w:rPr>
        <w:t>Ratio de cobertura de liquidez por modelo de negocio para el primer trimestre de 2020</w:t>
      </w:r>
    </w:p>
    <w:p w:rsidR="0051161D" w:rsidRPr="0051161D" w:rsidRDefault="0051161D" w:rsidP="0051161D">
      <w:pPr>
        <w:spacing w:after="0"/>
        <w:jc w:val="both"/>
        <w:rPr>
          <w:rFonts w:ascii="Arial" w:hAnsi="Arial" w:cs="Arial"/>
        </w:rPr>
      </w:pPr>
      <w:r>
        <w:rPr>
          <w:rFonts w:ascii="Arial" w:hAnsi="Arial" w:cs="Arial"/>
        </w:rPr>
        <w:t>________________________________________________________________________</w:t>
      </w:r>
    </w:p>
    <w:p w:rsidR="0051161D" w:rsidRDefault="0051161D" w:rsidP="0051161D">
      <w:pPr>
        <w:spacing w:after="0"/>
        <w:jc w:val="both"/>
        <w:rPr>
          <w:rFonts w:ascii="Arial" w:hAnsi="Arial" w:cs="Arial"/>
        </w:rPr>
      </w:pPr>
      <w:r w:rsidRPr="0051161D">
        <w:rPr>
          <w:rFonts w:ascii="Arial" w:hAnsi="Arial" w:cs="Arial"/>
        </w:rPr>
        <w:t>(Porcentajes)</w:t>
      </w:r>
    </w:p>
    <w:p w:rsidR="0051161D" w:rsidRPr="0051161D" w:rsidRDefault="0051161D" w:rsidP="0051161D">
      <w:pPr>
        <w:spacing w:after="0"/>
        <w:jc w:val="both"/>
        <w:rPr>
          <w:rFonts w:ascii="Arial" w:hAnsi="Arial" w:cs="Arial"/>
        </w:rPr>
      </w:pPr>
    </w:p>
    <w:p w:rsidR="0051161D" w:rsidRDefault="0051161D" w:rsidP="00D14682">
      <w:pPr>
        <w:spacing w:after="0"/>
        <w:jc w:val="both"/>
        <w:rPr>
          <w:rFonts w:ascii="Arial" w:hAnsi="Arial" w:cs="Arial"/>
        </w:rPr>
      </w:pPr>
      <w:r>
        <w:rPr>
          <w:noProof/>
          <w:lang w:eastAsia="es-MX"/>
        </w:rPr>
        <w:drawing>
          <wp:inline distT="0" distB="0" distL="0" distR="0" wp14:anchorId="44D77EAB" wp14:editId="18768954">
            <wp:extent cx="5612130" cy="2781306"/>
            <wp:effectExtent l="0" t="0" r="7620" b="0"/>
            <wp:docPr id="14" name="Imagen 14" descr="https://www.bankingsupervision.europa.eu/press/pr/date/2020/html/pr200724/ssm.pr200724.en_img8.png?d0dd974605087c96951a7877b5eae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ankingsupervision.europa.eu/press/pr/date/2020/html/pr200724/ssm.pr200724.en_img8.png?d0dd974605087c96951a7877b5eaeb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781306"/>
                    </a:xfrm>
                    <a:prstGeom prst="rect">
                      <a:avLst/>
                    </a:prstGeom>
                    <a:noFill/>
                    <a:ln>
                      <a:noFill/>
                    </a:ln>
                  </pic:spPr>
                </pic:pic>
              </a:graphicData>
            </a:graphic>
          </wp:inline>
        </w:drawing>
      </w:r>
    </w:p>
    <w:p w:rsidR="0051161D" w:rsidRDefault="0051161D" w:rsidP="00D14682">
      <w:pPr>
        <w:spacing w:after="0"/>
        <w:jc w:val="both"/>
        <w:rPr>
          <w:rFonts w:ascii="Arial" w:hAnsi="Arial" w:cs="Arial"/>
        </w:rPr>
      </w:pPr>
      <w:r w:rsidRPr="0051161D">
        <w:rPr>
          <w:rFonts w:ascii="Arial" w:hAnsi="Arial" w:cs="Arial"/>
        </w:rPr>
        <w:t>Fuente: BCE.</w:t>
      </w:r>
    </w:p>
    <w:p w:rsidR="0051161D" w:rsidRDefault="0051161D" w:rsidP="0051161D">
      <w:pPr>
        <w:spacing w:after="0"/>
        <w:jc w:val="both"/>
        <w:rPr>
          <w:rFonts w:ascii="Arial" w:hAnsi="Arial" w:cs="Arial"/>
        </w:rPr>
      </w:pPr>
      <w:r w:rsidRPr="0051161D">
        <w:rPr>
          <w:rFonts w:ascii="Arial" w:hAnsi="Arial" w:cs="Arial"/>
        </w:rPr>
        <w:t>Nota: "Prestamistas de desarrollo / promoción" se refiere a prestamistas de desarrollo y promocionales, "prestamistas minoristas se refiere" a prestamistas de crédito minorista y de consumo.</w:t>
      </w:r>
    </w:p>
    <w:p w:rsidR="0051161D" w:rsidRPr="00D14682" w:rsidRDefault="0051161D" w:rsidP="0051161D">
      <w:pPr>
        <w:spacing w:after="0"/>
        <w:jc w:val="both"/>
        <w:rPr>
          <w:rFonts w:ascii="Arial" w:hAnsi="Arial" w:cs="Arial"/>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r w:rsidRPr="0051161D">
        <w:rPr>
          <w:rFonts w:ascii="Arial" w:hAnsi="Arial" w:cs="Arial"/>
          <w:b/>
          <w:bCs/>
        </w:rPr>
        <w:t>Rentabilidad sobre recursos propios</w:t>
      </w:r>
    </w:p>
    <w:p w:rsidR="0051161D" w:rsidRPr="0051161D" w:rsidRDefault="0051161D" w:rsidP="0051161D">
      <w:pPr>
        <w:spacing w:after="0"/>
        <w:jc w:val="both"/>
        <w:rPr>
          <w:rFonts w:ascii="Arial" w:hAnsi="Arial" w:cs="Arial"/>
          <w:b/>
          <w:bCs/>
        </w:rPr>
      </w:pPr>
    </w:p>
    <w:p w:rsidR="0051161D" w:rsidRPr="0051161D" w:rsidRDefault="0051161D" w:rsidP="0051161D">
      <w:pPr>
        <w:spacing w:after="0"/>
        <w:jc w:val="both"/>
        <w:rPr>
          <w:rFonts w:ascii="Arial" w:hAnsi="Arial" w:cs="Arial"/>
        </w:rPr>
      </w:pPr>
      <w:r w:rsidRPr="0051161D">
        <w:rPr>
          <w:rFonts w:ascii="Arial" w:hAnsi="Arial" w:cs="Arial"/>
        </w:rPr>
        <w:t>El rendimiento anualizado </w:t>
      </w:r>
      <w:hyperlink r:id="rId18" w:history="1">
        <w:r w:rsidRPr="0051161D">
          <w:rPr>
            <w:rStyle w:val="Hipervnculo"/>
            <w:rFonts w:ascii="Arial" w:hAnsi="Arial" w:cs="Arial"/>
          </w:rPr>
          <w:t>del capital</w:t>
        </w:r>
      </w:hyperlink>
      <w:r w:rsidRPr="0051161D">
        <w:rPr>
          <w:rFonts w:ascii="Arial" w:hAnsi="Arial" w:cs="Arial"/>
        </w:rPr>
        <w:t> (</w:t>
      </w:r>
      <w:proofErr w:type="spellStart"/>
      <w:r w:rsidRPr="0051161D">
        <w:rPr>
          <w:rFonts w:ascii="Arial" w:hAnsi="Arial" w:cs="Arial"/>
        </w:rPr>
        <w:t>RoE</w:t>
      </w:r>
      <w:proofErr w:type="spellEnd"/>
      <w:r w:rsidRPr="0051161D">
        <w:rPr>
          <w:rFonts w:ascii="Arial" w:hAnsi="Arial" w:cs="Arial"/>
        </w:rPr>
        <w:t xml:space="preserve">) se redujo significativamente hasta situarse en un nivel agregado del 1,21% en el primer trimestre de 2020, frente al 5,76% del primer trimestre de 2019. La disminución de las ganancias netas agregadas se debió a un aumento de las pérdidas. </w:t>
      </w:r>
      <w:proofErr w:type="gramStart"/>
      <w:r w:rsidRPr="0051161D">
        <w:rPr>
          <w:rFonts w:ascii="Arial" w:hAnsi="Arial" w:cs="Arial"/>
        </w:rPr>
        <w:t>y</w:t>
      </w:r>
      <w:proofErr w:type="gramEnd"/>
      <w:r w:rsidRPr="0051161D">
        <w:rPr>
          <w:rFonts w:ascii="Arial" w:hAnsi="Arial" w:cs="Arial"/>
        </w:rPr>
        <w:t xml:space="preserve"> provisiones (que ascendieron a 26.730 millones de euros en el primer trimestre de 2020, frente a 10.550 millones de euros en el primer trimestre de 2019).</w:t>
      </w:r>
    </w:p>
    <w:p w:rsidR="00D14682" w:rsidRDefault="00D14682" w:rsidP="00D14682">
      <w:pPr>
        <w:spacing w:after="0"/>
        <w:jc w:val="both"/>
        <w:rPr>
          <w:rFonts w:ascii="Arial" w:hAnsi="Arial" w:cs="Arial"/>
        </w:rPr>
      </w:pPr>
    </w:p>
    <w:p w:rsidR="0051161D" w:rsidRDefault="0051161D" w:rsidP="00D14682">
      <w:pPr>
        <w:spacing w:after="0"/>
        <w:jc w:val="both"/>
        <w:rPr>
          <w:rFonts w:ascii="Arial" w:hAnsi="Arial" w:cs="Arial"/>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b/>
          <w:bCs/>
        </w:rPr>
      </w:pPr>
      <w:r w:rsidRPr="0051161D">
        <w:rPr>
          <w:rFonts w:ascii="Arial" w:hAnsi="Arial" w:cs="Arial"/>
          <w:b/>
          <w:bCs/>
        </w:rPr>
        <w:lastRenderedPageBreak/>
        <w:t>Gráfico 10</w:t>
      </w:r>
    </w:p>
    <w:p w:rsidR="0051161D" w:rsidRDefault="0051161D" w:rsidP="0051161D">
      <w:pPr>
        <w:spacing w:after="0"/>
        <w:jc w:val="both"/>
        <w:rPr>
          <w:rFonts w:ascii="Arial" w:hAnsi="Arial" w:cs="Arial"/>
        </w:rPr>
      </w:pPr>
      <w:r w:rsidRPr="0051161D">
        <w:rPr>
          <w:rFonts w:ascii="Arial" w:hAnsi="Arial" w:cs="Arial"/>
        </w:rPr>
        <w:t>Rentabilidad del capital y composición de las pérdidas y ganancias netas por período de referencia</w:t>
      </w:r>
    </w:p>
    <w:p w:rsidR="0051161D" w:rsidRPr="0051161D" w:rsidRDefault="0051161D" w:rsidP="0051161D">
      <w:pPr>
        <w:spacing w:after="0"/>
        <w:jc w:val="both"/>
        <w:rPr>
          <w:rFonts w:ascii="Arial" w:hAnsi="Arial" w:cs="Arial"/>
        </w:rPr>
      </w:pPr>
      <w:r>
        <w:rPr>
          <w:rFonts w:ascii="Arial" w:hAnsi="Arial" w:cs="Arial"/>
        </w:rPr>
        <w:t>________________________________________________________________________</w:t>
      </w:r>
    </w:p>
    <w:p w:rsidR="0051161D" w:rsidRPr="0051161D" w:rsidRDefault="0051161D" w:rsidP="0051161D">
      <w:pPr>
        <w:spacing w:after="0"/>
        <w:jc w:val="both"/>
        <w:rPr>
          <w:rFonts w:ascii="Arial" w:hAnsi="Arial" w:cs="Arial"/>
        </w:rPr>
      </w:pPr>
      <w:r w:rsidRPr="0051161D">
        <w:rPr>
          <w:rFonts w:ascii="Arial" w:hAnsi="Arial" w:cs="Arial"/>
        </w:rPr>
        <w:t>(Miles de millones de euros; porcentajes)</w:t>
      </w:r>
    </w:p>
    <w:p w:rsidR="0051161D" w:rsidRDefault="0051161D" w:rsidP="00D14682">
      <w:pPr>
        <w:spacing w:after="0"/>
        <w:jc w:val="both"/>
        <w:rPr>
          <w:rFonts w:ascii="Arial" w:hAnsi="Arial" w:cs="Arial"/>
        </w:rPr>
      </w:pPr>
    </w:p>
    <w:p w:rsidR="0051161D" w:rsidRDefault="0051161D" w:rsidP="00D14682">
      <w:pPr>
        <w:spacing w:after="0"/>
        <w:jc w:val="both"/>
        <w:rPr>
          <w:rFonts w:ascii="Arial" w:hAnsi="Arial" w:cs="Arial"/>
        </w:rPr>
      </w:pPr>
      <w:r>
        <w:rPr>
          <w:noProof/>
          <w:lang w:eastAsia="es-MX"/>
        </w:rPr>
        <w:drawing>
          <wp:inline distT="0" distB="0" distL="0" distR="0" wp14:anchorId="43C20FA9" wp14:editId="5ABA0ED6">
            <wp:extent cx="5612130" cy="2051455"/>
            <wp:effectExtent l="0" t="0" r="7620" b="6350"/>
            <wp:docPr id="15" name="Imagen 15" descr="https://www.bankingsupervision.europa.eu/press/pr/date/2020/html/pr200724/ssm.pr200724.en_img9.png?e7e8d9bae51a6c08b239de1684b4ad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ankingsupervision.europa.eu/press/pr/date/2020/html/pr200724/ssm.pr200724.en_img9.png?e7e8d9bae51a6c08b239de1684b4adf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051455"/>
                    </a:xfrm>
                    <a:prstGeom prst="rect">
                      <a:avLst/>
                    </a:prstGeom>
                    <a:noFill/>
                    <a:ln>
                      <a:noFill/>
                    </a:ln>
                  </pic:spPr>
                </pic:pic>
              </a:graphicData>
            </a:graphic>
          </wp:inline>
        </w:drawing>
      </w:r>
    </w:p>
    <w:p w:rsidR="0051161D" w:rsidRDefault="0051161D" w:rsidP="00D14682">
      <w:pPr>
        <w:spacing w:after="0"/>
        <w:jc w:val="both"/>
        <w:rPr>
          <w:rFonts w:ascii="Arial" w:hAnsi="Arial" w:cs="Arial"/>
        </w:rPr>
      </w:pPr>
      <w:r w:rsidRPr="0051161D">
        <w:rPr>
          <w:rFonts w:ascii="Arial" w:hAnsi="Arial" w:cs="Arial"/>
        </w:rPr>
        <w:t>Fuente: BCE.</w:t>
      </w:r>
    </w:p>
    <w:p w:rsidR="0051161D" w:rsidRDefault="0051161D" w:rsidP="00D14682">
      <w:pPr>
        <w:spacing w:after="0"/>
        <w:jc w:val="both"/>
        <w:rPr>
          <w:rFonts w:ascii="Arial" w:hAnsi="Arial" w:cs="Arial"/>
        </w:rPr>
      </w:pPr>
    </w:p>
    <w:p w:rsidR="0051161D" w:rsidRDefault="0051161D" w:rsidP="00D14682">
      <w:pPr>
        <w:spacing w:after="0"/>
        <w:jc w:val="both"/>
        <w:rPr>
          <w:rFonts w:ascii="Arial" w:hAnsi="Arial" w:cs="Arial"/>
        </w:rPr>
      </w:pPr>
    </w:p>
    <w:p w:rsidR="0051161D" w:rsidRDefault="0051161D" w:rsidP="0051161D">
      <w:pPr>
        <w:spacing w:after="0"/>
        <w:jc w:val="both"/>
        <w:rPr>
          <w:rFonts w:ascii="Arial" w:hAnsi="Arial" w:cs="Arial"/>
          <w:b/>
          <w:bCs/>
        </w:rPr>
      </w:pPr>
      <w:r w:rsidRPr="0051161D">
        <w:rPr>
          <w:rFonts w:ascii="Arial" w:hAnsi="Arial" w:cs="Arial"/>
          <w:b/>
          <w:bCs/>
        </w:rPr>
        <w:t>Financiamiento por sector de contraparte</w:t>
      </w:r>
    </w:p>
    <w:p w:rsidR="0051161D" w:rsidRPr="0051161D" w:rsidRDefault="0051161D" w:rsidP="0051161D">
      <w:pPr>
        <w:spacing w:after="0"/>
        <w:jc w:val="both"/>
        <w:rPr>
          <w:rFonts w:ascii="Arial" w:hAnsi="Arial" w:cs="Arial"/>
          <w:b/>
          <w:bCs/>
        </w:rPr>
      </w:pPr>
    </w:p>
    <w:p w:rsidR="0051161D" w:rsidRDefault="0051161D" w:rsidP="0051161D">
      <w:pPr>
        <w:spacing w:after="0"/>
        <w:jc w:val="both"/>
        <w:rPr>
          <w:rFonts w:ascii="Arial" w:hAnsi="Arial" w:cs="Arial"/>
        </w:rPr>
      </w:pPr>
      <w:r w:rsidRPr="0051161D">
        <w:rPr>
          <w:rFonts w:ascii="Arial" w:hAnsi="Arial" w:cs="Arial"/>
        </w:rPr>
        <w:t>Los </w:t>
      </w:r>
      <w:hyperlink r:id="rId20" w:history="1">
        <w:r w:rsidRPr="0051161D">
          <w:rPr>
            <w:rStyle w:val="Hipervnculo"/>
            <w:rFonts w:ascii="Arial" w:hAnsi="Arial" w:cs="Arial"/>
          </w:rPr>
          <w:t>préstamos y anticipos</w:t>
        </w:r>
      </w:hyperlink>
      <w:r w:rsidRPr="0051161D">
        <w:rPr>
          <w:rFonts w:ascii="Arial" w:hAnsi="Arial" w:cs="Arial"/>
        </w:rPr>
        <w:t> agregados de las entidades significativas del MUS aumentaron a 15,0 billones de euros en el primer trimestre de 2020, frente a los 14,4 billones de euros del cuarto trimestre de 2019. Esto se debió principalmente a aumentos en los préstamos y anticipos agregados a sociedades no financieras (que aumentó de 5,1 billones de euros en el cuarto trimestre de 2019 a 5,3 billones de euros en el primer trimestre de 2020) y préstamos y anticipos agregados a otras corporaciones financieras (que aumentaron de 1,3 billones de euros en el cuarto trimestre de 2019 a 1,6 billones de euros en el primer trimestre de 2020).</w:t>
      </w:r>
    </w:p>
    <w:p w:rsidR="0051161D" w:rsidRDefault="0051161D">
      <w:pPr>
        <w:rPr>
          <w:rFonts w:ascii="Arial" w:hAnsi="Arial" w:cs="Arial"/>
        </w:rPr>
      </w:pPr>
      <w:r>
        <w:rPr>
          <w:rFonts w:ascii="Arial" w:hAnsi="Arial" w:cs="Arial"/>
        </w:rPr>
        <w:br w:type="page"/>
      </w:r>
    </w:p>
    <w:p w:rsidR="0051161D" w:rsidRPr="0051161D" w:rsidRDefault="0051161D" w:rsidP="0051161D">
      <w:pPr>
        <w:spacing w:after="0"/>
        <w:jc w:val="both"/>
        <w:rPr>
          <w:rFonts w:ascii="Arial" w:hAnsi="Arial" w:cs="Arial"/>
          <w:b/>
          <w:bCs/>
        </w:rPr>
      </w:pPr>
      <w:r w:rsidRPr="0051161D">
        <w:rPr>
          <w:rFonts w:ascii="Arial" w:hAnsi="Arial" w:cs="Arial"/>
          <w:b/>
          <w:bCs/>
        </w:rPr>
        <w:lastRenderedPageBreak/>
        <w:t>Gráfico 11</w:t>
      </w:r>
    </w:p>
    <w:p w:rsidR="0051161D" w:rsidRDefault="0051161D" w:rsidP="0051161D">
      <w:pPr>
        <w:spacing w:after="0"/>
        <w:jc w:val="both"/>
        <w:rPr>
          <w:rFonts w:ascii="Arial" w:hAnsi="Arial" w:cs="Arial"/>
        </w:rPr>
      </w:pPr>
      <w:r w:rsidRPr="0051161D">
        <w:rPr>
          <w:rFonts w:ascii="Arial" w:hAnsi="Arial" w:cs="Arial"/>
        </w:rPr>
        <w:t>Proporción de préstamos y anticipos por sector de contraparte</w:t>
      </w:r>
    </w:p>
    <w:p w:rsidR="0051161D" w:rsidRPr="0051161D" w:rsidRDefault="0051161D" w:rsidP="0051161D">
      <w:pPr>
        <w:spacing w:after="0"/>
        <w:jc w:val="both"/>
        <w:rPr>
          <w:rFonts w:ascii="Arial" w:hAnsi="Arial" w:cs="Arial"/>
        </w:rPr>
      </w:pPr>
      <w:r>
        <w:rPr>
          <w:rFonts w:ascii="Arial" w:hAnsi="Arial" w:cs="Arial"/>
        </w:rPr>
        <w:t>______________________________________________________________________</w:t>
      </w:r>
    </w:p>
    <w:p w:rsidR="0051161D" w:rsidRDefault="0051161D" w:rsidP="0051161D">
      <w:pPr>
        <w:spacing w:after="0"/>
        <w:jc w:val="both"/>
        <w:rPr>
          <w:rFonts w:ascii="Arial" w:hAnsi="Arial" w:cs="Arial"/>
        </w:rPr>
      </w:pPr>
      <w:r w:rsidRPr="0051161D">
        <w:rPr>
          <w:rFonts w:ascii="Arial" w:hAnsi="Arial" w:cs="Arial"/>
        </w:rPr>
        <w:t>(Miles de millones de euros; porcentajes)</w:t>
      </w:r>
    </w:p>
    <w:p w:rsidR="0051161D" w:rsidRDefault="0051161D" w:rsidP="0051161D">
      <w:pPr>
        <w:spacing w:after="0"/>
        <w:jc w:val="both"/>
        <w:rPr>
          <w:rFonts w:ascii="Arial" w:hAnsi="Arial" w:cs="Arial"/>
        </w:rPr>
      </w:pPr>
    </w:p>
    <w:p w:rsidR="0051161D" w:rsidRDefault="0051161D" w:rsidP="0051161D">
      <w:pPr>
        <w:spacing w:after="0"/>
        <w:jc w:val="both"/>
        <w:rPr>
          <w:rFonts w:ascii="Arial" w:hAnsi="Arial" w:cs="Arial"/>
        </w:rPr>
      </w:pPr>
      <w:r>
        <w:rPr>
          <w:noProof/>
          <w:lang w:eastAsia="es-MX"/>
        </w:rPr>
        <w:drawing>
          <wp:inline distT="0" distB="0" distL="0" distR="0" wp14:anchorId="60306ED4" wp14:editId="0EC420DF">
            <wp:extent cx="5612130" cy="2141827"/>
            <wp:effectExtent l="0" t="0" r="7620" b="0"/>
            <wp:docPr id="16" name="Imagen 16" descr="https://www.bankingsupervision.europa.eu/press/pr/date/2020/html/pr200724/ssm.pr200724.en_img10.png?27f63ef50794895faaf8f2f8a9567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ankingsupervision.europa.eu/press/pr/date/2020/html/pr200724/ssm.pr200724.en_img10.png?27f63ef50794895faaf8f2f8a956720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141827"/>
                    </a:xfrm>
                    <a:prstGeom prst="rect">
                      <a:avLst/>
                    </a:prstGeom>
                    <a:noFill/>
                    <a:ln>
                      <a:noFill/>
                    </a:ln>
                  </pic:spPr>
                </pic:pic>
              </a:graphicData>
            </a:graphic>
          </wp:inline>
        </w:drawing>
      </w:r>
    </w:p>
    <w:p w:rsidR="0051161D" w:rsidRDefault="0051161D" w:rsidP="0051161D">
      <w:pPr>
        <w:spacing w:after="0"/>
        <w:jc w:val="both"/>
        <w:rPr>
          <w:rFonts w:ascii="Arial" w:hAnsi="Arial" w:cs="Arial"/>
        </w:rPr>
      </w:pPr>
      <w:r w:rsidRPr="0051161D">
        <w:rPr>
          <w:rFonts w:ascii="Arial" w:hAnsi="Arial" w:cs="Arial"/>
        </w:rPr>
        <w:t>Fuente: BCE.</w:t>
      </w:r>
    </w:p>
    <w:p w:rsidR="0051161D" w:rsidRDefault="0051161D" w:rsidP="0051161D">
      <w:pPr>
        <w:spacing w:after="0"/>
        <w:jc w:val="both"/>
        <w:rPr>
          <w:rFonts w:ascii="Arial" w:hAnsi="Arial" w:cs="Arial"/>
        </w:rPr>
      </w:pPr>
    </w:p>
    <w:p w:rsidR="0051161D" w:rsidRDefault="0051161D" w:rsidP="0051161D">
      <w:pPr>
        <w:spacing w:after="0"/>
        <w:jc w:val="both"/>
        <w:rPr>
          <w:rFonts w:ascii="Arial" w:hAnsi="Arial" w:cs="Arial"/>
          <w:b/>
          <w:bCs/>
        </w:rPr>
      </w:pPr>
      <w:r w:rsidRPr="0051161D">
        <w:rPr>
          <w:rFonts w:ascii="Arial" w:hAnsi="Arial" w:cs="Arial"/>
          <w:b/>
          <w:bCs/>
        </w:rPr>
        <w:t>Factores que afectan los cambios</w:t>
      </w:r>
    </w:p>
    <w:p w:rsidR="0051161D" w:rsidRPr="0051161D" w:rsidRDefault="0051161D" w:rsidP="0051161D">
      <w:pPr>
        <w:spacing w:after="0"/>
        <w:jc w:val="both"/>
        <w:rPr>
          <w:rFonts w:ascii="Arial" w:hAnsi="Arial" w:cs="Arial"/>
          <w:b/>
          <w:bCs/>
        </w:rPr>
      </w:pPr>
    </w:p>
    <w:p w:rsidR="0051161D" w:rsidRPr="0051161D" w:rsidRDefault="0051161D" w:rsidP="0051161D">
      <w:pPr>
        <w:spacing w:after="0"/>
        <w:jc w:val="both"/>
        <w:rPr>
          <w:rFonts w:ascii="Arial" w:hAnsi="Arial" w:cs="Arial"/>
        </w:rPr>
      </w:pPr>
      <w:r w:rsidRPr="0051161D">
        <w:rPr>
          <w:rFonts w:ascii="Arial" w:hAnsi="Arial" w:cs="Arial"/>
        </w:rPr>
        <w:t>Las estadísticas de la banca supervisora ​​se calculan agregando los datos que reportan los bancos que reportan COREP (información de adecuación de capital) y FINREP (información financiera) en el momento relevante. En consecuencia, los cambios en los montos mostrados de un trimestre a otro pueden verse influenciados por los siguientes factores:</w:t>
      </w:r>
    </w:p>
    <w:p w:rsidR="0051161D" w:rsidRPr="0051161D" w:rsidRDefault="0051161D" w:rsidP="0051161D">
      <w:pPr>
        <w:numPr>
          <w:ilvl w:val="0"/>
          <w:numId w:val="4"/>
        </w:numPr>
        <w:spacing w:after="0"/>
        <w:jc w:val="both"/>
        <w:rPr>
          <w:rFonts w:ascii="Arial" w:hAnsi="Arial" w:cs="Arial"/>
        </w:rPr>
      </w:pPr>
      <w:r w:rsidRPr="0051161D">
        <w:rPr>
          <w:rFonts w:ascii="Arial" w:hAnsi="Arial" w:cs="Arial"/>
        </w:rPr>
        <w:t>cambios en la muestra de instituciones informantes;</w:t>
      </w:r>
    </w:p>
    <w:p w:rsidR="0051161D" w:rsidRPr="0051161D" w:rsidRDefault="0051161D" w:rsidP="0051161D">
      <w:pPr>
        <w:numPr>
          <w:ilvl w:val="0"/>
          <w:numId w:val="4"/>
        </w:numPr>
        <w:spacing w:after="0"/>
        <w:jc w:val="both"/>
        <w:rPr>
          <w:rFonts w:ascii="Arial" w:hAnsi="Arial" w:cs="Arial"/>
        </w:rPr>
      </w:pPr>
      <w:r w:rsidRPr="0051161D">
        <w:rPr>
          <w:rFonts w:ascii="Arial" w:hAnsi="Arial" w:cs="Arial"/>
        </w:rPr>
        <w:t>fusiones y adquisiciones;</w:t>
      </w:r>
    </w:p>
    <w:p w:rsidR="0051161D" w:rsidRDefault="0051161D" w:rsidP="0051161D">
      <w:pPr>
        <w:numPr>
          <w:ilvl w:val="0"/>
          <w:numId w:val="4"/>
        </w:numPr>
        <w:spacing w:after="0"/>
        <w:jc w:val="both"/>
        <w:rPr>
          <w:rFonts w:ascii="Arial" w:hAnsi="Arial" w:cs="Arial"/>
        </w:rPr>
      </w:pPr>
      <w:r w:rsidRPr="0051161D">
        <w:rPr>
          <w:rFonts w:ascii="Arial" w:hAnsi="Arial" w:cs="Arial"/>
        </w:rPr>
        <w:t>reclasificaciones (por ejemplo, cambios de cartera como resultado de la reclasificación de determinados activos de una cartera contable a otra).</w:t>
      </w:r>
    </w:p>
    <w:p w:rsidR="00CB02A9" w:rsidRDefault="00CB02A9" w:rsidP="00CB02A9">
      <w:pPr>
        <w:spacing w:after="0"/>
        <w:ind w:left="720"/>
        <w:jc w:val="both"/>
        <w:rPr>
          <w:rFonts w:ascii="Arial" w:hAnsi="Arial" w:cs="Arial"/>
        </w:rPr>
      </w:pPr>
    </w:p>
    <w:p w:rsidR="00CB02A9" w:rsidRPr="0051161D" w:rsidRDefault="00CB02A9" w:rsidP="00CB02A9">
      <w:pPr>
        <w:spacing w:after="0"/>
        <w:ind w:left="720"/>
        <w:jc w:val="both"/>
        <w:rPr>
          <w:rFonts w:ascii="Arial" w:hAnsi="Arial" w:cs="Arial"/>
        </w:rPr>
      </w:pPr>
    </w:p>
    <w:p w:rsidR="0051161D" w:rsidRDefault="0051161D" w:rsidP="0051161D">
      <w:pPr>
        <w:spacing w:after="0"/>
        <w:jc w:val="both"/>
        <w:rPr>
          <w:rFonts w:ascii="Arial" w:hAnsi="Arial" w:cs="Arial"/>
          <w:b/>
          <w:bCs/>
        </w:rPr>
      </w:pPr>
    </w:p>
    <w:p w:rsidR="0051161D" w:rsidRPr="00CB02A9" w:rsidRDefault="0051161D" w:rsidP="0051161D">
      <w:pPr>
        <w:spacing w:after="0"/>
        <w:jc w:val="both"/>
        <w:rPr>
          <w:rFonts w:ascii="Arial" w:hAnsi="Arial" w:cs="Arial"/>
          <w:sz w:val="18"/>
          <w:szCs w:val="18"/>
        </w:rPr>
      </w:pPr>
      <w:r w:rsidRPr="00CB02A9">
        <w:rPr>
          <w:rFonts w:ascii="Arial" w:hAnsi="Arial" w:cs="Arial"/>
          <w:b/>
          <w:bCs/>
          <w:sz w:val="18"/>
          <w:szCs w:val="18"/>
        </w:rPr>
        <w:t>Para consultas de medios, comuníquese con </w:t>
      </w:r>
      <w:proofErr w:type="spellStart"/>
      <w:r w:rsidRPr="00CB02A9">
        <w:rPr>
          <w:rFonts w:ascii="Arial" w:hAnsi="Arial" w:cs="Arial"/>
          <w:sz w:val="18"/>
          <w:szCs w:val="18"/>
        </w:rPr>
        <w:fldChar w:fldCharType="begin"/>
      </w:r>
      <w:r w:rsidRPr="00CB02A9">
        <w:rPr>
          <w:rFonts w:ascii="Arial" w:hAnsi="Arial" w:cs="Arial"/>
          <w:sz w:val="18"/>
          <w:szCs w:val="18"/>
        </w:rPr>
        <w:instrText xml:space="preserve"> HYPERLINK "mailto:Philippe.Rispal@ecb.europa.eu" </w:instrText>
      </w:r>
      <w:r w:rsidRPr="00CB02A9">
        <w:rPr>
          <w:rFonts w:ascii="Arial" w:hAnsi="Arial" w:cs="Arial"/>
          <w:sz w:val="18"/>
          <w:szCs w:val="18"/>
        </w:rPr>
        <w:fldChar w:fldCharType="separate"/>
      </w:r>
      <w:r w:rsidRPr="00CB02A9">
        <w:rPr>
          <w:rStyle w:val="Hipervnculo"/>
          <w:rFonts w:ascii="Arial" w:hAnsi="Arial" w:cs="Arial"/>
          <w:sz w:val="18"/>
          <w:szCs w:val="18"/>
        </w:rPr>
        <w:t>Philippe</w:t>
      </w:r>
      <w:proofErr w:type="spellEnd"/>
      <w:r w:rsidRPr="00CB02A9">
        <w:rPr>
          <w:rStyle w:val="Hipervnculo"/>
          <w:rFonts w:ascii="Arial" w:hAnsi="Arial" w:cs="Arial"/>
          <w:sz w:val="18"/>
          <w:szCs w:val="18"/>
        </w:rPr>
        <w:t xml:space="preserve"> </w:t>
      </w:r>
      <w:proofErr w:type="spellStart"/>
      <w:r w:rsidRPr="00CB02A9">
        <w:rPr>
          <w:rStyle w:val="Hipervnculo"/>
          <w:rFonts w:ascii="Arial" w:hAnsi="Arial" w:cs="Arial"/>
          <w:sz w:val="18"/>
          <w:szCs w:val="18"/>
        </w:rPr>
        <w:t>Rispal</w:t>
      </w:r>
      <w:proofErr w:type="spellEnd"/>
      <w:r w:rsidRPr="00CB02A9">
        <w:rPr>
          <w:rFonts w:ascii="Arial" w:hAnsi="Arial" w:cs="Arial"/>
          <w:sz w:val="18"/>
          <w:szCs w:val="18"/>
        </w:rPr>
        <w:fldChar w:fldCharType="end"/>
      </w:r>
      <w:r w:rsidRPr="00CB02A9">
        <w:rPr>
          <w:rFonts w:ascii="Arial" w:hAnsi="Arial" w:cs="Arial"/>
          <w:b/>
          <w:bCs/>
          <w:sz w:val="18"/>
          <w:szCs w:val="18"/>
        </w:rPr>
        <w:t xml:space="preserve">, </w:t>
      </w:r>
      <w:proofErr w:type="spellStart"/>
      <w:r w:rsidRPr="00CB02A9">
        <w:rPr>
          <w:rFonts w:ascii="Arial" w:hAnsi="Arial" w:cs="Arial"/>
          <w:b/>
          <w:bCs/>
          <w:sz w:val="18"/>
          <w:szCs w:val="18"/>
        </w:rPr>
        <w:t>tel</w:t>
      </w:r>
      <w:proofErr w:type="spellEnd"/>
      <w:r w:rsidRPr="00CB02A9">
        <w:rPr>
          <w:rFonts w:ascii="Arial" w:hAnsi="Arial" w:cs="Arial"/>
          <w:b/>
          <w:bCs/>
          <w:sz w:val="18"/>
          <w:szCs w:val="18"/>
        </w:rPr>
        <w:t xml:space="preserve"> </w:t>
      </w:r>
      <w:proofErr w:type="gramStart"/>
      <w:r w:rsidRPr="00CB02A9">
        <w:rPr>
          <w:rFonts w:ascii="Arial" w:hAnsi="Arial" w:cs="Arial"/>
          <w:b/>
          <w:bCs/>
          <w:sz w:val="18"/>
          <w:szCs w:val="18"/>
        </w:rPr>
        <w:t>.:</w:t>
      </w:r>
      <w:proofErr w:type="gramEnd"/>
      <w:r w:rsidRPr="00CB02A9">
        <w:rPr>
          <w:rFonts w:ascii="Arial" w:hAnsi="Arial" w:cs="Arial"/>
          <w:b/>
          <w:bCs/>
          <w:sz w:val="18"/>
          <w:szCs w:val="18"/>
        </w:rPr>
        <w:t xml:space="preserve"> +49 69 1344 5482.</w:t>
      </w:r>
    </w:p>
    <w:p w:rsidR="0051161D" w:rsidRPr="00CB02A9" w:rsidRDefault="0051161D" w:rsidP="0051161D">
      <w:pPr>
        <w:spacing w:after="0"/>
        <w:jc w:val="both"/>
        <w:rPr>
          <w:rFonts w:ascii="Arial" w:hAnsi="Arial" w:cs="Arial"/>
          <w:sz w:val="18"/>
          <w:szCs w:val="18"/>
        </w:rPr>
      </w:pPr>
    </w:p>
    <w:p w:rsidR="0051161D" w:rsidRPr="00CB02A9" w:rsidRDefault="0051161D" w:rsidP="0051161D">
      <w:pPr>
        <w:spacing w:after="0"/>
        <w:jc w:val="both"/>
        <w:rPr>
          <w:rFonts w:ascii="Arial" w:hAnsi="Arial" w:cs="Arial"/>
          <w:b/>
          <w:bCs/>
          <w:sz w:val="18"/>
          <w:szCs w:val="18"/>
        </w:rPr>
      </w:pPr>
      <w:r w:rsidRPr="00CB02A9">
        <w:rPr>
          <w:rFonts w:ascii="Arial" w:hAnsi="Arial" w:cs="Arial"/>
          <w:b/>
          <w:bCs/>
          <w:sz w:val="18"/>
          <w:szCs w:val="18"/>
        </w:rPr>
        <w:t>Notas</w:t>
      </w:r>
    </w:p>
    <w:p w:rsidR="0051161D" w:rsidRPr="00CB02A9" w:rsidRDefault="0051161D" w:rsidP="0051161D">
      <w:pPr>
        <w:numPr>
          <w:ilvl w:val="0"/>
          <w:numId w:val="5"/>
        </w:numPr>
        <w:spacing w:after="0"/>
        <w:jc w:val="both"/>
        <w:rPr>
          <w:rFonts w:ascii="Arial" w:hAnsi="Arial" w:cs="Arial"/>
          <w:sz w:val="18"/>
          <w:szCs w:val="18"/>
        </w:rPr>
      </w:pPr>
      <w:r w:rsidRPr="00CB02A9">
        <w:rPr>
          <w:rFonts w:ascii="Arial" w:hAnsi="Arial" w:cs="Arial"/>
          <w:sz w:val="18"/>
          <w:szCs w:val="18"/>
        </w:rPr>
        <w:t>El conjunto completo de </w:t>
      </w:r>
      <w:hyperlink r:id="rId22" w:history="1">
        <w:r w:rsidRPr="00CB02A9">
          <w:rPr>
            <w:rStyle w:val="Hipervnculo"/>
            <w:rFonts w:ascii="Arial" w:hAnsi="Arial" w:cs="Arial"/>
            <w:sz w:val="18"/>
            <w:szCs w:val="18"/>
          </w:rPr>
          <w:t>estadísticas bancarias</w:t>
        </w:r>
      </w:hyperlink>
      <w:r w:rsidRPr="00CB02A9">
        <w:rPr>
          <w:rFonts w:ascii="Arial" w:hAnsi="Arial" w:cs="Arial"/>
          <w:sz w:val="18"/>
          <w:szCs w:val="18"/>
        </w:rPr>
        <w:t> de </w:t>
      </w:r>
      <w:hyperlink r:id="rId23" w:history="1">
        <w:r w:rsidRPr="00CB02A9">
          <w:rPr>
            <w:rStyle w:val="Hipervnculo"/>
            <w:rFonts w:ascii="Arial" w:hAnsi="Arial" w:cs="Arial"/>
            <w:sz w:val="18"/>
            <w:szCs w:val="18"/>
          </w:rPr>
          <w:t>supervisión</w:t>
        </w:r>
      </w:hyperlink>
      <w:r w:rsidRPr="00CB02A9">
        <w:rPr>
          <w:rFonts w:ascii="Arial" w:hAnsi="Arial" w:cs="Arial"/>
          <w:sz w:val="18"/>
          <w:szCs w:val="18"/>
        </w:rPr>
        <w:t> con indicadores de riesgo cuantitativos adicionales está disponible en el sitio web de supervisión bancaria del BCE.</w:t>
      </w:r>
    </w:p>
    <w:p w:rsidR="0051161D" w:rsidRPr="00CB02A9" w:rsidRDefault="0051161D" w:rsidP="0051161D">
      <w:pPr>
        <w:spacing w:after="0"/>
        <w:jc w:val="both"/>
        <w:rPr>
          <w:rFonts w:ascii="Arial" w:hAnsi="Arial" w:cs="Arial"/>
          <w:b/>
          <w:bCs/>
          <w:i/>
          <w:iCs/>
          <w:sz w:val="18"/>
          <w:szCs w:val="18"/>
        </w:rPr>
      </w:pPr>
      <w:r w:rsidRPr="00CB02A9">
        <w:rPr>
          <w:rFonts w:ascii="Arial" w:hAnsi="Arial" w:cs="Arial"/>
          <w:i/>
          <w:iCs/>
          <w:sz w:val="18"/>
          <w:szCs w:val="18"/>
        </w:rPr>
        <w:br/>
        <w:t>Dirección General de Comunicaciones del </w:t>
      </w:r>
      <w:r w:rsidRPr="00CB02A9">
        <w:rPr>
          <w:rFonts w:ascii="Arial" w:hAnsi="Arial" w:cs="Arial"/>
          <w:b/>
          <w:bCs/>
          <w:i/>
          <w:iCs/>
          <w:sz w:val="18"/>
          <w:szCs w:val="18"/>
        </w:rPr>
        <w:t>Banco Central Europeo</w:t>
      </w:r>
    </w:p>
    <w:p w:rsidR="0051161D" w:rsidRPr="00CB02A9" w:rsidRDefault="0051161D" w:rsidP="0051161D">
      <w:pPr>
        <w:spacing w:after="0"/>
        <w:jc w:val="both"/>
        <w:rPr>
          <w:rFonts w:ascii="Arial" w:hAnsi="Arial" w:cs="Arial"/>
          <w:i/>
          <w:iCs/>
          <w:sz w:val="18"/>
          <w:szCs w:val="18"/>
          <w:lang w:val="en-US"/>
        </w:rPr>
      </w:pPr>
      <w:proofErr w:type="spellStart"/>
      <w:r w:rsidRPr="00CB02A9">
        <w:rPr>
          <w:rFonts w:ascii="Arial" w:hAnsi="Arial" w:cs="Arial"/>
          <w:i/>
          <w:iCs/>
          <w:sz w:val="18"/>
          <w:szCs w:val="18"/>
          <w:lang w:val="en-US"/>
        </w:rPr>
        <w:t>Sonnemannstrasse</w:t>
      </w:r>
      <w:proofErr w:type="spellEnd"/>
      <w:r w:rsidRPr="00CB02A9">
        <w:rPr>
          <w:rFonts w:ascii="Arial" w:hAnsi="Arial" w:cs="Arial"/>
          <w:i/>
          <w:iCs/>
          <w:sz w:val="18"/>
          <w:szCs w:val="18"/>
          <w:lang w:val="en-US"/>
        </w:rPr>
        <w:t xml:space="preserve"> 20, 60314 Frankfurt am Main, </w:t>
      </w:r>
      <w:proofErr w:type="spellStart"/>
      <w:r w:rsidRPr="00CB02A9">
        <w:rPr>
          <w:rFonts w:ascii="Arial" w:hAnsi="Arial" w:cs="Arial"/>
          <w:i/>
          <w:iCs/>
          <w:sz w:val="18"/>
          <w:szCs w:val="18"/>
          <w:lang w:val="en-US"/>
        </w:rPr>
        <w:t>Alemania</w:t>
      </w:r>
      <w:proofErr w:type="spellEnd"/>
    </w:p>
    <w:p w:rsidR="0051161D" w:rsidRPr="00CB02A9" w:rsidRDefault="0051161D" w:rsidP="0051161D">
      <w:pPr>
        <w:spacing w:after="0"/>
        <w:jc w:val="both"/>
        <w:rPr>
          <w:rFonts w:ascii="Arial" w:hAnsi="Arial" w:cs="Arial"/>
          <w:sz w:val="18"/>
          <w:szCs w:val="18"/>
        </w:rPr>
      </w:pPr>
      <w:proofErr w:type="gramStart"/>
      <w:r w:rsidRPr="00CB02A9">
        <w:rPr>
          <w:rFonts w:ascii="Arial" w:hAnsi="Arial" w:cs="Arial"/>
          <w:i/>
          <w:iCs/>
          <w:sz w:val="18"/>
          <w:szCs w:val="18"/>
          <w:lang w:val="en-US"/>
        </w:rPr>
        <w:t>Tel .</w:t>
      </w:r>
      <w:proofErr w:type="gramEnd"/>
      <w:r w:rsidRPr="00CB02A9">
        <w:rPr>
          <w:rFonts w:ascii="Arial" w:hAnsi="Arial" w:cs="Arial"/>
          <w:i/>
          <w:iCs/>
          <w:sz w:val="18"/>
          <w:szCs w:val="18"/>
          <w:lang w:val="en-US"/>
        </w:rPr>
        <w:t xml:space="preserve">: +49 69 1344 7455, </w:t>
      </w:r>
      <w:proofErr w:type="spellStart"/>
      <w:r w:rsidRPr="00CB02A9">
        <w:rPr>
          <w:rFonts w:ascii="Arial" w:hAnsi="Arial" w:cs="Arial"/>
          <w:i/>
          <w:iCs/>
          <w:sz w:val="18"/>
          <w:szCs w:val="18"/>
          <w:lang w:val="en-US"/>
        </w:rPr>
        <w:t>correo</w:t>
      </w:r>
      <w:proofErr w:type="spellEnd"/>
      <w:r w:rsidRPr="00CB02A9">
        <w:rPr>
          <w:rFonts w:ascii="Arial" w:hAnsi="Arial" w:cs="Arial"/>
          <w:i/>
          <w:iCs/>
          <w:sz w:val="18"/>
          <w:szCs w:val="18"/>
          <w:lang w:val="en-US"/>
        </w:rPr>
        <w:t xml:space="preserve"> </w:t>
      </w:r>
      <w:proofErr w:type="spellStart"/>
      <w:r w:rsidRPr="00CB02A9">
        <w:rPr>
          <w:rFonts w:ascii="Arial" w:hAnsi="Arial" w:cs="Arial"/>
          <w:i/>
          <w:iCs/>
          <w:sz w:val="18"/>
          <w:szCs w:val="18"/>
          <w:lang w:val="en-US"/>
        </w:rPr>
        <w:t>electrónico</w:t>
      </w:r>
      <w:proofErr w:type="spellEnd"/>
      <w:r w:rsidRPr="00CB02A9">
        <w:rPr>
          <w:rFonts w:ascii="Arial" w:hAnsi="Arial" w:cs="Arial"/>
          <w:i/>
          <w:iCs/>
          <w:sz w:val="18"/>
          <w:szCs w:val="18"/>
          <w:lang w:val="en-US"/>
        </w:rPr>
        <w:t>: </w:t>
      </w:r>
      <w:hyperlink r:id="rId24" w:history="1">
        <w:r w:rsidRPr="00CB02A9">
          <w:rPr>
            <w:rStyle w:val="Hipervnculo"/>
            <w:rFonts w:ascii="Arial" w:hAnsi="Arial" w:cs="Arial"/>
            <w:i/>
            <w:iCs/>
            <w:sz w:val="18"/>
            <w:szCs w:val="18"/>
            <w:lang w:val="en-US"/>
          </w:rPr>
          <w:t>media@ecb.europa.eu</w:t>
        </w:r>
      </w:hyperlink>
    </w:p>
    <w:p w:rsidR="0051161D" w:rsidRPr="00CB02A9" w:rsidRDefault="0051161D" w:rsidP="0051161D">
      <w:pPr>
        <w:spacing w:after="0"/>
        <w:jc w:val="both"/>
        <w:rPr>
          <w:rFonts w:ascii="Arial" w:hAnsi="Arial" w:cs="Arial"/>
          <w:i/>
          <w:iCs/>
          <w:sz w:val="18"/>
          <w:szCs w:val="18"/>
        </w:rPr>
      </w:pPr>
      <w:r w:rsidRPr="00CB02A9">
        <w:rPr>
          <w:rFonts w:ascii="Arial" w:hAnsi="Arial" w:cs="Arial"/>
          <w:i/>
          <w:iCs/>
          <w:sz w:val="18"/>
          <w:szCs w:val="18"/>
        </w:rPr>
        <w:t>Sitio </w:t>
      </w:r>
      <w:hyperlink r:id="rId25" w:history="1">
        <w:r w:rsidRPr="00CB02A9">
          <w:rPr>
            <w:rStyle w:val="Hipervnculo"/>
            <w:rFonts w:ascii="Arial" w:hAnsi="Arial" w:cs="Arial"/>
            <w:i/>
            <w:iCs/>
            <w:sz w:val="18"/>
            <w:szCs w:val="18"/>
          </w:rPr>
          <w:t>web</w:t>
        </w:r>
      </w:hyperlink>
      <w:r w:rsidRPr="00CB02A9">
        <w:rPr>
          <w:rFonts w:ascii="Arial" w:hAnsi="Arial" w:cs="Arial"/>
          <w:i/>
          <w:iCs/>
          <w:sz w:val="18"/>
          <w:szCs w:val="18"/>
        </w:rPr>
        <w:t> : </w:t>
      </w:r>
      <w:hyperlink r:id="rId26" w:history="1">
        <w:r w:rsidRPr="00CB02A9">
          <w:rPr>
            <w:rStyle w:val="Hipervnculo"/>
            <w:rFonts w:ascii="Arial" w:hAnsi="Arial" w:cs="Arial"/>
            <w:i/>
            <w:iCs/>
            <w:sz w:val="18"/>
            <w:szCs w:val="18"/>
          </w:rPr>
          <w:t>www.bankingsupervision.europa.eu</w:t>
        </w:r>
      </w:hyperlink>
    </w:p>
    <w:p w:rsidR="0051161D" w:rsidRPr="00CB02A9" w:rsidRDefault="0051161D" w:rsidP="0051161D">
      <w:pPr>
        <w:spacing w:after="0"/>
        <w:jc w:val="both"/>
        <w:rPr>
          <w:rFonts w:ascii="Arial" w:hAnsi="Arial" w:cs="Arial"/>
          <w:i/>
          <w:iCs/>
          <w:sz w:val="18"/>
          <w:szCs w:val="18"/>
        </w:rPr>
      </w:pPr>
    </w:p>
    <w:p w:rsidR="0051161D" w:rsidRPr="00CB02A9" w:rsidRDefault="0051161D" w:rsidP="0051161D">
      <w:pPr>
        <w:spacing w:after="0"/>
        <w:jc w:val="both"/>
        <w:rPr>
          <w:rFonts w:ascii="Arial" w:hAnsi="Arial" w:cs="Arial"/>
          <w:i/>
          <w:iCs/>
          <w:sz w:val="18"/>
          <w:szCs w:val="18"/>
        </w:rPr>
      </w:pPr>
      <w:r w:rsidRPr="00CB02A9">
        <w:rPr>
          <w:rFonts w:ascii="Arial" w:hAnsi="Arial" w:cs="Arial"/>
          <w:i/>
          <w:iCs/>
          <w:sz w:val="18"/>
          <w:szCs w:val="18"/>
        </w:rPr>
        <w:t>Se permite la reproducción siempre que se cite la fuente.</w:t>
      </w:r>
    </w:p>
    <w:p w:rsidR="0051161D" w:rsidRDefault="0051161D" w:rsidP="0051161D">
      <w:pPr>
        <w:spacing w:after="0"/>
        <w:jc w:val="both"/>
        <w:rPr>
          <w:rFonts w:ascii="Arial" w:hAnsi="Arial" w:cs="Arial"/>
        </w:rPr>
      </w:pPr>
    </w:p>
    <w:p w:rsidR="0051161D" w:rsidRPr="0051161D" w:rsidRDefault="0051161D" w:rsidP="0051161D">
      <w:pPr>
        <w:spacing w:after="0"/>
        <w:jc w:val="both"/>
        <w:rPr>
          <w:rFonts w:ascii="Arial" w:hAnsi="Arial" w:cs="Arial"/>
        </w:rPr>
      </w:pPr>
    </w:p>
    <w:p w:rsidR="0051161D" w:rsidRDefault="0051161D" w:rsidP="00D14682">
      <w:pPr>
        <w:spacing w:after="0"/>
        <w:jc w:val="both"/>
        <w:rPr>
          <w:rFonts w:ascii="Arial" w:hAnsi="Arial" w:cs="Arial"/>
        </w:rPr>
      </w:pPr>
    </w:p>
    <w:p w:rsidR="0051161D" w:rsidRPr="00D14682" w:rsidRDefault="0051161D" w:rsidP="00D14682">
      <w:pPr>
        <w:spacing w:after="0"/>
        <w:jc w:val="both"/>
        <w:rPr>
          <w:rFonts w:ascii="Arial" w:hAnsi="Arial" w:cs="Arial"/>
        </w:rPr>
      </w:pPr>
    </w:p>
    <w:sectPr w:rsidR="0051161D" w:rsidRPr="00D146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B639D"/>
    <w:multiLevelType w:val="multilevel"/>
    <w:tmpl w:val="9BF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42E91"/>
    <w:multiLevelType w:val="multilevel"/>
    <w:tmpl w:val="5E68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56511"/>
    <w:multiLevelType w:val="multilevel"/>
    <w:tmpl w:val="EE106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50058"/>
    <w:multiLevelType w:val="multilevel"/>
    <w:tmpl w:val="C7A6C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706BB"/>
    <w:multiLevelType w:val="multilevel"/>
    <w:tmpl w:val="E13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2"/>
    <w:rsid w:val="000F4B68"/>
    <w:rsid w:val="001739B4"/>
    <w:rsid w:val="003B63A5"/>
    <w:rsid w:val="0051161D"/>
    <w:rsid w:val="00CB02A9"/>
    <w:rsid w:val="00D1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14C28-DA19-4122-A0F1-335B2390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4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0199">
      <w:bodyDiv w:val="1"/>
      <w:marLeft w:val="0"/>
      <w:marRight w:val="0"/>
      <w:marTop w:val="0"/>
      <w:marBottom w:val="0"/>
      <w:divBdr>
        <w:top w:val="none" w:sz="0" w:space="0" w:color="auto"/>
        <w:left w:val="none" w:sz="0" w:space="0" w:color="auto"/>
        <w:bottom w:val="none" w:sz="0" w:space="0" w:color="auto"/>
        <w:right w:val="none" w:sz="0" w:space="0" w:color="auto"/>
      </w:divBdr>
    </w:div>
    <w:div w:id="332950011">
      <w:bodyDiv w:val="1"/>
      <w:marLeft w:val="0"/>
      <w:marRight w:val="0"/>
      <w:marTop w:val="0"/>
      <w:marBottom w:val="0"/>
      <w:divBdr>
        <w:top w:val="none" w:sz="0" w:space="0" w:color="auto"/>
        <w:left w:val="none" w:sz="0" w:space="0" w:color="auto"/>
        <w:bottom w:val="none" w:sz="0" w:space="0" w:color="auto"/>
        <w:right w:val="none" w:sz="0" w:space="0" w:color="auto"/>
      </w:divBdr>
    </w:div>
    <w:div w:id="474489558">
      <w:bodyDiv w:val="1"/>
      <w:marLeft w:val="0"/>
      <w:marRight w:val="0"/>
      <w:marTop w:val="0"/>
      <w:marBottom w:val="0"/>
      <w:divBdr>
        <w:top w:val="none" w:sz="0" w:space="0" w:color="auto"/>
        <w:left w:val="none" w:sz="0" w:space="0" w:color="auto"/>
        <w:bottom w:val="none" w:sz="0" w:space="0" w:color="auto"/>
        <w:right w:val="none" w:sz="0" w:space="0" w:color="auto"/>
      </w:divBdr>
    </w:div>
    <w:div w:id="479467061">
      <w:bodyDiv w:val="1"/>
      <w:marLeft w:val="0"/>
      <w:marRight w:val="0"/>
      <w:marTop w:val="0"/>
      <w:marBottom w:val="0"/>
      <w:divBdr>
        <w:top w:val="none" w:sz="0" w:space="0" w:color="auto"/>
        <w:left w:val="none" w:sz="0" w:space="0" w:color="auto"/>
        <w:bottom w:val="none" w:sz="0" w:space="0" w:color="auto"/>
        <w:right w:val="none" w:sz="0" w:space="0" w:color="auto"/>
      </w:divBdr>
    </w:div>
    <w:div w:id="508250332">
      <w:bodyDiv w:val="1"/>
      <w:marLeft w:val="0"/>
      <w:marRight w:val="0"/>
      <w:marTop w:val="0"/>
      <w:marBottom w:val="0"/>
      <w:divBdr>
        <w:top w:val="none" w:sz="0" w:space="0" w:color="auto"/>
        <w:left w:val="none" w:sz="0" w:space="0" w:color="auto"/>
        <w:bottom w:val="none" w:sz="0" w:space="0" w:color="auto"/>
        <w:right w:val="none" w:sz="0" w:space="0" w:color="auto"/>
      </w:divBdr>
    </w:div>
    <w:div w:id="734593185">
      <w:bodyDiv w:val="1"/>
      <w:marLeft w:val="0"/>
      <w:marRight w:val="0"/>
      <w:marTop w:val="0"/>
      <w:marBottom w:val="0"/>
      <w:divBdr>
        <w:top w:val="none" w:sz="0" w:space="0" w:color="auto"/>
        <w:left w:val="none" w:sz="0" w:space="0" w:color="auto"/>
        <w:bottom w:val="none" w:sz="0" w:space="0" w:color="auto"/>
        <w:right w:val="none" w:sz="0" w:space="0" w:color="auto"/>
      </w:divBdr>
    </w:div>
    <w:div w:id="890921638">
      <w:bodyDiv w:val="1"/>
      <w:marLeft w:val="0"/>
      <w:marRight w:val="0"/>
      <w:marTop w:val="0"/>
      <w:marBottom w:val="0"/>
      <w:divBdr>
        <w:top w:val="none" w:sz="0" w:space="0" w:color="auto"/>
        <w:left w:val="none" w:sz="0" w:space="0" w:color="auto"/>
        <w:bottom w:val="none" w:sz="0" w:space="0" w:color="auto"/>
        <w:right w:val="none" w:sz="0" w:space="0" w:color="auto"/>
      </w:divBdr>
      <w:divsChild>
        <w:div w:id="1832868505">
          <w:marLeft w:val="0"/>
          <w:marRight w:val="0"/>
          <w:marTop w:val="525"/>
          <w:marBottom w:val="525"/>
          <w:divBdr>
            <w:top w:val="none" w:sz="0" w:space="0" w:color="auto"/>
            <w:left w:val="none" w:sz="0" w:space="0" w:color="auto"/>
            <w:bottom w:val="none" w:sz="0" w:space="0" w:color="auto"/>
            <w:right w:val="none" w:sz="0" w:space="0" w:color="auto"/>
          </w:divBdr>
        </w:div>
      </w:divsChild>
    </w:div>
    <w:div w:id="947158503">
      <w:bodyDiv w:val="1"/>
      <w:marLeft w:val="0"/>
      <w:marRight w:val="0"/>
      <w:marTop w:val="0"/>
      <w:marBottom w:val="0"/>
      <w:divBdr>
        <w:top w:val="none" w:sz="0" w:space="0" w:color="auto"/>
        <w:left w:val="none" w:sz="0" w:space="0" w:color="auto"/>
        <w:bottom w:val="none" w:sz="0" w:space="0" w:color="auto"/>
        <w:right w:val="none" w:sz="0" w:space="0" w:color="auto"/>
      </w:divBdr>
    </w:div>
    <w:div w:id="996764039">
      <w:bodyDiv w:val="1"/>
      <w:marLeft w:val="0"/>
      <w:marRight w:val="0"/>
      <w:marTop w:val="0"/>
      <w:marBottom w:val="0"/>
      <w:divBdr>
        <w:top w:val="none" w:sz="0" w:space="0" w:color="auto"/>
        <w:left w:val="none" w:sz="0" w:space="0" w:color="auto"/>
        <w:bottom w:val="none" w:sz="0" w:space="0" w:color="auto"/>
        <w:right w:val="none" w:sz="0" w:space="0" w:color="auto"/>
      </w:divBdr>
    </w:div>
    <w:div w:id="1174300129">
      <w:bodyDiv w:val="1"/>
      <w:marLeft w:val="0"/>
      <w:marRight w:val="0"/>
      <w:marTop w:val="0"/>
      <w:marBottom w:val="0"/>
      <w:divBdr>
        <w:top w:val="none" w:sz="0" w:space="0" w:color="auto"/>
        <w:left w:val="none" w:sz="0" w:space="0" w:color="auto"/>
        <w:bottom w:val="none" w:sz="0" w:space="0" w:color="auto"/>
        <w:right w:val="none" w:sz="0" w:space="0" w:color="auto"/>
      </w:divBdr>
    </w:div>
    <w:div w:id="1551460985">
      <w:bodyDiv w:val="1"/>
      <w:marLeft w:val="0"/>
      <w:marRight w:val="0"/>
      <w:marTop w:val="0"/>
      <w:marBottom w:val="0"/>
      <w:divBdr>
        <w:top w:val="none" w:sz="0" w:space="0" w:color="auto"/>
        <w:left w:val="none" w:sz="0" w:space="0" w:color="auto"/>
        <w:bottom w:val="none" w:sz="0" w:space="0" w:color="auto"/>
        <w:right w:val="none" w:sz="0" w:space="0" w:color="auto"/>
      </w:divBdr>
    </w:div>
    <w:div w:id="1567063876">
      <w:bodyDiv w:val="1"/>
      <w:marLeft w:val="0"/>
      <w:marRight w:val="0"/>
      <w:marTop w:val="0"/>
      <w:marBottom w:val="0"/>
      <w:divBdr>
        <w:top w:val="none" w:sz="0" w:space="0" w:color="auto"/>
        <w:left w:val="none" w:sz="0" w:space="0" w:color="auto"/>
        <w:bottom w:val="none" w:sz="0" w:space="0" w:color="auto"/>
        <w:right w:val="none" w:sz="0" w:space="0" w:color="auto"/>
      </w:divBdr>
    </w:div>
    <w:div w:id="1580208071">
      <w:bodyDiv w:val="1"/>
      <w:marLeft w:val="0"/>
      <w:marRight w:val="0"/>
      <w:marTop w:val="0"/>
      <w:marBottom w:val="0"/>
      <w:divBdr>
        <w:top w:val="none" w:sz="0" w:space="0" w:color="auto"/>
        <w:left w:val="none" w:sz="0" w:space="0" w:color="auto"/>
        <w:bottom w:val="none" w:sz="0" w:space="0" w:color="auto"/>
        <w:right w:val="none" w:sz="0" w:space="0" w:color="auto"/>
      </w:divBdr>
    </w:div>
    <w:div w:id="1598365583">
      <w:bodyDiv w:val="1"/>
      <w:marLeft w:val="0"/>
      <w:marRight w:val="0"/>
      <w:marTop w:val="0"/>
      <w:marBottom w:val="0"/>
      <w:divBdr>
        <w:top w:val="none" w:sz="0" w:space="0" w:color="auto"/>
        <w:left w:val="none" w:sz="0" w:space="0" w:color="auto"/>
        <w:bottom w:val="none" w:sz="0" w:space="0" w:color="auto"/>
        <w:right w:val="none" w:sz="0" w:space="0" w:color="auto"/>
      </w:divBdr>
    </w:div>
    <w:div w:id="1738086842">
      <w:bodyDiv w:val="1"/>
      <w:marLeft w:val="0"/>
      <w:marRight w:val="0"/>
      <w:marTop w:val="0"/>
      <w:marBottom w:val="0"/>
      <w:divBdr>
        <w:top w:val="none" w:sz="0" w:space="0" w:color="auto"/>
        <w:left w:val="none" w:sz="0" w:space="0" w:color="auto"/>
        <w:bottom w:val="none" w:sz="0" w:space="0" w:color="auto"/>
        <w:right w:val="none" w:sz="0" w:space="0" w:color="auto"/>
      </w:divBdr>
    </w:div>
    <w:div w:id="2033526969">
      <w:bodyDiv w:val="1"/>
      <w:marLeft w:val="0"/>
      <w:marRight w:val="0"/>
      <w:marTop w:val="0"/>
      <w:marBottom w:val="0"/>
      <w:divBdr>
        <w:top w:val="none" w:sz="0" w:space="0" w:color="auto"/>
        <w:left w:val="none" w:sz="0" w:space="0" w:color="auto"/>
        <w:bottom w:val="none" w:sz="0" w:space="0" w:color="auto"/>
        <w:right w:val="none" w:sz="0" w:space="0" w:color="auto"/>
      </w:divBdr>
      <w:divsChild>
        <w:div w:id="882906443">
          <w:marLeft w:val="0"/>
          <w:marRight w:val="0"/>
          <w:marTop w:val="390"/>
          <w:marBottom w:val="0"/>
          <w:divBdr>
            <w:top w:val="single" w:sz="6" w:space="10" w:color="DADADA"/>
            <w:left w:val="none" w:sz="0" w:space="0" w:color="auto"/>
            <w:bottom w:val="none" w:sz="0" w:space="0" w:color="auto"/>
            <w:right w:val="none" w:sz="0" w:space="0" w:color="auto"/>
          </w:divBdr>
        </w:div>
      </w:divsChild>
    </w:div>
    <w:div w:id="2035685874">
      <w:bodyDiv w:val="1"/>
      <w:marLeft w:val="0"/>
      <w:marRight w:val="0"/>
      <w:marTop w:val="0"/>
      <w:marBottom w:val="0"/>
      <w:divBdr>
        <w:top w:val="none" w:sz="0" w:space="0" w:color="auto"/>
        <w:left w:val="none" w:sz="0" w:space="0" w:color="auto"/>
        <w:bottom w:val="none" w:sz="0" w:space="0" w:color="auto"/>
        <w:right w:val="none" w:sz="0" w:space="0" w:color="auto"/>
      </w:divBdr>
    </w:div>
    <w:div w:id="20458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sdw.ecb.europa.eu/browseSelection.do?type=series&amp;q=SUP.Q.B01.W0._Z.I2003._T._Z._Z._Z._Z.PCT.C&amp;node=SEARCHRESULTS&amp;ec=&amp;oc=&amp;rc=&amp;cv=&amp;pb=&amp;dc=&amp;df=" TargetMode="External"/><Relationship Id="rId26" Type="http://schemas.openxmlformats.org/officeDocument/2006/relationships/hyperlink" Target="https://www.bankingsupervision.europa.eu/"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bankingsupervision.europa.e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sdw.ecb.europa.eu/browseSelection.do?type=series&amp;q=SUP.Q.B01.W0.%3f.A1140._T._Z._Z.ALL.LE.E.C&amp;node=SEARCHRESULTS&amp;ec=&amp;oc=&amp;rc=&amp;cv=&amp;pb=&amp;dc=&am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mailto:media@ecb.europa.eu" TargetMode="External"/><Relationship Id="rId5" Type="http://schemas.openxmlformats.org/officeDocument/2006/relationships/hyperlink" Target="https://sdw.ecb.europa.eu/browseSelection.do?type=series&amp;q=SUP.Q.B01.W0._Z.I4001._T._Z._Z._Z._Z.PCT.C%2cSUP.Q.B01.W0._Z.I4002._T._Z._Z._Z._Z.PCT.C%2cSUP.Q.B01.W0._Z.I4008._T._Z._Z._Z._Z.PCT.C&amp;node=SEARCHRESULTS&amp;ec=&amp;oc=&amp;rc=&amp;cv=&amp;pb=&amp;dc=&amp;df=" TargetMode="External"/><Relationship Id="rId15" Type="http://schemas.openxmlformats.org/officeDocument/2006/relationships/image" Target="media/image7.png"/><Relationship Id="rId23" Type="http://schemas.openxmlformats.org/officeDocument/2006/relationships/hyperlink" Target="https://www.bankingsupervision.europa.eu/banking/statistics/html/index.en.html" TargetMode="External"/><Relationship Id="rId28" Type="http://schemas.openxmlformats.org/officeDocument/2006/relationships/theme" Target="theme/theme1.xml"/><Relationship Id="rId10" Type="http://schemas.openxmlformats.org/officeDocument/2006/relationships/hyperlink" Target="https://sdw.ecb.europa.eu/browseSelection.do?type=series&amp;q=SUP.Q.B01.W0._Z.I7000._T._Z._Z._Z._Z.PCT.C&amp;node=SEARCHRESULTS&amp;ec=&amp;oc=&amp;rc=&amp;cv=&amp;pb=&amp;dc=&amp;df="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sdw.ecb.europa.eu/browseSelection.do?type=series&amp;q=SUP.Q.B01.W0._Z.I7000._T._Z._Z._Z._Z.PCT.C&amp;node=SEARCHRESULTS&amp;ec=&amp;oc=&amp;rc=&amp;cv=&amp;pb=&amp;dc=&amp;df=" TargetMode="External"/><Relationship Id="rId14" Type="http://schemas.openxmlformats.org/officeDocument/2006/relationships/hyperlink" Target="https://sdw.ecb.europa.eu/browseSelection.do?type=series&amp;q=SUP.Q.B01.W0._Z.I3017._T._Z._Z._Z._Z.PCT.C&amp;node=SEARCHRESULTS&amp;ec=&amp;oc=&amp;rc=&amp;cv=&amp;pb=&amp;dc=&amp;df=" TargetMode="External"/><Relationship Id="rId22" Type="http://schemas.openxmlformats.org/officeDocument/2006/relationships/hyperlink" Target="https://www.bankingsupervision.europa.eu/banking/statistics/html/index.en.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1537</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2021-08-03T05:12:00Z</dcterms:created>
  <dcterms:modified xsi:type="dcterms:W3CDTF">2021-08-03T05:33:00Z</dcterms:modified>
</cp:coreProperties>
</file>