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CA" w:rsidRPr="004D58CA" w:rsidRDefault="004D58CA" w:rsidP="004D58CA">
      <w:pPr>
        <w:jc w:val="both"/>
        <w:rPr>
          <w:rFonts w:ascii="Arial" w:hAnsi="Arial" w:cs="Arial"/>
          <w:b/>
          <w:bCs/>
        </w:rPr>
      </w:pPr>
      <w:bookmarkStart w:id="0" w:name="_GoBack"/>
      <w:r w:rsidRPr="004D58CA">
        <w:rPr>
          <w:rFonts w:ascii="Arial" w:hAnsi="Arial" w:cs="Arial"/>
          <w:b/>
          <w:bCs/>
        </w:rPr>
        <w:t xml:space="preserve">Discurso: El presidente de IASB pronuncia el discurso de apertura en el Simposio Anual de </w:t>
      </w:r>
      <w:proofErr w:type="spellStart"/>
      <w:r w:rsidRPr="004D58CA">
        <w:rPr>
          <w:rFonts w:ascii="Arial" w:hAnsi="Arial" w:cs="Arial"/>
          <w:b/>
          <w:bCs/>
        </w:rPr>
        <w:t>Eumedion</w:t>
      </w:r>
      <w:proofErr w:type="spellEnd"/>
      <w:r w:rsidRPr="004D58CA">
        <w:rPr>
          <w:rFonts w:ascii="Arial" w:hAnsi="Arial" w:cs="Arial"/>
          <w:b/>
          <w:bCs/>
        </w:rPr>
        <w:t>, Países Bajos</w:t>
      </w:r>
    </w:p>
    <w:bookmarkEnd w:id="0"/>
    <w:p w:rsidR="004D58CA" w:rsidRDefault="004D58CA" w:rsidP="004D58CA">
      <w:pPr>
        <w:jc w:val="both"/>
        <w:rPr>
          <w:rFonts w:ascii="Arial" w:hAnsi="Arial" w:cs="Arial"/>
          <w:b/>
          <w:bCs/>
        </w:rPr>
      </w:pPr>
    </w:p>
    <w:p w:rsidR="004D58CA" w:rsidRPr="004D58CA" w:rsidRDefault="004D58CA" w:rsidP="004D58CA">
      <w:pPr>
        <w:jc w:val="both"/>
        <w:rPr>
          <w:rFonts w:ascii="Arial" w:hAnsi="Arial" w:cs="Arial"/>
        </w:rPr>
      </w:pPr>
      <w:r w:rsidRPr="004D58CA">
        <w:rPr>
          <w:rFonts w:ascii="Arial" w:hAnsi="Arial" w:cs="Arial"/>
          <w:b/>
          <w:bCs/>
        </w:rPr>
        <w:t>Fecha:</w:t>
      </w:r>
      <w:r w:rsidRPr="004D58CA">
        <w:rPr>
          <w:rFonts w:ascii="Arial" w:hAnsi="Arial" w:cs="Arial"/>
        </w:rPr>
        <w:t> 5 de noviembre de 2019</w:t>
      </w:r>
    </w:p>
    <w:p w:rsidR="004D58CA" w:rsidRPr="004D58CA" w:rsidRDefault="004D58CA" w:rsidP="004D58CA">
      <w:pPr>
        <w:jc w:val="both"/>
        <w:rPr>
          <w:rFonts w:ascii="Arial" w:hAnsi="Arial" w:cs="Arial"/>
        </w:rPr>
      </w:pPr>
      <w:r w:rsidRPr="004D58CA">
        <w:rPr>
          <w:rFonts w:ascii="Arial" w:hAnsi="Arial" w:cs="Arial"/>
          <w:b/>
          <w:bCs/>
        </w:rPr>
        <w:t>Dónde:</w:t>
      </w:r>
      <w:proofErr w:type="gramStart"/>
      <w:r w:rsidRPr="004D58CA">
        <w:rPr>
          <w:rFonts w:ascii="Arial" w:hAnsi="Arial" w:cs="Arial"/>
        </w:rPr>
        <w:t>  Simposio</w:t>
      </w:r>
      <w:proofErr w:type="gramEnd"/>
      <w:r w:rsidRPr="004D58CA">
        <w:rPr>
          <w:rFonts w:ascii="Arial" w:hAnsi="Arial" w:cs="Arial"/>
        </w:rPr>
        <w:t xml:space="preserve"> anual de </w:t>
      </w:r>
      <w:proofErr w:type="spellStart"/>
      <w:r w:rsidRPr="004D58CA">
        <w:rPr>
          <w:rFonts w:ascii="Arial" w:hAnsi="Arial" w:cs="Arial"/>
        </w:rPr>
        <w:t>Eumedion</w:t>
      </w:r>
      <w:proofErr w:type="spellEnd"/>
      <w:r w:rsidRPr="004D58CA">
        <w:rPr>
          <w:rFonts w:ascii="Arial" w:hAnsi="Arial" w:cs="Arial"/>
        </w:rPr>
        <w:t>, Utrecht, Países Bajos</w:t>
      </w:r>
    </w:p>
    <w:p w:rsidR="004D58CA" w:rsidRDefault="004D58CA" w:rsidP="004D58CA">
      <w:pPr>
        <w:jc w:val="both"/>
        <w:rPr>
          <w:rFonts w:ascii="Arial" w:hAnsi="Arial" w:cs="Arial"/>
          <w:b/>
          <w:bCs/>
        </w:rPr>
      </w:pPr>
    </w:p>
    <w:p w:rsidR="004D58CA" w:rsidRPr="004D58CA" w:rsidRDefault="004D58CA" w:rsidP="004D58CA">
      <w:pPr>
        <w:jc w:val="both"/>
        <w:rPr>
          <w:rFonts w:ascii="Arial" w:hAnsi="Arial" w:cs="Arial"/>
          <w:b/>
          <w:bCs/>
        </w:rPr>
      </w:pPr>
      <w:r w:rsidRPr="004D58CA">
        <w:rPr>
          <w:rFonts w:ascii="Arial" w:hAnsi="Arial" w:cs="Arial"/>
          <w:b/>
          <w:bCs/>
        </w:rPr>
        <w:t>Discurso: El IASB, ¿de financiero a emisor de normas integrado?</w:t>
      </w:r>
    </w:p>
    <w:p w:rsidR="004D58CA" w:rsidRPr="004D58CA" w:rsidRDefault="004D58CA" w:rsidP="004D58CA">
      <w:pPr>
        <w:jc w:val="both"/>
        <w:rPr>
          <w:rFonts w:ascii="Arial" w:hAnsi="Arial" w:cs="Arial"/>
        </w:rPr>
      </w:pPr>
      <w:r w:rsidRPr="004D58CA">
        <w:rPr>
          <w:rFonts w:ascii="Arial" w:hAnsi="Arial" w:cs="Arial"/>
        </w:rPr>
        <w:t>Es un gran placer para mí estar aquí hablando sobre lo que puede deparar el futuro de los informes financieros.</w:t>
      </w:r>
    </w:p>
    <w:p w:rsidR="004D58CA" w:rsidRPr="004D58CA" w:rsidRDefault="004D58CA" w:rsidP="004D58CA">
      <w:pPr>
        <w:jc w:val="both"/>
        <w:rPr>
          <w:rFonts w:ascii="Arial" w:hAnsi="Arial" w:cs="Arial"/>
        </w:rPr>
      </w:pPr>
      <w:proofErr w:type="spellStart"/>
      <w:r w:rsidRPr="004D58CA">
        <w:rPr>
          <w:rFonts w:ascii="Arial" w:hAnsi="Arial" w:cs="Arial"/>
        </w:rPr>
        <w:t>Eumedion</w:t>
      </w:r>
      <w:proofErr w:type="spellEnd"/>
      <w:r w:rsidRPr="004D58CA">
        <w:rPr>
          <w:rFonts w:ascii="Arial" w:hAnsi="Arial" w:cs="Arial"/>
        </w:rPr>
        <w:t xml:space="preserve"> es uno de los principales patrocinadores del IASB y la Fundación IFRS. En Europa, a menudo se nos pide que "suavicemos los bordes más nítidos de nuestros Estándares", en aras de las inversiones a largo plazo. El deseo de ignorar la volatilidad de los valores de mercado es un tema favorito, incluso cuando se trata de acciones cotizadas.</w:t>
      </w:r>
    </w:p>
    <w:p w:rsidR="004D58CA" w:rsidRPr="004D58CA" w:rsidRDefault="004D58CA" w:rsidP="004D58CA">
      <w:pPr>
        <w:jc w:val="both"/>
        <w:rPr>
          <w:rFonts w:ascii="Arial" w:hAnsi="Arial" w:cs="Arial"/>
        </w:rPr>
      </w:pPr>
      <w:proofErr w:type="spellStart"/>
      <w:r w:rsidRPr="004D58CA">
        <w:rPr>
          <w:rFonts w:ascii="Arial" w:hAnsi="Arial" w:cs="Arial"/>
        </w:rPr>
        <w:t>Eumedion</w:t>
      </w:r>
      <w:proofErr w:type="spellEnd"/>
      <w:r w:rsidRPr="004D58CA">
        <w:rPr>
          <w:rFonts w:ascii="Arial" w:hAnsi="Arial" w:cs="Arial"/>
        </w:rPr>
        <w:t xml:space="preserve"> está formado por inversores reales a largo plazo y, como holandés, estoy muy orgulloso de lo fuertes que son nuestros inversores institucionales. El mensaje de </w:t>
      </w:r>
      <w:proofErr w:type="spellStart"/>
      <w:r w:rsidRPr="004D58CA">
        <w:rPr>
          <w:rFonts w:ascii="Arial" w:hAnsi="Arial" w:cs="Arial"/>
        </w:rPr>
        <w:t>Eumedion</w:t>
      </w:r>
      <w:proofErr w:type="spellEnd"/>
      <w:r w:rsidRPr="004D58CA">
        <w:rPr>
          <w:rFonts w:ascii="Arial" w:hAnsi="Arial" w:cs="Arial"/>
        </w:rPr>
        <w:t xml:space="preserve"> al IASB es siempre claro como el cristal: la contabilidad debe reflejar la realidad económica, incluso si esa realidad es turbulenta. Los inversores reales a largo plazo necesitan la "verdad sin adornos" para poder ajustar su estrategia a tiempo, si es necesario.</w:t>
      </w:r>
    </w:p>
    <w:p w:rsidR="004D58CA" w:rsidRPr="004D58CA" w:rsidRDefault="004D58CA" w:rsidP="004D58CA">
      <w:pPr>
        <w:jc w:val="both"/>
        <w:rPr>
          <w:rFonts w:ascii="Arial" w:hAnsi="Arial" w:cs="Arial"/>
        </w:rPr>
      </w:pPr>
      <w:r w:rsidRPr="004D58CA">
        <w:rPr>
          <w:rFonts w:ascii="Arial" w:hAnsi="Arial" w:cs="Arial"/>
        </w:rPr>
        <w:t>Y dar la 'verdad sin adornos' es la gran fortaleza de las Normas NIIF. La disciplina de nuestros Estándares garantiza que los riesgos sean claramente visibles para los inversores. Las obligaciones de arrendamiento ahora están claramente presentes en el balance; no puede sostenerse la afirmación de que la remuneración en acciones y opciones es gratuita. Por eso estoy convencido de que los estados financieros según las Normas NIIF siempre serán un ancla muy importante para los inversores.</w:t>
      </w:r>
    </w:p>
    <w:p w:rsidR="004D58CA" w:rsidRPr="004D58CA" w:rsidRDefault="004D58CA" w:rsidP="004D58CA">
      <w:pPr>
        <w:jc w:val="both"/>
        <w:rPr>
          <w:rFonts w:ascii="Arial" w:hAnsi="Arial" w:cs="Arial"/>
        </w:rPr>
      </w:pPr>
      <w:r w:rsidRPr="004D58CA">
        <w:rPr>
          <w:rFonts w:ascii="Arial" w:hAnsi="Arial" w:cs="Arial"/>
        </w:rPr>
        <w:t xml:space="preserve">Al mismo tiempo, debo reconocer que están sucediendo muchas cosas en el mundo de la información. Además de los estados financieros, se ha puesto a disposición de los inversores una gran cantidad de información adicional, a menudo más actualizada, incluso de los </w:t>
      </w:r>
      <w:proofErr w:type="spellStart"/>
      <w:r w:rsidRPr="004D58CA">
        <w:rPr>
          <w:rFonts w:ascii="Arial" w:hAnsi="Arial" w:cs="Arial"/>
        </w:rPr>
        <w:t>agregadores</w:t>
      </w:r>
      <w:proofErr w:type="spellEnd"/>
      <w:r w:rsidRPr="004D58CA">
        <w:rPr>
          <w:rFonts w:ascii="Arial" w:hAnsi="Arial" w:cs="Arial"/>
        </w:rPr>
        <w:t xml:space="preserve"> de datos. La economía del conocimiento estimula la creación de valor enorme, sin demasiadas inversiones en activos que se pueden encontrar en el balance. La popularidad de los no PCGA ha aumentado considerablemente y existe un interés creciente en informes más amplios, particularmente en el área de sostenibilidad.</w:t>
      </w:r>
    </w:p>
    <w:p w:rsidR="004D58CA" w:rsidRPr="004D58CA" w:rsidRDefault="004D58CA" w:rsidP="004D58CA">
      <w:pPr>
        <w:jc w:val="both"/>
        <w:rPr>
          <w:rFonts w:ascii="Arial" w:hAnsi="Arial" w:cs="Arial"/>
        </w:rPr>
      </w:pPr>
      <w:r w:rsidRPr="004D58CA">
        <w:rPr>
          <w:rFonts w:ascii="Arial" w:hAnsi="Arial" w:cs="Arial"/>
        </w:rPr>
        <w:t>A la luz de estos desarrollos, el IASB se pregunta constantemente cómo puede fortalecer la relevancia de las Normas NIIF en este mundo cambiante.</w:t>
      </w:r>
    </w:p>
    <w:p w:rsidR="004D58CA" w:rsidRPr="004D58CA" w:rsidRDefault="004D58CA" w:rsidP="004D58CA">
      <w:pPr>
        <w:jc w:val="both"/>
        <w:rPr>
          <w:rFonts w:ascii="Arial" w:hAnsi="Arial" w:cs="Arial"/>
        </w:rPr>
      </w:pPr>
      <w:r w:rsidRPr="004D58CA">
        <w:rPr>
          <w:rFonts w:ascii="Arial" w:hAnsi="Arial" w:cs="Arial"/>
        </w:rPr>
        <w:t>Hoy, quiero comentar dos proyectos que pretenden hacer exactamente esto. Primero, hablaré sobre el proyecto de estados financieros primarios (PFS), que busca mejorar la estructura y la eficacia de la comunicación de los estados financieros. A continuación, discutiré nuestro proyecto de Comentarios de la gerencia, que es nuestro medio más importante para vincular nuevos desarrollos, como los informes de sostenibilidad, con los informes financieros.</w:t>
      </w:r>
    </w:p>
    <w:p w:rsidR="00ED7650" w:rsidRDefault="00E71F0E" w:rsidP="004D58CA">
      <w:pPr>
        <w:jc w:val="both"/>
        <w:rPr>
          <w:rFonts w:ascii="Arial" w:hAnsi="Arial" w:cs="Arial"/>
        </w:rPr>
      </w:pPr>
    </w:p>
    <w:p w:rsidR="004D58CA" w:rsidRPr="004D58CA" w:rsidRDefault="004D58CA" w:rsidP="004D58CA">
      <w:pPr>
        <w:jc w:val="both"/>
        <w:rPr>
          <w:rFonts w:ascii="Arial" w:hAnsi="Arial" w:cs="Arial"/>
          <w:b/>
          <w:bCs/>
        </w:rPr>
      </w:pPr>
      <w:r w:rsidRPr="004D58CA">
        <w:rPr>
          <w:rFonts w:ascii="Arial" w:hAnsi="Arial" w:cs="Arial"/>
          <w:b/>
          <w:bCs/>
        </w:rPr>
        <w:lastRenderedPageBreak/>
        <w:t>Estados financieros primarios</w:t>
      </w:r>
    </w:p>
    <w:p w:rsidR="004D58CA" w:rsidRPr="004D58CA" w:rsidRDefault="004D58CA" w:rsidP="004D58CA">
      <w:pPr>
        <w:jc w:val="both"/>
        <w:rPr>
          <w:rFonts w:ascii="Arial" w:hAnsi="Arial" w:cs="Arial"/>
        </w:rPr>
      </w:pPr>
      <w:r w:rsidRPr="004D58CA">
        <w:rPr>
          <w:rFonts w:ascii="Arial" w:hAnsi="Arial" w:cs="Arial"/>
        </w:rPr>
        <w:t>El propósito del proyecto PFS es mejorar la estructura y el contenido de los estados financieros. Actualmente, el estado de resultados de las NIIF está relativamente libre de forma. Definimos ingresos, definimos ganancias o pérdidas, pero no tanto en el medio. Esta es una de las razones por las que los no GAAP se han vuelto tan populares.</w:t>
      </w:r>
    </w:p>
    <w:p w:rsidR="004D58CA" w:rsidRDefault="004D58CA" w:rsidP="004D58CA">
      <w:pPr>
        <w:jc w:val="both"/>
        <w:rPr>
          <w:rFonts w:ascii="Arial" w:hAnsi="Arial" w:cs="Arial"/>
        </w:rPr>
      </w:pPr>
      <w:r w:rsidRPr="004D58CA">
        <w:rPr>
          <w:rFonts w:ascii="Arial" w:hAnsi="Arial" w:cs="Arial"/>
        </w:rPr>
        <w:t>Entonces, ¿qué nos proponemos hacer?</w:t>
      </w:r>
    </w:p>
    <w:p w:rsidR="004D58CA" w:rsidRDefault="004D58CA" w:rsidP="004D58CA">
      <w:pPr>
        <w:jc w:val="both"/>
        <w:rPr>
          <w:rFonts w:ascii="Arial" w:hAnsi="Arial" w:cs="Arial"/>
          <w:b/>
          <w:bCs/>
        </w:rPr>
      </w:pPr>
    </w:p>
    <w:p w:rsidR="004D58CA" w:rsidRPr="004D58CA" w:rsidRDefault="004D58CA" w:rsidP="004D58CA">
      <w:pPr>
        <w:jc w:val="both"/>
        <w:rPr>
          <w:rFonts w:ascii="Arial" w:hAnsi="Arial" w:cs="Arial"/>
          <w:b/>
          <w:bCs/>
        </w:rPr>
      </w:pPr>
      <w:r w:rsidRPr="004D58CA">
        <w:rPr>
          <w:rFonts w:ascii="Arial" w:hAnsi="Arial" w:cs="Arial"/>
          <w:b/>
          <w:bCs/>
        </w:rPr>
        <w:t>Nuevos subtotales</w:t>
      </w:r>
    </w:p>
    <w:p w:rsidR="004D58CA" w:rsidRPr="004D58CA" w:rsidRDefault="004D58CA" w:rsidP="004D58CA">
      <w:pPr>
        <w:jc w:val="both"/>
        <w:rPr>
          <w:rFonts w:ascii="Arial" w:hAnsi="Arial" w:cs="Arial"/>
        </w:rPr>
      </w:pPr>
      <w:r w:rsidRPr="004D58CA">
        <w:rPr>
          <w:rFonts w:ascii="Arial" w:hAnsi="Arial" w:cs="Arial"/>
        </w:rPr>
        <w:t>Primero, definiremos una serie de subtotales en las Normas NIIF, de modo que se mejore la comparabilidad de este tipo de cifras. Por ejemplo, hemos desarrollado una definición para el subtotal más utilizado: 'Beneficio operativo'. Definiremos esta medida operativa como utilidad antes de ingresos y gastos por financiamiento, impuestos e inversiones. Muchos inversores consideran esta cifra como un reflejo razonable de las principales actividades comerciales de una empresa.</w:t>
      </w:r>
    </w:p>
    <w:p w:rsidR="004D58CA" w:rsidRDefault="004D58CA" w:rsidP="004D58CA">
      <w:pPr>
        <w:jc w:val="both"/>
        <w:rPr>
          <w:rFonts w:ascii="Arial" w:hAnsi="Arial" w:cs="Arial"/>
        </w:rPr>
      </w:pPr>
      <w:r w:rsidRPr="004D58CA">
        <w:rPr>
          <w:rFonts w:ascii="Arial" w:hAnsi="Arial" w:cs="Arial"/>
        </w:rPr>
        <w:t>Otro subtotal importante que queremos definir es lo que llamamos 'Beneficio antes de Financiamiento e Impuestos'. Este subtotal excluye ingresos y gastos de financiamiento e impuestos para facilitar la comparación del desempeño financiero de las empresas, independientemente del grado en que dependan del financiamiento mediante deuda. Las empresas con diferentes estructuras de capital se vuelven así más comparables.</w:t>
      </w:r>
    </w:p>
    <w:p w:rsidR="004D58CA" w:rsidRDefault="004D58CA" w:rsidP="004D58CA">
      <w:pPr>
        <w:jc w:val="both"/>
        <w:rPr>
          <w:rFonts w:ascii="Arial" w:hAnsi="Arial" w:cs="Arial"/>
        </w:rPr>
      </w:pPr>
    </w:p>
    <w:p w:rsidR="004D58CA" w:rsidRPr="004D58CA" w:rsidRDefault="004D58CA" w:rsidP="004D58CA">
      <w:pPr>
        <w:jc w:val="both"/>
        <w:rPr>
          <w:rFonts w:ascii="Arial" w:hAnsi="Arial" w:cs="Arial"/>
          <w:b/>
          <w:bCs/>
        </w:rPr>
      </w:pPr>
      <w:r w:rsidRPr="004D58CA">
        <w:rPr>
          <w:rFonts w:ascii="Arial" w:hAnsi="Arial" w:cs="Arial"/>
          <w:b/>
          <w:bCs/>
        </w:rPr>
        <w:t>No GAAP</w:t>
      </w:r>
    </w:p>
    <w:p w:rsidR="004D58CA" w:rsidRPr="004D58CA" w:rsidRDefault="004D58CA" w:rsidP="004D58CA">
      <w:pPr>
        <w:jc w:val="both"/>
        <w:rPr>
          <w:rFonts w:ascii="Arial" w:hAnsi="Arial" w:cs="Arial"/>
        </w:rPr>
      </w:pPr>
      <w:r w:rsidRPr="004D58CA">
        <w:rPr>
          <w:rFonts w:ascii="Arial" w:hAnsi="Arial" w:cs="Arial"/>
        </w:rPr>
        <w:t>El proyecto PFS también garantizará una mayor transparencia y disciplina en el uso de medidas que no son PCGA. Queremos obligar a las empresas a incluir sus medidas no GAAP más importantes en una sola nota en los estados financieros para que dicha información sea más fácil de encontrar para los inversores. En su forma actual, a menudo tienen que buscar esta información, tanto dentro como fuera de los estados financieros.</w:t>
      </w:r>
    </w:p>
    <w:p w:rsidR="004D58CA" w:rsidRPr="004D58CA" w:rsidRDefault="004D58CA" w:rsidP="004D58CA">
      <w:pPr>
        <w:jc w:val="both"/>
        <w:rPr>
          <w:rFonts w:ascii="Arial" w:hAnsi="Arial" w:cs="Arial"/>
        </w:rPr>
      </w:pPr>
      <w:r w:rsidRPr="004D58CA">
        <w:rPr>
          <w:rFonts w:ascii="Arial" w:hAnsi="Arial" w:cs="Arial"/>
        </w:rPr>
        <w:t>Al mismo tiempo, la divulgación de las medidas que no son PCGA en esta nota estará sujeta a medidas disciplinarias. Por ejemplo, se debe proporcionar una conciliación entre la cifra que no es PCGA y el subtotal IFRS más cercano. Esto ayudará a los inversores a comprender mejor cómo llegó la empresa a una cifra determinada. Al incluir medidas que no son PCGA en las notas a los estados financieros, también entran en el alcance de la auditoría, lo que fortalecerá aún más la disciplina.</w:t>
      </w:r>
    </w:p>
    <w:p w:rsidR="004D58CA" w:rsidRPr="004D58CA" w:rsidRDefault="004D58CA" w:rsidP="004D58CA">
      <w:pPr>
        <w:jc w:val="both"/>
        <w:rPr>
          <w:rFonts w:ascii="Arial" w:hAnsi="Arial" w:cs="Arial"/>
        </w:rPr>
      </w:pPr>
      <w:r w:rsidRPr="004D58CA">
        <w:rPr>
          <w:rFonts w:ascii="Arial" w:hAnsi="Arial" w:cs="Arial"/>
        </w:rPr>
        <w:t>Espero que el impacto de nuestras propuestas de PFS en el estado de resultados sea bastante grande. Crearán más estructura en la cuenta de resultados y mejorarán la comparabilidad, facilitando que los usuarios encuentren los componentes que necesitan para su análisis. La estructura mejorada también facilitará el consumo digital de información financiera.</w:t>
      </w:r>
    </w:p>
    <w:p w:rsidR="004D58CA" w:rsidRDefault="004D58CA" w:rsidP="004D58CA">
      <w:pPr>
        <w:jc w:val="both"/>
        <w:rPr>
          <w:rFonts w:ascii="Arial" w:hAnsi="Arial" w:cs="Arial"/>
        </w:rPr>
      </w:pPr>
      <w:r w:rsidRPr="004D58CA">
        <w:rPr>
          <w:rFonts w:ascii="Arial" w:hAnsi="Arial" w:cs="Arial"/>
        </w:rPr>
        <w:t xml:space="preserve">El hecho de que las Normas NIIF definan subtotales, combinado con la mayor disciplina en torno a los no PCGA, probablemente reducirá el uso de medidas de ganancias autodefinidas. Creo que esto es pura ganancia para el inversor, que ahora tiene que </w:t>
      </w:r>
      <w:r w:rsidRPr="004D58CA">
        <w:rPr>
          <w:rFonts w:ascii="Arial" w:hAnsi="Arial" w:cs="Arial"/>
        </w:rPr>
        <w:lastRenderedPageBreak/>
        <w:t>encontrar su propio camino en la confusión actual de medidas de desempeño autodefinidas. En general, espero que las propuestas de PFS promuevan la relevancia de los informes financieros tradicionales.</w:t>
      </w:r>
    </w:p>
    <w:p w:rsidR="004D58CA" w:rsidRDefault="004D58CA" w:rsidP="004D58CA">
      <w:pPr>
        <w:jc w:val="both"/>
        <w:rPr>
          <w:rFonts w:ascii="Arial" w:hAnsi="Arial" w:cs="Arial"/>
        </w:rPr>
      </w:pPr>
    </w:p>
    <w:p w:rsidR="004D58CA" w:rsidRPr="004D58CA" w:rsidRDefault="004D58CA" w:rsidP="004D58CA">
      <w:pPr>
        <w:jc w:val="both"/>
        <w:rPr>
          <w:rFonts w:ascii="Arial" w:hAnsi="Arial" w:cs="Arial"/>
          <w:b/>
          <w:bCs/>
        </w:rPr>
      </w:pPr>
      <w:r w:rsidRPr="004D58CA">
        <w:rPr>
          <w:rFonts w:ascii="Arial" w:hAnsi="Arial" w:cs="Arial"/>
          <w:b/>
          <w:bCs/>
        </w:rPr>
        <w:t>Comentarios de la gerencia e informes de sostenibilidad</w:t>
      </w:r>
    </w:p>
    <w:p w:rsidR="004D58CA" w:rsidRPr="004D58CA" w:rsidRDefault="004D58CA" w:rsidP="004D58CA">
      <w:pPr>
        <w:jc w:val="both"/>
        <w:rPr>
          <w:rFonts w:ascii="Arial" w:hAnsi="Arial" w:cs="Arial"/>
        </w:rPr>
      </w:pPr>
      <w:r w:rsidRPr="004D58CA">
        <w:rPr>
          <w:rFonts w:ascii="Arial" w:hAnsi="Arial" w:cs="Arial"/>
        </w:rPr>
        <w:t>Además del campo de la información financiera tradicional, con el tiempo se ha desarrollado una gama de iniciativas de información más amplias. Es un área donde hay mucha confusión y que es difícil de plasmar en una definición o nombre claro.</w:t>
      </w:r>
    </w:p>
    <w:p w:rsidR="004D58CA" w:rsidRPr="004D58CA" w:rsidRDefault="004D58CA" w:rsidP="004D58CA">
      <w:pPr>
        <w:jc w:val="both"/>
        <w:rPr>
          <w:rFonts w:ascii="Arial" w:hAnsi="Arial" w:cs="Arial"/>
        </w:rPr>
      </w:pPr>
      <w:r w:rsidRPr="004D58CA">
        <w:rPr>
          <w:rFonts w:ascii="Arial" w:hAnsi="Arial" w:cs="Arial"/>
        </w:rPr>
        <w:t xml:space="preserve">El término comúnmente utilizado "información no financiera" es completo, pero no preciso. De hecho, existe una gran cantidad de informes no financieros, como sobre el impacto de una empresa en el medio ambiente, sobre el desempeño en el área de diversidad, etc. Pero este tipo de informes ESG ciertamente no cubre toda la información proporcionada fuera del ámbito financiero. </w:t>
      </w:r>
      <w:proofErr w:type="gramStart"/>
      <w:r w:rsidRPr="004D58CA">
        <w:rPr>
          <w:rFonts w:ascii="Arial" w:hAnsi="Arial" w:cs="Arial"/>
        </w:rPr>
        <w:t>declaraciones</w:t>
      </w:r>
      <w:proofErr w:type="gramEnd"/>
      <w:r w:rsidRPr="004D58CA">
        <w:rPr>
          <w:rFonts w:ascii="Arial" w:hAnsi="Arial" w:cs="Arial"/>
        </w:rPr>
        <w:t>.</w:t>
      </w:r>
    </w:p>
    <w:p w:rsidR="004D58CA" w:rsidRPr="004D58CA" w:rsidRDefault="004D58CA" w:rsidP="004D58CA">
      <w:pPr>
        <w:jc w:val="both"/>
        <w:rPr>
          <w:rFonts w:ascii="Arial" w:hAnsi="Arial" w:cs="Arial"/>
        </w:rPr>
      </w:pPr>
      <w:r w:rsidRPr="004D58CA">
        <w:rPr>
          <w:rFonts w:ascii="Arial" w:hAnsi="Arial" w:cs="Arial"/>
        </w:rPr>
        <w:t>Gran parte de la información que se proporciona fuera de los estados financieros, generalmente en el informe anual, es de hecho relevante desde el punto de vista financiero para los inversores. Información sobre el modelo de negocio; información prospectiva; información sobre el entorno económico de una empresa; información sobre el impacto financiero del cambio climático: todos estos temas se reflejan, como máximo, en parte en los informes anuales tradicionales. Debido a su relevancia financiera, todavía merecen un lugar en otra parte del informe anual. La bandera de 'informes no financieros' no cubre todo este tipo de información. Prefiero hablar de "informes financieros más amplios" si estamos hablando de este tipo de información relevante desde el punto de vista financiero.</w:t>
      </w:r>
    </w:p>
    <w:p w:rsidR="004D58CA" w:rsidRDefault="004D58CA" w:rsidP="004D58CA">
      <w:pPr>
        <w:jc w:val="both"/>
        <w:rPr>
          <w:rFonts w:ascii="Arial" w:hAnsi="Arial" w:cs="Arial"/>
          <w:b/>
          <w:bCs/>
        </w:rPr>
      </w:pPr>
    </w:p>
    <w:p w:rsidR="004D58CA" w:rsidRPr="004D58CA" w:rsidRDefault="004D58CA" w:rsidP="004D58CA">
      <w:pPr>
        <w:jc w:val="both"/>
        <w:rPr>
          <w:rFonts w:ascii="Arial" w:hAnsi="Arial" w:cs="Arial"/>
          <w:b/>
          <w:bCs/>
        </w:rPr>
      </w:pPr>
      <w:r w:rsidRPr="004D58CA">
        <w:rPr>
          <w:rFonts w:ascii="Arial" w:hAnsi="Arial" w:cs="Arial"/>
          <w:b/>
          <w:bCs/>
        </w:rPr>
        <w:t>Declaración de práctica</w:t>
      </w:r>
    </w:p>
    <w:p w:rsidR="004D58CA" w:rsidRPr="004D58CA" w:rsidRDefault="004D58CA" w:rsidP="004D58CA">
      <w:pPr>
        <w:jc w:val="both"/>
        <w:rPr>
          <w:rFonts w:ascii="Arial" w:hAnsi="Arial" w:cs="Arial"/>
        </w:rPr>
      </w:pPr>
      <w:r w:rsidRPr="004D58CA">
        <w:rPr>
          <w:rFonts w:ascii="Arial" w:hAnsi="Arial" w:cs="Arial"/>
        </w:rPr>
        <w:t>El IASB ve la 'información financiera más amplia' como parte de su misión de proporcionar información financiera a los actores del mercado de capitales. También reconocemos que es imposible incluir toda la información financiera relevante en los estados financieros. Por esa razón, desarrollamos nuestra Declaración de prácticas de comentarios de la administración en 2010. En esencia, es un manual para redactar el informe de administración.</w:t>
      </w:r>
    </w:p>
    <w:p w:rsidR="004D58CA" w:rsidRPr="004D58CA" w:rsidRDefault="004D58CA" w:rsidP="004D58CA">
      <w:pPr>
        <w:jc w:val="both"/>
        <w:rPr>
          <w:rFonts w:ascii="Arial" w:hAnsi="Arial" w:cs="Arial"/>
        </w:rPr>
      </w:pPr>
      <w:r w:rsidRPr="004D58CA">
        <w:rPr>
          <w:rFonts w:ascii="Arial" w:hAnsi="Arial" w:cs="Arial"/>
        </w:rPr>
        <w:t>Por varias razones, el IASB decidió recientemente revisar esta Declaración de Práctica. Primero, está el fuerte aumento del interés en los activos intangibles. En la economía del conocimiento moderna, los activos intangibles, como la tecnología, la base de clientes y el modelo comercial de una empresa, son cada vez más importantes.</w:t>
      </w:r>
    </w:p>
    <w:p w:rsidR="004D58CA" w:rsidRPr="004D58CA" w:rsidRDefault="004D58CA" w:rsidP="004D58CA">
      <w:pPr>
        <w:jc w:val="both"/>
        <w:rPr>
          <w:rFonts w:ascii="Arial" w:hAnsi="Arial" w:cs="Arial"/>
        </w:rPr>
      </w:pPr>
      <w:r w:rsidRPr="004D58CA">
        <w:rPr>
          <w:rFonts w:ascii="Arial" w:hAnsi="Arial" w:cs="Arial"/>
        </w:rPr>
        <w:t xml:space="preserve">Aunque los activos intangibles son importantes, la mayoría no se encuentran en el balance de una empresa. Una de las razones de su ausencia es que son muy difíciles de medir. Si bien la contabilidad en sí es más un arte que una ciencia, esto se aplica en gran medida a la valoración de activos intangibles. El cementerio de los mercados de capitales está lleno de adquisiciones fallidas basadas en estimaciones incorrectas de activos intangibles. Estos activos también pueden ser muy volátiles. Piense en Nokia y </w:t>
      </w:r>
      <w:proofErr w:type="spellStart"/>
      <w:r w:rsidRPr="004D58CA">
        <w:rPr>
          <w:rFonts w:ascii="Arial" w:hAnsi="Arial" w:cs="Arial"/>
        </w:rPr>
        <w:t>Blackberry</w:t>
      </w:r>
      <w:proofErr w:type="spellEnd"/>
      <w:r w:rsidRPr="004D58CA">
        <w:rPr>
          <w:rFonts w:ascii="Arial" w:hAnsi="Arial" w:cs="Arial"/>
        </w:rPr>
        <w:t xml:space="preserve">: el valor de sus </w:t>
      </w:r>
      <w:r w:rsidRPr="004D58CA">
        <w:rPr>
          <w:rFonts w:ascii="Arial" w:hAnsi="Arial" w:cs="Arial"/>
        </w:rPr>
        <w:lastRenderedPageBreak/>
        <w:t>intangibles tecnológicos parecía enorme, hasta que fueron barridos por una nueva generación de teléfonos inteligentes en muy poco tiempo.</w:t>
      </w:r>
    </w:p>
    <w:p w:rsidR="004D58CA" w:rsidRPr="004D58CA" w:rsidRDefault="004D58CA" w:rsidP="004D58CA">
      <w:pPr>
        <w:jc w:val="both"/>
        <w:rPr>
          <w:rFonts w:ascii="Arial" w:hAnsi="Arial" w:cs="Arial"/>
        </w:rPr>
      </w:pPr>
      <w:r w:rsidRPr="004D58CA">
        <w:rPr>
          <w:rFonts w:ascii="Arial" w:hAnsi="Arial" w:cs="Arial"/>
        </w:rPr>
        <w:t>Por estas razones, creo que el informe de gestión es la mejor plataforma para proporcionar a los inversores información sobre activos intangibles. Por lo tanto, dedicaremos mucha atención a esto en nuestra Declaración de prácticas de comentarios de la gerencia. Pediremos a las empresas que identifiquen los intangibles que son importantes para su modelo de ganancias. También deberán abordar los principales riesgos ambientales para esos activos intangibles y explicar su estrategia para hacer frente a esos desafíos.</w:t>
      </w:r>
    </w:p>
    <w:p w:rsidR="004D58CA" w:rsidRPr="004D58CA" w:rsidRDefault="004D58CA" w:rsidP="004D58CA">
      <w:pPr>
        <w:jc w:val="both"/>
        <w:rPr>
          <w:rFonts w:ascii="Arial" w:hAnsi="Arial" w:cs="Arial"/>
        </w:rPr>
      </w:pPr>
      <w:r w:rsidRPr="004D58CA">
        <w:rPr>
          <w:rFonts w:ascii="Arial" w:hAnsi="Arial" w:cs="Arial"/>
        </w:rPr>
        <w:t>Una segunda razón importante para revisar nuestra Declaración de Práctica es el fuerte aumento del interés en el impacto de las cuestiones de sostenibilidad en las empresas y el enorme vuelo que ha tenido el "informe de sostenibilidad". Nuestra Declaración de Práctica existente guarda silencio sobre el posible impacto de la sostenibilidad.</w:t>
      </w:r>
    </w:p>
    <w:p w:rsidR="004D58CA" w:rsidRDefault="004D58CA" w:rsidP="004D58CA">
      <w:pPr>
        <w:jc w:val="both"/>
        <w:rPr>
          <w:rFonts w:ascii="Arial" w:hAnsi="Arial" w:cs="Arial"/>
          <w:b/>
          <w:bCs/>
        </w:rPr>
      </w:pPr>
    </w:p>
    <w:p w:rsidR="004D58CA" w:rsidRPr="004D58CA" w:rsidRDefault="004D58CA" w:rsidP="004D58CA">
      <w:pPr>
        <w:jc w:val="both"/>
        <w:rPr>
          <w:rFonts w:ascii="Arial" w:hAnsi="Arial" w:cs="Arial"/>
          <w:b/>
          <w:bCs/>
        </w:rPr>
      </w:pPr>
      <w:r w:rsidRPr="004D58CA">
        <w:rPr>
          <w:rFonts w:ascii="Arial" w:hAnsi="Arial" w:cs="Arial"/>
          <w:b/>
          <w:bCs/>
        </w:rPr>
        <w:t>Estándares de sostenibilidad</w:t>
      </w:r>
    </w:p>
    <w:p w:rsidR="004D58CA" w:rsidRPr="004D58CA" w:rsidRDefault="004D58CA" w:rsidP="004D58CA">
      <w:pPr>
        <w:jc w:val="both"/>
        <w:rPr>
          <w:rFonts w:ascii="Arial" w:hAnsi="Arial" w:cs="Arial"/>
        </w:rPr>
      </w:pPr>
      <w:r w:rsidRPr="004D58CA">
        <w:rPr>
          <w:rFonts w:ascii="Arial" w:hAnsi="Arial" w:cs="Arial"/>
        </w:rPr>
        <w:t xml:space="preserve">El creciente interés en la sostenibilidad ecológica de nuestra economía se puede explicar fácilmente. La Gran Barrera de Coral ya está medio muerta, el hielo polar se está derritiendo por todos lados y, aparte de un político aquí y allá, todos coinciden en que las acciones humanas son la principal causa de estos inquietantes acontecimientos. En este sentido, no es de extrañar que la atención por los informes de sostenibilidad haya aumentado enormemente, también en </w:t>
      </w:r>
      <w:proofErr w:type="spellStart"/>
      <w:r w:rsidRPr="004D58CA">
        <w:rPr>
          <w:rFonts w:ascii="Arial" w:hAnsi="Arial" w:cs="Arial"/>
        </w:rPr>
        <w:t>Eumedion</w:t>
      </w:r>
      <w:proofErr w:type="spellEnd"/>
      <w:r w:rsidRPr="004D58CA">
        <w:rPr>
          <w:rFonts w:ascii="Arial" w:hAnsi="Arial" w:cs="Arial"/>
        </w:rPr>
        <w:t>.</w:t>
      </w:r>
    </w:p>
    <w:p w:rsidR="004D58CA" w:rsidRPr="004D58CA" w:rsidRDefault="004D58CA" w:rsidP="004D58CA">
      <w:pPr>
        <w:jc w:val="both"/>
        <w:rPr>
          <w:rFonts w:ascii="Arial" w:hAnsi="Arial" w:cs="Arial"/>
        </w:rPr>
      </w:pPr>
      <w:r w:rsidRPr="004D58CA">
        <w:rPr>
          <w:rFonts w:ascii="Arial" w:hAnsi="Arial" w:cs="Arial"/>
        </w:rPr>
        <w:t xml:space="preserve">Se pueden distinguir dos corrientes principales en el mundo de los estándares de sostenibilidad. Algunos estándares, como los de Global </w:t>
      </w:r>
      <w:proofErr w:type="spellStart"/>
      <w:r w:rsidRPr="004D58CA">
        <w:rPr>
          <w:rFonts w:ascii="Arial" w:hAnsi="Arial" w:cs="Arial"/>
        </w:rPr>
        <w:t>Reporting</w:t>
      </w:r>
      <w:proofErr w:type="spellEnd"/>
      <w:r w:rsidRPr="004D58CA">
        <w:rPr>
          <w:rFonts w:ascii="Arial" w:hAnsi="Arial" w:cs="Arial"/>
        </w:rPr>
        <w:t xml:space="preserve"> </w:t>
      </w:r>
      <w:proofErr w:type="spellStart"/>
      <w:r w:rsidRPr="004D58CA">
        <w:rPr>
          <w:rFonts w:ascii="Arial" w:hAnsi="Arial" w:cs="Arial"/>
        </w:rPr>
        <w:t>Initiative</w:t>
      </w:r>
      <w:proofErr w:type="spellEnd"/>
      <w:r w:rsidRPr="004D58CA">
        <w:rPr>
          <w:rFonts w:ascii="Arial" w:hAnsi="Arial" w:cs="Arial"/>
        </w:rPr>
        <w:t xml:space="preserve"> (GRI), se centran principalmente en el impacto externo de una empresa en la sociedad y el planeta. Estos estándares tienen una perspectiva de múltiples partes interesadas; no se centran principalmente en los inversores. Su objetivo es alentar a las empresas a adoptar comportamientos socialmente responsables al brindar más información sobre las consecuencias sociales de sus políticas. Estos estándares son especialmente importantes para los inversores que desean promover un cambio de comportamiento.</w:t>
      </w:r>
    </w:p>
    <w:p w:rsidR="004D58CA" w:rsidRPr="004D58CA" w:rsidRDefault="004D58CA" w:rsidP="004D58CA">
      <w:pPr>
        <w:jc w:val="both"/>
        <w:rPr>
          <w:rFonts w:ascii="Arial" w:hAnsi="Arial" w:cs="Arial"/>
        </w:rPr>
      </w:pPr>
      <w:r w:rsidRPr="004D58CA">
        <w:rPr>
          <w:rFonts w:ascii="Arial" w:hAnsi="Arial" w:cs="Arial"/>
        </w:rPr>
        <w:t xml:space="preserve">La segunda corriente principal está más centrada en la empresa y sus inversores. Estos son estándares y marcos como los del </w:t>
      </w:r>
      <w:proofErr w:type="spellStart"/>
      <w:r w:rsidRPr="004D58CA">
        <w:rPr>
          <w:rFonts w:ascii="Arial" w:hAnsi="Arial" w:cs="Arial"/>
        </w:rPr>
        <w:t>Sustainability</w:t>
      </w:r>
      <w:proofErr w:type="spellEnd"/>
      <w:r w:rsidRPr="004D58CA">
        <w:rPr>
          <w:rFonts w:ascii="Arial" w:hAnsi="Arial" w:cs="Arial"/>
        </w:rPr>
        <w:t xml:space="preserve"> </w:t>
      </w:r>
      <w:proofErr w:type="spellStart"/>
      <w:r w:rsidRPr="004D58CA">
        <w:rPr>
          <w:rFonts w:ascii="Arial" w:hAnsi="Arial" w:cs="Arial"/>
        </w:rPr>
        <w:t>Accounting</w:t>
      </w:r>
      <w:proofErr w:type="spellEnd"/>
      <w:r w:rsidRPr="004D58CA">
        <w:rPr>
          <w:rFonts w:ascii="Arial" w:hAnsi="Arial" w:cs="Arial"/>
        </w:rPr>
        <w:t xml:space="preserve"> </w:t>
      </w:r>
      <w:proofErr w:type="spellStart"/>
      <w:r w:rsidRPr="004D58CA">
        <w:rPr>
          <w:rFonts w:ascii="Arial" w:hAnsi="Arial" w:cs="Arial"/>
        </w:rPr>
        <w:t>Standards</w:t>
      </w:r>
      <w:proofErr w:type="spellEnd"/>
      <w:r w:rsidRPr="004D58CA">
        <w:rPr>
          <w:rFonts w:ascii="Arial" w:hAnsi="Arial" w:cs="Arial"/>
        </w:rPr>
        <w:t xml:space="preserve"> </w:t>
      </w:r>
      <w:proofErr w:type="spellStart"/>
      <w:r w:rsidRPr="004D58CA">
        <w:rPr>
          <w:rFonts w:ascii="Arial" w:hAnsi="Arial" w:cs="Arial"/>
        </w:rPr>
        <w:t>Board</w:t>
      </w:r>
      <w:proofErr w:type="spellEnd"/>
      <w:r w:rsidRPr="004D58CA">
        <w:rPr>
          <w:rFonts w:ascii="Arial" w:hAnsi="Arial" w:cs="Arial"/>
        </w:rPr>
        <w:t xml:space="preserve"> (SASB), el </w:t>
      </w:r>
      <w:proofErr w:type="spellStart"/>
      <w:r w:rsidRPr="004D58CA">
        <w:rPr>
          <w:rFonts w:ascii="Arial" w:hAnsi="Arial" w:cs="Arial"/>
        </w:rPr>
        <w:t>Climate</w:t>
      </w:r>
      <w:proofErr w:type="spellEnd"/>
      <w:r w:rsidRPr="004D58CA">
        <w:rPr>
          <w:rFonts w:ascii="Arial" w:hAnsi="Arial" w:cs="Arial"/>
        </w:rPr>
        <w:t xml:space="preserve"> </w:t>
      </w:r>
      <w:proofErr w:type="spellStart"/>
      <w:r w:rsidRPr="004D58CA">
        <w:rPr>
          <w:rFonts w:ascii="Arial" w:hAnsi="Arial" w:cs="Arial"/>
        </w:rPr>
        <w:t>Disclosure</w:t>
      </w:r>
      <w:proofErr w:type="spellEnd"/>
      <w:r w:rsidRPr="004D58CA">
        <w:rPr>
          <w:rFonts w:ascii="Arial" w:hAnsi="Arial" w:cs="Arial"/>
        </w:rPr>
        <w:t xml:space="preserve"> </w:t>
      </w:r>
      <w:proofErr w:type="spellStart"/>
      <w:r w:rsidRPr="004D58CA">
        <w:rPr>
          <w:rFonts w:ascii="Arial" w:hAnsi="Arial" w:cs="Arial"/>
        </w:rPr>
        <w:t>Standards</w:t>
      </w:r>
      <w:proofErr w:type="spellEnd"/>
      <w:r w:rsidRPr="004D58CA">
        <w:rPr>
          <w:rFonts w:ascii="Arial" w:hAnsi="Arial" w:cs="Arial"/>
        </w:rPr>
        <w:t xml:space="preserve"> </w:t>
      </w:r>
      <w:proofErr w:type="spellStart"/>
      <w:r w:rsidRPr="004D58CA">
        <w:rPr>
          <w:rFonts w:ascii="Arial" w:hAnsi="Arial" w:cs="Arial"/>
        </w:rPr>
        <w:t>Board</w:t>
      </w:r>
      <w:proofErr w:type="spellEnd"/>
      <w:r w:rsidRPr="004D58CA">
        <w:rPr>
          <w:rFonts w:ascii="Arial" w:hAnsi="Arial" w:cs="Arial"/>
        </w:rPr>
        <w:t xml:space="preserve"> (CDSB) y el </w:t>
      </w:r>
      <w:proofErr w:type="spellStart"/>
      <w:r w:rsidRPr="004D58CA">
        <w:rPr>
          <w:rFonts w:ascii="Arial" w:hAnsi="Arial" w:cs="Arial"/>
        </w:rPr>
        <w:t>Taskforce</w:t>
      </w:r>
      <w:proofErr w:type="spellEnd"/>
      <w:r w:rsidRPr="004D58CA">
        <w:rPr>
          <w:rFonts w:ascii="Arial" w:hAnsi="Arial" w:cs="Arial"/>
        </w:rPr>
        <w:t xml:space="preserve"> </w:t>
      </w:r>
      <w:proofErr w:type="spellStart"/>
      <w:r w:rsidRPr="004D58CA">
        <w:rPr>
          <w:rFonts w:ascii="Arial" w:hAnsi="Arial" w:cs="Arial"/>
        </w:rPr>
        <w:t>for</w:t>
      </w:r>
      <w:proofErr w:type="spellEnd"/>
      <w:r w:rsidRPr="004D58CA">
        <w:rPr>
          <w:rFonts w:ascii="Arial" w:hAnsi="Arial" w:cs="Arial"/>
        </w:rPr>
        <w:t xml:space="preserve"> </w:t>
      </w:r>
      <w:proofErr w:type="spellStart"/>
      <w:r w:rsidRPr="004D58CA">
        <w:rPr>
          <w:rFonts w:ascii="Arial" w:hAnsi="Arial" w:cs="Arial"/>
        </w:rPr>
        <w:t>Climate-related</w:t>
      </w:r>
      <w:proofErr w:type="spellEnd"/>
      <w:r w:rsidRPr="004D58CA">
        <w:rPr>
          <w:rFonts w:ascii="Arial" w:hAnsi="Arial" w:cs="Arial"/>
        </w:rPr>
        <w:t xml:space="preserve"> </w:t>
      </w:r>
      <w:proofErr w:type="spellStart"/>
      <w:r w:rsidRPr="004D58CA">
        <w:rPr>
          <w:rFonts w:ascii="Arial" w:hAnsi="Arial" w:cs="Arial"/>
        </w:rPr>
        <w:t>Financial</w:t>
      </w:r>
      <w:proofErr w:type="spellEnd"/>
      <w:r w:rsidRPr="004D58CA">
        <w:rPr>
          <w:rFonts w:ascii="Arial" w:hAnsi="Arial" w:cs="Arial"/>
        </w:rPr>
        <w:t xml:space="preserve"> </w:t>
      </w:r>
      <w:proofErr w:type="spellStart"/>
      <w:r w:rsidRPr="004D58CA">
        <w:rPr>
          <w:rFonts w:ascii="Arial" w:hAnsi="Arial" w:cs="Arial"/>
        </w:rPr>
        <w:t>Disclosures</w:t>
      </w:r>
      <w:proofErr w:type="spellEnd"/>
      <w:r w:rsidRPr="004D58CA">
        <w:rPr>
          <w:rFonts w:ascii="Arial" w:hAnsi="Arial" w:cs="Arial"/>
        </w:rPr>
        <w:t xml:space="preserve"> (TCFD) que permiten a una empresa describir el posible impacto financiero de la sostenibilidad. </w:t>
      </w:r>
      <w:proofErr w:type="gramStart"/>
      <w:r w:rsidRPr="004D58CA">
        <w:rPr>
          <w:rFonts w:ascii="Arial" w:hAnsi="Arial" w:cs="Arial"/>
        </w:rPr>
        <w:t>problemas</w:t>
      </w:r>
      <w:proofErr w:type="gramEnd"/>
      <w:r w:rsidRPr="004D58CA">
        <w:rPr>
          <w:rFonts w:ascii="Arial" w:hAnsi="Arial" w:cs="Arial"/>
        </w:rPr>
        <w:t xml:space="preserve"> en la propia empresa. Este tipo de estándar es particularmente importante para las empresas que son sensibles a los efectos financieros del cambio climático.</w:t>
      </w:r>
    </w:p>
    <w:p w:rsidR="004D58CA" w:rsidRPr="004D58CA" w:rsidRDefault="004D58CA" w:rsidP="004D58CA">
      <w:pPr>
        <w:jc w:val="both"/>
        <w:rPr>
          <w:rFonts w:ascii="Arial" w:hAnsi="Arial" w:cs="Arial"/>
        </w:rPr>
      </w:pPr>
      <w:r w:rsidRPr="004D58CA">
        <w:rPr>
          <w:rFonts w:ascii="Arial" w:hAnsi="Arial" w:cs="Arial"/>
        </w:rPr>
        <w:t>Aunque ambos tipos de normas persiguen un interés legítimo, me gustaría hacer algunas reservas sobre la eficacia de la primera corriente principal, que tiene como objetivo principal promover una conducta empresarial socialmente responsable.</w:t>
      </w:r>
    </w:p>
    <w:p w:rsidR="004D58CA" w:rsidRPr="004D58CA" w:rsidRDefault="004D58CA" w:rsidP="004D58CA">
      <w:pPr>
        <w:jc w:val="both"/>
        <w:rPr>
          <w:rFonts w:ascii="Arial" w:hAnsi="Arial" w:cs="Arial"/>
        </w:rPr>
      </w:pPr>
      <w:r w:rsidRPr="004D58CA">
        <w:rPr>
          <w:rFonts w:ascii="Arial" w:hAnsi="Arial" w:cs="Arial"/>
        </w:rPr>
        <w:t xml:space="preserve">Primero, los estándares de sostenibilidad de múltiples partes interesadas no tienen umbrales de materialidad financiera y conducen fácilmente a una enorme sobrecarga de información. Un país como Francia ha establecido requisitos ASG muy detallados en su </w:t>
      </w:r>
      <w:r w:rsidRPr="004D58CA">
        <w:rPr>
          <w:rFonts w:ascii="Arial" w:hAnsi="Arial" w:cs="Arial"/>
        </w:rPr>
        <w:lastRenderedPageBreak/>
        <w:t>legislación. El tamaño medio de un informe anual francés es de casi 400 páginas, aproximadamente un 50% más que el informe anual medio alemán.</w:t>
      </w:r>
    </w:p>
    <w:p w:rsidR="004D58CA" w:rsidRPr="004D58CA" w:rsidRDefault="004D58CA" w:rsidP="004D58CA">
      <w:pPr>
        <w:jc w:val="both"/>
        <w:rPr>
          <w:rFonts w:ascii="Arial" w:hAnsi="Arial" w:cs="Arial"/>
        </w:rPr>
      </w:pPr>
      <w:r w:rsidRPr="004D58CA">
        <w:rPr>
          <w:rFonts w:ascii="Arial" w:hAnsi="Arial" w:cs="Arial"/>
        </w:rPr>
        <w:t xml:space="preserve">En segundo lugar, no se pueden esperar milagros de sostenibilidad en términos de cambio de comportamiento. No necesitamos informes de sostenibilidad para saber que la aviación es mala para el medio ambiente. Pero con la excepción de un pequeño número de héroes reales, como Greta </w:t>
      </w:r>
      <w:proofErr w:type="spellStart"/>
      <w:r w:rsidRPr="004D58CA">
        <w:rPr>
          <w:rFonts w:ascii="Arial" w:hAnsi="Arial" w:cs="Arial"/>
        </w:rPr>
        <w:t>Thunberg</w:t>
      </w:r>
      <w:proofErr w:type="spellEnd"/>
      <w:r w:rsidRPr="004D58CA">
        <w:rPr>
          <w:rFonts w:ascii="Arial" w:hAnsi="Arial" w:cs="Arial"/>
        </w:rPr>
        <w:t xml:space="preserve">, todos compramos billetes de avión extremadamente baratos para nuestros viajes urbanos cada vez más frecuentes. Lo único que realmente ayudaría es un alto precio por las externalidades de volar; Los billetes de avión considerablemente más caros harán mucho más que el informe de sostenibilidad de </w:t>
      </w:r>
      <w:proofErr w:type="spellStart"/>
      <w:r w:rsidRPr="004D58CA">
        <w:rPr>
          <w:rFonts w:ascii="Arial" w:hAnsi="Arial" w:cs="Arial"/>
        </w:rPr>
        <w:t>Ryanair</w:t>
      </w:r>
      <w:proofErr w:type="spellEnd"/>
      <w:r w:rsidRPr="004D58CA">
        <w:rPr>
          <w:rFonts w:ascii="Arial" w:hAnsi="Arial" w:cs="Arial"/>
        </w:rPr>
        <w:t xml:space="preserve">, </w:t>
      </w:r>
      <w:proofErr w:type="spellStart"/>
      <w:r w:rsidRPr="004D58CA">
        <w:rPr>
          <w:rFonts w:ascii="Arial" w:hAnsi="Arial" w:cs="Arial"/>
        </w:rPr>
        <w:t>AirFrance</w:t>
      </w:r>
      <w:proofErr w:type="spellEnd"/>
      <w:r w:rsidRPr="004D58CA">
        <w:rPr>
          <w:rFonts w:ascii="Arial" w:hAnsi="Arial" w:cs="Arial"/>
        </w:rPr>
        <w:t xml:space="preserve"> o KLM.</w:t>
      </w:r>
    </w:p>
    <w:p w:rsidR="004D58CA" w:rsidRPr="004D58CA" w:rsidRDefault="004D58CA" w:rsidP="004D58CA">
      <w:pPr>
        <w:jc w:val="both"/>
        <w:rPr>
          <w:rFonts w:ascii="Arial" w:hAnsi="Arial" w:cs="Arial"/>
        </w:rPr>
      </w:pPr>
      <w:r w:rsidRPr="004D58CA">
        <w:rPr>
          <w:rFonts w:ascii="Arial" w:hAnsi="Arial" w:cs="Arial"/>
        </w:rPr>
        <w:t xml:space="preserve">Por la misma razón, la inversión socialmente responsable también tiene sus límites. Es fácil para los inversores institucionales excluir a los fabricantes de bombas de racimo de sus inversiones; Sería mucho más difícil hacer lo mismo con las grandes empresas petroleras, por ejemplo. Si decide hacerlo, otros inversionistas estarán esperando entre bastidores, muy dispuestos a quitarle sus acciones, sabiendo que cuatro de los 20 mayores pagadores de dividendos en todo el mundo provienen de la industria petrolera. La reciente emisión de bonos del gigante petrolero saudí </w:t>
      </w:r>
      <w:proofErr w:type="spellStart"/>
      <w:r w:rsidRPr="004D58CA">
        <w:rPr>
          <w:rFonts w:ascii="Arial" w:hAnsi="Arial" w:cs="Arial"/>
        </w:rPr>
        <w:t>Aramco</w:t>
      </w:r>
      <w:proofErr w:type="spellEnd"/>
      <w:r w:rsidRPr="004D58CA">
        <w:rPr>
          <w:rFonts w:ascii="Arial" w:hAnsi="Arial" w:cs="Arial"/>
        </w:rPr>
        <w:t xml:space="preserve"> se sobrescribió más de ocho veces, ¡un récord histórico!</w:t>
      </w:r>
    </w:p>
    <w:p w:rsidR="004D58CA" w:rsidRPr="004D58CA" w:rsidRDefault="004D58CA" w:rsidP="004D58CA">
      <w:pPr>
        <w:jc w:val="both"/>
        <w:rPr>
          <w:rFonts w:ascii="Arial" w:hAnsi="Arial" w:cs="Arial"/>
        </w:rPr>
      </w:pPr>
      <w:r w:rsidRPr="004D58CA">
        <w:rPr>
          <w:rFonts w:ascii="Arial" w:hAnsi="Arial" w:cs="Arial"/>
        </w:rPr>
        <w:t>Los informes ESG pueden ayudar a crear conciencia sobre los problemas de sostenibilidad a largo plazo, pero creo que la legislación y los incentivos financieros serán, en última instancia, decisivos.</w:t>
      </w:r>
    </w:p>
    <w:p w:rsidR="004D58CA" w:rsidRPr="004D58CA" w:rsidRDefault="004D58CA" w:rsidP="004D58CA">
      <w:pPr>
        <w:jc w:val="both"/>
        <w:rPr>
          <w:rFonts w:ascii="Arial" w:hAnsi="Arial" w:cs="Arial"/>
        </w:rPr>
      </w:pPr>
      <w:r w:rsidRPr="004D58CA">
        <w:rPr>
          <w:rFonts w:ascii="Arial" w:hAnsi="Arial" w:cs="Arial"/>
        </w:rPr>
        <w:t>Los mercados de capitales son difíciles y, en última instancia, tanto las empresas como los inversores deben ganar dinero para mantenerse a flote. Esa es también la razón por la que empresas como BP y Shell están abiertamente a favor de fijar un precio a las emisiones de CO </w:t>
      </w:r>
      <w:proofErr w:type="gramStart"/>
      <w:r w:rsidRPr="004D58CA">
        <w:rPr>
          <w:rFonts w:ascii="Arial" w:hAnsi="Arial" w:cs="Arial"/>
          <w:vertAlign w:val="superscript"/>
        </w:rPr>
        <w:t>2</w:t>
      </w:r>
      <w:r w:rsidRPr="004D58CA">
        <w:rPr>
          <w:rFonts w:ascii="Arial" w:hAnsi="Arial" w:cs="Arial"/>
        </w:rPr>
        <w:t> . </w:t>
      </w:r>
      <w:proofErr w:type="gramEnd"/>
      <w:r w:rsidRPr="004D58CA">
        <w:rPr>
          <w:rFonts w:ascii="Arial" w:hAnsi="Arial" w:cs="Arial"/>
        </w:rPr>
        <w:t>Solo un precio efectivo hará que sea gratificante para ellos iniciar la transición a la energía sostenible.</w:t>
      </w:r>
    </w:p>
    <w:p w:rsidR="004D58CA" w:rsidRPr="004D58CA" w:rsidRDefault="004D58CA" w:rsidP="004D58CA">
      <w:pPr>
        <w:jc w:val="both"/>
        <w:rPr>
          <w:rFonts w:ascii="Arial" w:hAnsi="Arial" w:cs="Arial"/>
        </w:rPr>
      </w:pPr>
      <w:r w:rsidRPr="004D58CA">
        <w:rPr>
          <w:rFonts w:ascii="Arial" w:hAnsi="Arial" w:cs="Arial"/>
        </w:rPr>
        <w:t>La segunda corriente principal de estándares de sostenibilidad es particularmente relevante para la actualización de nuestra Declaración de prácticas de comentarios de la gerencia. Estándares que se centran principalmente en los efectos financieros (potenciales) de los problemas de sostenibilidad para la propia empresa. Estos estándares, con un umbral de materialidad financiera claro, también se ajustan bien a la misión de la Fundación IFRS de proporcionar información relevante desde el punto de vista financiero a los inversores.</w:t>
      </w:r>
    </w:p>
    <w:p w:rsidR="004D58CA" w:rsidRPr="004D58CA" w:rsidRDefault="004D58CA" w:rsidP="004D58CA">
      <w:pPr>
        <w:jc w:val="both"/>
        <w:rPr>
          <w:rFonts w:ascii="Arial" w:hAnsi="Arial" w:cs="Arial"/>
        </w:rPr>
      </w:pPr>
      <w:r w:rsidRPr="004D58CA">
        <w:rPr>
          <w:rFonts w:ascii="Arial" w:hAnsi="Arial" w:cs="Arial"/>
        </w:rPr>
        <w:t>El impacto financiero del cambio climático ya se puede sentir en la industria de los seguros; Le seguirán otras industrias, especialmente si la regulación pública realmente comienza a afectar. Este tipo de información es fundamental para los inversores que quieran formarse una opinión sobre la viabilidad a largo plazo de las empresas. Por lo tanto, nuestra Declaración de prácticas de comentarios de la gerencia también se convertirá en un vehículo para obtener información de sostenibilidad relevante desde el punto de vista financiero.</w:t>
      </w:r>
    </w:p>
    <w:p w:rsidR="004D58CA" w:rsidRDefault="004D58CA" w:rsidP="004D58CA">
      <w:pPr>
        <w:jc w:val="both"/>
        <w:rPr>
          <w:rFonts w:ascii="Arial" w:hAnsi="Arial" w:cs="Arial"/>
          <w:b/>
          <w:bCs/>
        </w:rPr>
      </w:pPr>
    </w:p>
    <w:p w:rsidR="004D58CA" w:rsidRDefault="004D58CA" w:rsidP="004D58CA">
      <w:pPr>
        <w:jc w:val="both"/>
        <w:rPr>
          <w:rFonts w:ascii="Arial" w:hAnsi="Arial" w:cs="Arial"/>
          <w:b/>
          <w:bCs/>
        </w:rPr>
      </w:pPr>
    </w:p>
    <w:p w:rsidR="004D58CA" w:rsidRDefault="004D58CA" w:rsidP="004D58CA">
      <w:pPr>
        <w:jc w:val="both"/>
        <w:rPr>
          <w:rFonts w:ascii="Arial" w:hAnsi="Arial" w:cs="Arial"/>
          <w:b/>
          <w:bCs/>
        </w:rPr>
      </w:pPr>
    </w:p>
    <w:p w:rsidR="004D58CA" w:rsidRPr="004D58CA" w:rsidRDefault="004D58CA" w:rsidP="004D58CA">
      <w:pPr>
        <w:jc w:val="both"/>
        <w:rPr>
          <w:rFonts w:ascii="Arial" w:hAnsi="Arial" w:cs="Arial"/>
          <w:b/>
          <w:bCs/>
        </w:rPr>
      </w:pPr>
      <w:r w:rsidRPr="004D58CA">
        <w:rPr>
          <w:rFonts w:ascii="Arial" w:hAnsi="Arial" w:cs="Arial"/>
          <w:b/>
          <w:bCs/>
        </w:rPr>
        <w:lastRenderedPageBreak/>
        <w:t>Papel verde</w:t>
      </w:r>
    </w:p>
    <w:p w:rsidR="004D58CA" w:rsidRPr="004D58CA" w:rsidRDefault="004D58CA" w:rsidP="004D58CA">
      <w:pPr>
        <w:jc w:val="both"/>
        <w:rPr>
          <w:rFonts w:ascii="Arial" w:hAnsi="Arial" w:cs="Arial"/>
        </w:rPr>
      </w:pPr>
      <w:r w:rsidRPr="004D58CA">
        <w:rPr>
          <w:rFonts w:ascii="Arial" w:hAnsi="Arial" w:cs="Arial"/>
        </w:rPr>
        <w:t xml:space="preserve">En mi discurso hasta ahora he abordado una serie de temas que están contenidos en el Libro Verde de </w:t>
      </w:r>
      <w:proofErr w:type="spellStart"/>
      <w:r w:rsidRPr="004D58CA">
        <w:rPr>
          <w:rFonts w:ascii="Arial" w:hAnsi="Arial" w:cs="Arial"/>
        </w:rPr>
        <w:t>Eumedion</w:t>
      </w:r>
      <w:proofErr w:type="spellEnd"/>
      <w:r w:rsidRPr="004D58CA">
        <w:rPr>
          <w:rFonts w:ascii="Arial" w:hAnsi="Arial" w:cs="Arial"/>
        </w:rPr>
        <w:t>, </w:t>
      </w:r>
      <w:r w:rsidRPr="004D58CA">
        <w:rPr>
          <w:rFonts w:ascii="Arial" w:hAnsi="Arial" w:cs="Arial"/>
          <w:i/>
          <w:iCs/>
        </w:rPr>
        <w:t>Hacia un</w:t>
      </w:r>
      <w:r w:rsidRPr="004D58CA">
        <w:rPr>
          <w:rFonts w:ascii="Arial" w:hAnsi="Arial" w:cs="Arial"/>
        </w:rPr>
        <w:t> emisor de </w:t>
      </w:r>
      <w:r w:rsidRPr="004D58CA">
        <w:rPr>
          <w:rFonts w:ascii="Arial" w:hAnsi="Arial" w:cs="Arial"/>
          <w:i/>
          <w:iCs/>
        </w:rPr>
        <w:t xml:space="preserve">estándares globales para la presentación de informes no </w:t>
      </w:r>
      <w:proofErr w:type="gramStart"/>
      <w:r w:rsidRPr="004D58CA">
        <w:rPr>
          <w:rFonts w:ascii="Arial" w:hAnsi="Arial" w:cs="Arial"/>
          <w:i/>
          <w:iCs/>
        </w:rPr>
        <w:t>financieros</w:t>
      </w:r>
      <w:r w:rsidRPr="004D58CA">
        <w:rPr>
          <w:rFonts w:ascii="Arial" w:hAnsi="Arial" w:cs="Arial"/>
        </w:rPr>
        <w:t> . </w:t>
      </w:r>
      <w:proofErr w:type="gramEnd"/>
      <w:r w:rsidRPr="004D58CA">
        <w:rPr>
          <w:rFonts w:ascii="Arial" w:hAnsi="Arial" w:cs="Arial"/>
        </w:rPr>
        <w:t>Finalmente, me gustaría hacer algunos comentarios específicos al respecto.</w:t>
      </w:r>
    </w:p>
    <w:p w:rsidR="004D58CA" w:rsidRPr="004D58CA" w:rsidRDefault="004D58CA" w:rsidP="004D58CA">
      <w:pPr>
        <w:jc w:val="both"/>
        <w:rPr>
          <w:rFonts w:ascii="Arial" w:hAnsi="Arial" w:cs="Arial"/>
        </w:rPr>
      </w:pPr>
      <w:r w:rsidRPr="004D58CA">
        <w:rPr>
          <w:rFonts w:ascii="Arial" w:hAnsi="Arial" w:cs="Arial"/>
        </w:rPr>
        <w:t xml:space="preserve">El mensaje principal de su documento de debate es que existe una necesidad urgente de consolidación en el laberinto actual de informes no financieros. La sopa de letras de organizaciones y estándares que se ocupan de los informes de sostenibilidad lleva a muchas personas a la desesperación. Es difícil para las empresas y los inversores comprender la multitud de organizaciones y estándares. Por tanto, suscribo plenamente la petición de consolidación de </w:t>
      </w:r>
      <w:proofErr w:type="spellStart"/>
      <w:r w:rsidRPr="004D58CA">
        <w:rPr>
          <w:rFonts w:ascii="Arial" w:hAnsi="Arial" w:cs="Arial"/>
        </w:rPr>
        <w:t>Eumedion</w:t>
      </w:r>
      <w:proofErr w:type="spellEnd"/>
      <w:r w:rsidRPr="004D58CA">
        <w:rPr>
          <w:rFonts w:ascii="Arial" w:hAnsi="Arial" w:cs="Arial"/>
        </w:rPr>
        <w:t>.</w:t>
      </w:r>
    </w:p>
    <w:p w:rsidR="004D58CA" w:rsidRPr="004D58CA" w:rsidRDefault="004D58CA" w:rsidP="004D58CA">
      <w:pPr>
        <w:jc w:val="both"/>
        <w:rPr>
          <w:rFonts w:ascii="Arial" w:hAnsi="Arial" w:cs="Arial"/>
        </w:rPr>
      </w:pPr>
      <w:r w:rsidRPr="004D58CA">
        <w:rPr>
          <w:rFonts w:ascii="Arial" w:hAnsi="Arial" w:cs="Arial"/>
        </w:rPr>
        <w:t>Su libro verde también sugiere que la Fundación IFRS juega un papel importante en la consolidación prevista. Naturalmente, me siento halagado por su agradecimiento por nuestra independencia y gobernanza, pero comprenderá que no podré comentar sobre esto en términos muy concretos en este momento. En realidad, este es principalmente un asunto de los Fideicomisarios de la Fundación IFRS.</w:t>
      </w:r>
    </w:p>
    <w:p w:rsidR="004D58CA" w:rsidRPr="004D58CA" w:rsidRDefault="004D58CA" w:rsidP="004D58CA">
      <w:pPr>
        <w:jc w:val="both"/>
        <w:rPr>
          <w:rFonts w:ascii="Arial" w:hAnsi="Arial" w:cs="Arial"/>
        </w:rPr>
      </w:pPr>
      <w:r w:rsidRPr="004D58CA">
        <w:rPr>
          <w:rFonts w:ascii="Arial" w:hAnsi="Arial" w:cs="Arial"/>
        </w:rPr>
        <w:t xml:space="preserve">Al mismo tiempo, espero haberles dejado claro que nuestro pensamiento ha evolucionado considerablemente. Nuestro trabajo en la Declaración de prácticas de comentarios de la administración deja en claro que miramos más allá de los estados financieros y que también incluimos información financiera más amplia como parte de nuestra misión. Desde la perspectiva de </w:t>
      </w:r>
      <w:proofErr w:type="spellStart"/>
      <w:r w:rsidRPr="004D58CA">
        <w:rPr>
          <w:rFonts w:ascii="Arial" w:hAnsi="Arial" w:cs="Arial"/>
        </w:rPr>
        <w:t>Eumedion</w:t>
      </w:r>
      <w:proofErr w:type="spellEnd"/>
      <w:r w:rsidRPr="004D58CA">
        <w:rPr>
          <w:rFonts w:ascii="Arial" w:hAnsi="Arial" w:cs="Arial"/>
        </w:rPr>
        <w:t>, este es, espero, un importante paso adelante.</w:t>
      </w:r>
    </w:p>
    <w:p w:rsidR="004D58CA" w:rsidRPr="004D58CA" w:rsidRDefault="004D58CA" w:rsidP="004D58CA">
      <w:pPr>
        <w:jc w:val="both"/>
        <w:rPr>
          <w:rFonts w:ascii="Arial" w:hAnsi="Arial" w:cs="Arial"/>
        </w:rPr>
      </w:pPr>
      <w:r w:rsidRPr="004D58CA">
        <w:rPr>
          <w:rFonts w:ascii="Arial" w:hAnsi="Arial" w:cs="Arial"/>
        </w:rPr>
        <w:t>Su libro verde contiene pensamientos importantes para el futuro, sin importar cómo se vea. Por lo tanto, señalaré su Libro Verde a la atención especial de nuestros Fideicomisarios. Estoy convencido de que le prestarán la atención que se merece y que también seguirán de cerca las reacciones de sus grupos de interés.</w:t>
      </w:r>
    </w:p>
    <w:p w:rsidR="004D58CA" w:rsidRPr="004D58CA" w:rsidRDefault="004D58CA" w:rsidP="004D58CA">
      <w:pPr>
        <w:jc w:val="both"/>
        <w:rPr>
          <w:rFonts w:ascii="Arial" w:hAnsi="Arial" w:cs="Arial"/>
        </w:rPr>
      </w:pPr>
      <w:r w:rsidRPr="004D58CA">
        <w:rPr>
          <w:rFonts w:ascii="Arial" w:hAnsi="Arial" w:cs="Arial"/>
        </w:rPr>
        <w:t>Muchas gracias por su atención.</w:t>
      </w:r>
    </w:p>
    <w:p w:rsidR="004D58CA" w:rsidRPr="004D58CA" w:rsidRDefault="004D58CA" w:rsidP="004D58CA">
      <w:pPr>
        <w:jc w:val="both"/>
        <w:rPr>
          <w:rFonts w:ascii="Arial" w:hAnsi="Arial" w:cs="Arial"/>
        </w:rPr>
      </w:pPr>
    </w:p>
    <w:p w:rsidR="004D58CA" w:rsidRPr="004D58CA" w:rsidRDefault="004D58CA" w:rsidP="004D58CA">
      <w:pPr>
        <w:jc w:val="both"/>
        <w:rPr>
          <w:rFonts w:ascii="Arial" w:hAnsi="Arial" w:cs="Arial"/>
        </w:rPr>
      </w:pPr>
    </w:p>
    <w:p w:rsidR="004D58CA" w:rsidRDefault="004D58CA" w:rsidP="004D58CA">
      <w:pPr>
        <w:jc w:val="both"/>
        <w:rPr>
          <w:rFonts w:ascii="Arial" w:hAnsi="Arial" w:cs="Arial"/>
        </w:rPr>
      </w:pPr>
    </w:p>
    <w:p w:rsidR="004D58CA" w:rsidRPr="004D58CA" w:rsidRDefault="004D58CA" w:rsidP="004D58CA">
      <w:pPr>
        <w:jc w:val="both"/>
        <w:rPr>
          <w:rFonts w:ascii="Arial" w:hAnsi="Arial" w:cs="Arial"/>
        </w:rPr>
      </w:pPr>
    </w:p>
    <w:p w:rsidR="004D58CA" w:rsidRPr="004D58CA" w:rsidRDefault="004D58CA" w:rsidP="004D58CA">
      <w:pPr>
        <w:jc w:val="both"/>
        <w:rPr>
          <w:rFonts w:ascii="Arial" w:hAnsi="Arial" w:cs="Arial"/>
        </w:rPr>
      </w:pPr>
    </w:p>
    <w:sectPr w:rsidR="004D58CA" w:rsidRPr="004D58C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F0E" w:rsidRDefault="00E71F0E" w:rsidP="004D58CA">
      <w:pPr>
        <w:spacing w:after="0" w:line="240" w:lineRule="auto"/>
      </w:pPr>
      <w:r>
        <w:separator/>
      </w:r>
    </w:p>
  </w:endnote>
  <w:endnote w:type="continuationSeparator" w:id="0">
    <w:p w:rsidR="00E71F0E" w:rsidRDefault="00E71F0E" w:rsidP="004D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F0E" w:rsidRDefault="00E71F0E" w:rsidP="004D58CA">
      <w:pPr>
        <w:spacing w:after="0" w:line="240" w:lineRule="auto"/>
      </w:pPr>
      <w:r>
        <w:separator/>
      </w:r>
    </w:p>
  </w:footnote>
  <w:footnote w:type="continuationSeparator" w:id="0">
    <w:p w:rsidR="00E71F0E" w:rsidRDefault="00E71F0E" w:rsidP="004D58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CA"/>
    <w:rsid w:val="000F4B68"/>
    <w:rsid w:val="001739B4"/>
    <w:rsid w:val="003B63A5"/>
    <w:rsid w:val="004D58CA"/>
    <w:rsid w:val="00E71F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1B9F9-C80B-4ABD-90D0-CFEBE273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8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8CA"/>
  </w:style>
  <w:style w:type="paragraph" w:styleId="Piedepgina">
    <w:name w:val="footer"/>
    <w:basedOn w:val="Normal"/>
    <w:link w:val="PiedepginaCar"/>
    <w:uiPriority w:val="99"/>
    <w:unhideWhenUsed/>
    <w:rsid w:val="004D58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2556">
      <w:bodyDiv w:val="1"/>
      <w:marLeft w:val="0"/>
      <w:marRight w:val="0"/>
      <w:marTop w:val="0"/>
      <w:marBottom w:val="0"/>
      <w:divBdr>
        <w:top w:val="none" w:sz="0" w:space="0" w:color="auto"/>
        <w:left w:val="none" w:sz="0" w:space="0" w:color="auto"/>
        <w:bottom w:val="none" w:sz="0" w:space="0" w:color="auto"/>
        <w:right w:val="none" w:sz="0" w:space="0" w:color="auto"/>
      </w:divBdr>
    </w:div>
    <w:div w:id="319309581">
      <w:bodyDiv w:val="1"/>
      <w:marLeft w:val="0"/>
      <w:marRight w:val="0"/>
      <w:marTop w:val="0"/>
      <w:marBottom w:val="0"/>
      <w:divBdr>
        <w:top w:val="none" w:sz="0" w:space="0" w:color="auto"/>
        <w:left w:val="none" w:sz="0" w:space="0" w:color="auto"/>
        <w:bottom w:val="none" w:sz="0" w:space="0" w:color="auto"/>
        <w:right w:val="none" w:sz="0" w:space="0" w:color="auto"/>
      </w:divBdr>
    </w:div>
    <w:div w:id="639578925">
      <w:bodyDiv w:val="1"/>
      <w:marLeft w:val="0"/>
      <w:marRight w:val="0"/>
      <w:marTop w:val="0"/>
      <w:marBottom w:val="0"/>
      <w:divBdr>
        <w:top w:val="none" w:sz="0" w:space="0" w:color="auto"/>
        <w:left w:val="none" w:sz="0" w:space="0" w:color="auto"/>
        <w:bottom w:val="none" w:sz="0" w:space="0" w:color="auto"/>
        <w:right w:val="none" w:sz="0" w:space="0" w:color="auto"/>
      </w:divBdr>
    </w:div>
    <w:div w:id="701367601">
      <w:bodyDiv w:val="1"/>
      <w:marLeft w:val="0"/>
      <w:marRight w:val="0"/>
      <w:marTop w:val="0"/>
      <w:marBottom w:val="0"/>
      <w:divBdr>
        <w:top w:val="none" w:sz="0" w:space="0" w:color="auto"/>
        <w:left w:val="none" w:sz="0" w:space="0" w:color="auto"/>
        <w:bottom w:val="none" w:sz="0" w:space="0" w:color="auto"/>
        <w:right w:val="none" w:sz="0" w:space="0" w:color="auto"/>
      </w:divBdr>
    </w:div>
    <w:div w:id="881092713">
      <w:bodyDiv w:val="1"/>
      <w:marLeft w:val="0"/>
      <w:marRight w:val="0"/>
      <w:marTop w:val="0"/>
      <w:marBottom w:val="0"/>
      <w:divBdr>
        <w:top w:val="none" w:sz="0" w:space="0" w:color="auto"/>
        <w:left w:val="none" w:sz="0" w:space="0" w:color="auto"/>
        <w:bottom w:val="none" w:sz="0" w:space="0" w:color="auto"/>
        <w:right w:val="none" w:sz="0" w:space="0" w:color="auto"/>
      </w:divBdr>
    </w:div>
    <w:div w:id="1073505148">
      <w:bodyDiv w:val="1"/>
      <w:marLeft w:val="0"/>
      <w:marRight w:val="0"/>
      <w:marTop w:val="0"/>
      <w:marBottom w:val="0"/>
      <w:divBdr>
        <w:top w:val="none" w:sz="0" w:space="0" w:color="auto"/>
        <w:left w:val="none" w:sz="0" w:space="0" w:color="auto"/>
        <w:bottom w:val="none" w:sz="0" w:space="0" w:color="auto"/>
        <w:right w:val="none" w:sz="0" w:space="0" w:color="auto"/>
      </w:divBdr>
    </w:div>
    <w:div w:id="1431662603">
      <w:bodyDiv w:val="1"/>
      <w:marLeft w:val="0"/>
      <w:marRight w:val="0"/>
      <w:marTop w:val="0"/>
      <w:marBottom w:val="0"/>
      <w:divBdr>
        <w:top w:val="none" w:sz="0" w:space="0" w:color="auto"/>
        <w:left w:val="none" w:sz="0" w:space="0" w:color="auto"/>
        <w:bottom w:val="none" w:sz="0" w:space="0" w:color="auto"/>
        <w:right w:val="none" w:sz="0" w:space="0" w:color="auto"/>
      </w:divBdr>
    </w:div>
    <w:div w:id="1543708379">
      <w:bodyDiv w:val="1"/>
      <w:marLeft w:val="0"/>
      <w:marRight w:val="0"/>
      <w:marTop w:val="0"/>
      <w:marBottom w:val="0"/>
      <w:divBdr>
        <w:top w:val="none" w:sz="0" w:space="0" w:color="auto"/>
        <w:left w:val="none" w:sz="0" w:space="0" w:color="auto"/>
        <w:bottom w:val="none" w:sz="0" w:space="0" w:color="auto"/>
        <w:right w:val="none" w:sz="0" w:space="0" w:color="auto"/>
      </w:divBdr>
    </w:div>
    <w:div w:id="2061172795">
      <w:bodyDiv w:val="1"/>
      <w:marLeft w:val="0"/>
      <w:marRight w:val="0"/>
      <w:marTop w:val="0"/>
      <w:marBottom w:val="0"/>
      <w:divBdr>
        <w:top w:val="none" w:sz="0" w:space="0" w:color="auto"/>
        <w:left w:val="none" w:sz="0" w:space="0" w:color="auto"/>
        <w:bottom w:val="none" w:sz="0" w:space="0" w:color="auto"/>
        <w:right w:val="none" w:sz="0" w:space="0" w:color="auto"/>
      </w:divBdr>
    </w:div>
    <w:div w:id="20744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2599</Words>
  <Characters>14297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2021-07-08T04:44:00Z</dcterms:created>
  <dcterms:modified xsi:type="dcterms:W3CDTF">2021-07-08T04:53:00Z</dcterms:modified>
</cp:coreProperties>
</file>