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15" w:rsidRPr="00421515" w:rsidRDefault="00421515" w:rsidP="00421515">
      <w:pPr>
        <w:jc w:val="both"/>
        <w:rPr>
          <w:rFonts w:ascii="Arial" w:hAnsi="Arial" w:cs="Arial"/>
          <w:b/>
        </w:rPr>
      </w:pPr>
      <w:r w:rsidRPr="00421515">
        <w:rPr>
          <w:rFonts w:ascii="Arial" w:hAnsi="Arial" w:cs="Arial"/>
          <w:b/>
        </w:rPr>
        <w:t>“El valor del LEI para la identificación en digital</w:t>
      </w:r>
      <w:r w:rsidRPr="00421515">
        <w:rPr>
          <w:rFonts w:ascii="Arial" w:hAnsi="Arial" w:cs="Arial"/>
          <w:b/>
        </w:rPr>
        <w:t xml:space="preserve"> </w:t>
      </w:r>
      <w:bookmarkStart w:id="0" w:name="_GoBack"/>
      <w:bookmarkEnd w:id="0"/>
      <w:r w:rsidR="00CE06C9" w:rsidRPr="00421515">
        <w:rPr>
          <w:rFonts w:ascii="Arial" w:hAnsi="Arial" w:cs="Arial"/>
          <w:b/>
        </w:rPr>
        <w:t>Procesos”</w:t>
      </w:r>
    </w:p>
    <w:p w:rsidR="00421515" w:rsidRPr="00421515" w:rsidRDefault="00421515" w:rsidP="00421515">
      <w:pPr>
        <w:jc w:val="both"/>
        <w:rPr>
          <w:rFonts w:ascii="Arial" w:hAnsi="Arial" w:cs="Arial"/>
        </w:rPr>
      </w:pPr>
    </w:p>
    <w:p w:rsidR="00ED7650" w:rsidRPr="00421515" w:rsidRDefault="00421515" w:rsidP="00421515">
      <w:pPr>
        <w:jc w:val="both"/>
        <w:rPr>
          <w:rFonts w:ascii="Arial" w:hAnsi="Arial" w:cs="Arial"/>
        </w:rPr>
      </w:pPr>
      <w:r w:rsidRPr="00421515">
        <w:rPr>
          <w:rFonts w:ascii="Arial" w:hAnsi="Arial" w:cs="Arial"/>
        </w:rPr>
        <w:t xml:space="preserve">Discurso de </w:t>
      </w:r>
      <w:proofErr w:type="spellStart"/>
      <w:r w:rsidRPr="00421515">
        <w:rPr>
          <w:rFonts w:ascii="Arial" w:hAnsi="Arial" w:cs="Arial"/>
        </w:rPr>
        <w:t>Klaas</w:t>
      </w:r>
      <w:proofErr w:type="spellEnd"/>
      <w:r w:rsidRPr="00421515">
        <w:rPr>
          <w:rFonts w:ascii="Arial" w:hAnsi="Arial" w:cs="Arial"/>
        </w:rPr>
        <w:t xml:space="preserve"> </w:t>
      </w:r>
      <w:proofErr w:type="spellStart"/>
      <w:r w:rsidRPr="00421515">
        <w:rPr>
          <w:rFonts w:ascii="Arial" w:hAnsi="Arial" w:cs="Arial"/>
        </w:rPr>
        <w:t>Knot</w:t>
      </w:r>
      <w:proofErr w:type="spellEnd"/>
      <w:r w:rsidRPr="00421515">
        <w:rPr>
          <w:rFonts w:ascii="Arial" w:hAnsi="Arial" w:cs="Arial"/>
        </w:rPr>
        <w:t xml:space="preserve"> en el evento </w:t>
      </w:r>
      <w:proofErr w:type="spellStart"/>
      <w:r w:rsidRPr="00421515">
        <w:rPr>
          <w:rFonts w:ascii="Arial" w:hAnsi="Arial" w:cs="Arial"/>
        </w:rPr>
        <w:t>Meet</w:t>
      </w:r>
      <w:proofErr w:type="spellEnd"/>
      <w:r w:rsidRPr="00421515">
        <w:rPr>
          <w:rFonts w:ascii="Arial" w:hAnsi="Arial" w:cs="Arial"/>
        </w:rPr>
        <w:t xml:space="preserve"> </w:t>
      </w:r>
      <w:proofErr w:type="spellStart"/>
      <w:r w:rsidRPr="00421515">
        <w:rPr>
          <w:rFonts w:ascii="Arial" w:hAnsi="Arial" w:cs="Arial"/>
        </w:rPr>
        <w:t>the</w:t>
      </w:r>
      <w:proofErr w:type="spellEnd"/>
      <w:r w:rsidRPr="00421515">
        <w:rPr>
          <w:rFonts w:ascii="Arial" w:hAnsi="Arial" w:cs="Arial"/>
        </w:rPr>
        <w:t xml:space="preserve"> </w:t>
      </w:r>
      <w:proofErr w:type="spellStart"/>
      <w:r w:rsidRPr="00421515">
        <w:rPr>
          <w:rFonts w:ascii="Arial" w:hAnsi="Arial" w:cs="Arial"/>
        </w:rPr>
        <w:t>Market</w:t>
      </w:r>
      <w:proofErr w:type="spellEnd"/>
      <w:r w:rsidRPr="00421515">
        <w:rPr>
          <w:rFonts w:ascii="Arial" w:hAnsi="Arial" w:cs="Arial"/>
        </w:rPr>
        <w:t xml:space="preserve"> 2020 de la GLEIF en Ámsterdam, 4 de febrero de 2020</w:t>
      </w:r>
    </w:p>
    <w:p w:rsidR="00421515" w:rsidRPr="00421515" w:rsidRDefault="00421515" w:rsidP="00421515">
      <w:pPr>
        <w:jc w:val="both"/>
        <w:rPr>
          <w:rFonts w:ascii="Arial" w:hAnsi="Arial" w:cs="Arial"/>
        </w:rPr>
      </w:pPr>
    </w:p>
    <w:p w:rsidR="00421515" w:rsidRDefault="00421515" w:rsidP="00421515">
      <w:pPr>
        <w:jc w:val="both"/>
        <w:rPr>
          <w:rFonts w:ascii="Arial" w:hAnsi="Arial" w:cs="Arial"/>
        </w:rPr>
      </w:pPr>
      <w:r w:rsidRPr="00421515">
        <w:rPr>
          <w:rFonts w:ascii="Arial" w:hAnsi="Arial" w:cs="Arial"/>
        </w:rPr>
        <w:t xml:space="preserve">Este evento </w:t>
      </w:r>
      <w:proofErr w:type="spellStart"/>
      <w:r w:rsidRPr="00421515">
        <w:rPr>
          <w:rFonts w:ascii="Arial" w:hAnsi="Arial" w:cs="Arial"/>
        </w:rPr>
        <w:t>Meet</w:t>
      </w:r>
      <w:proofErr w:type="spellEnd"/>
      <w:r w:rsidRPr="00421515">
        <w:rPr>
          <w:rFonts w:ascii="Arial" w:hAnsi="Arial" w:cs="Arial"/>
        </w:rPr>
        <w:t xml:space="preserve"> </w:t>
      </w:r>
      <w:proofErr w:type="spellStart"/>
      <w:r w:rsidRPr="00421515">
        <w:rPr>
          <w:rFonts w:ascii="Arial" w:hAnsi="Arial" w:cs="Arial"/>
        </w:rPr>
        <w:t>the</w:t>
      </w:r>
      <w:proofErr w:type="spellEnd"/>
      <w:r w:rsidRPr="00421515">
        <w:rPr>
          <w:rFonts w:ascii="Arial" w:hAnsi="Arial" w:cs="Arial"/>
        </w:rPr>
        <w:t xml:space="preserve"> </w:t>
      </w:r>
      <w:proofErr w:type="spellStart"/>
      <w:r w:rsidRPr="00421515">
        <w:rPr>
          <w:rFonts w:ascii="Arial" w:hAnsi="Arial" w:cs="Arial"/>
        </w:rPr>
        <w:t>Market</w:t>
      </w:r>
      <w:proofErr w:type="spellEnd"/>
      <w:r w:rsidRPr="00421515">
        <w:rPr>
          <w:rFonts w:ascii="Arial" w:hAnsi="Arial" w:cs="Arial"/>
        </w:rPr>
        <w:t xml:space="preserve"> fue organizado por la Global Legal </w:t>
      </w:r>
      <w:proofErr w:type="spellStart"/>
      <w:r w:rsidRPr="00421515">
        <w:rPr>
          <w:rFonts w:ascii="Arial" w:hAnsi="Arial" w:cs="Arial"/>
        </w:rPr>
        <w:t>Entity</w:t>
      </w:r>
      <w:proofErr w:type="spellEnd"/>
      <w:r w:rsidRPr="00421515">
        <w:rPr>
          <w:rFonts w:ascii="Arial" w:hAnsi="Arial" w:cs="Arial"/>
        </w:rPr>
        <w:t xml:space="preserve"> </w:t>
      </w:r>
      <w:proofErr w:type="spellStart"/>
      <w:r w:rsidRPr="00421515">
        <w:rPr>
          <w:rFonts w:ascii="Arial" w:hAnsi="Arial" w:cs="Arial"/>
        </w:rPr>
        <w:t>Identifier</w:t>
      </w:r>
      <w:proofErr w:type="spellEnd"/>
      <w:r w:rsidRPr="00421515">
        <w:rPr>
          <w:rFonts w:ascii="Arial" w:hAnsi="Arial" w:cs="Arial"/>
        </w:rPr>
        <w:t xml:space="preserve"> </w:t>
      </w:r>
      <w:proofErr w:type="spellStart"/>
      <w:r w:rsidRPr="00421515">
        <w:rPr>
          <w:rFonts w:ascii="Arial" w:hAnsi="Arial" w:cs="Arial"/>
        </w:rPr>
        <w:t>Foundation</w:t>
      </w:r>
      <w:proofErr w:type="spellEnd"/>
      <w:r w:rsidRPr="00421515">
        <w:rPr>
          <w:rFonts w:ascii="Arial" w:hAnsi="Arial" w:cs="Arial"/>
        </w:rPr>
        <w:t xml:space="preserve"> (GLEIF) y organizado en cooperación con DNB. En su discurso de apertura, </w:t>
      </w:r>
      <w:proofErr w:type="spellStart"/>
      <w:r w:rsidRPr="00421515">
        <w:rPr>
          <w:rFonts w:ascii="Arial" w:hAnsi="Arial" w:cs="Arial"/>
        </w:rPr>
        <w:t>Klaas</w:t>
      </w:r>
      <w:proofErr w:type="spellEnd"/>
      <w:r w:rsidRPr="00421515">
        <w:rPr>
          <w:rFonts w:ascii="Arial" w:hAnsi="Arial" w:cs="Arial"/>
        </w:rPr>
        <w:t xml:space="preserve"> </w:t>
      </w:r>
      <w:proofErr w:type="spellStart"/>
      <w:r w:rsidRPr="00421515">
        <w:rPr>
          <w:rFonts w:ascii="Arial" w:hAnsi="Arial" w:cs="Arial"/>
        </w:rPr>
        <w:t>Knot</w:t>
      </w:r>
      <w:proofErr w:type="spellEnd"/>
      <w:r w:rsidRPr="00421515">
        <w:rPr>
          <w:rFonts w:ascii="Arial" w:hAnsi="Arial" w:cs="Arial"/>
        </w:rPr>
        <w:t xml:space="preserve"> describió los antecedentes del Identificador de entidad legal (LEI) y describió el valioso papel que puede desempeñar en la gestión de riesgos financieros y la mejora de la calidad y precisión de los datos financieros. El Sr. </w:t>
      </w:r>
      <w:proofErr w:type="spellStart"/>
      <w:r w:rsidRPr="00421515">
        <w:rPr>
          <w:rFonts w:ascii="Arial" w:hAnsi="Arial" w:cs="Arial"/>
        </w:rPr>
        <w:t>Knot</w:t>
      </w:r>
      <w:proofErr w:type="spellEnd"/>
      <w:r w:rsidRPr="00421515">
        <w:rPr>
          <w:rFonts w:ascii="Arial" w:hAnsi="Arial" w:cs="Arial"/>
        </w:rPr>
        <w:t xml:space="preserve"> también enfatizó cómo las autoridades y los participantes del mercado pueden cosechar los beneficios de una adopción más generalizada del LEI.</w:t>
      </w:r>
    </w:p>
    <w:p w:rsidR="00421515" w:rsidRPr="00421515" w:rsidRDefault="00421515" w:rsidP="00421515">
      <w:pPr>
        <w:jc w:val="both"/>
        <w:rPr>
          <w:rFonts w:ascii="Arial" w:hAnsi="Arial" w:cs="Arial"/>
        </w:rPr>
      </w:pPr>
      <w:r w:rsidRPr="00421515">
        <w:rPr>
          <w:rFonts w:ascii="Arial" w:hAnsi="Arial" w:cs="Arial"/>
        </w:rPr>
        <w:t xml:space="preserve">Buenas tardes y bienvenido a 5-4-9-3-0-0-1-O-3-6-C-V-K-P-V-L-2 D-4-8. En otras palabras, bienvenido a De </w:t>
      </w:r>
      <w:proofErr w:type="spellStart"/>
      <w:r w:rsidRPr="00421515">
        <w:rPr>
          <w:rFonts w:ascii="Arial" w:hAnsi="Arial" w:cs="Arial"/>
        </w:rPr>
        <w:t>Nederlandsche</w:t>
      </w:r>
      <w:proofErr w:type="spellEnd"/>
      <w:r w:rsidRPr="00421515">
        <w:rPr>
          <w:rFonts w:ascii="Arial" w:hAnsi="Arial" w:cs="Arial"/>
        </w:rPr>
        <w:t xml:space="preserve"> Bank.</w:t>
      </w:r>
    </w:p>
    <w:p w:rsidR="00421515" w:rsidRPr="00421515" w:rsidRDefault="00421515" w:rsidP="00421515">
      <w:pPr>
        <w:jc w:val="both"/>
        <w:rPr>
          <w:rFonts w:ascii="Arial" w:hAnsi="Arial" w:cs="Arial"/>
        </w:rPr>
      </w:pPr>
      <w:r w:rsidRPr="00421515">
        <w:rPr>
          <w:rFonts w:ascii="Arial" w:hAnsi="Arial" w:cs="Arial"/>
        </w:rPr>
        <w:t>Por supuesto, es más fácil llamar a este lugar por su nombre. Y no por su código alfanumérico de 20 caracteres. Pero el Identificador de Entidad Legal - en resumen, LEI - es una iniciativa valiosa y eso es lo que estamos aquí para discutir hoy. Antes de hacerlo, permítanme compartir algunos antecedentes, desde mi perspectiva, sobre cómo y por qué se desarrolló el LEI. Y cómo puede desempeñar un papel importante para ampliar aún más su uso. De este modo, el sistema financiero es un poco más seguro, un LEI a la vez.</w:t>
      </w:r>
    </w:p>
    <w:p w:rsidR="00421515" w:rsidRPr="00421515" w:rsidRDefault="00421515" w:rsidP="00421515">
      <w:pPr>
        <w:jc w:val="both"/>
        <w:rPr>
          <w:rFonts w:ascii="Arial" w:hAnsi="Arial" w:cs="Arial"/>
        </w:rPr>
      </w:pPr>
      <w:r w:rsidRPr="00421515">
        <w:rPr>
          <w:rFonts w:ascii="Arial" w:hAnsi="Arial" w:cs="Arial"/>
        </w:rPr>
        <w:t>Como muchas otras innovaciones regulatorias, el LEI nació de la crisis financiera mundial. En los años previos a la crisis, una diversa gama de entidades legales negocian en los mercados financieros. Muchos de ellos también formaban parte de empresas mucho más grandes, aunque esto no siempre estuvo claro. Estos conglomerados financieros combinaron muchas estructuras y actividades diferentes. Y operaron en muchas jurisdicciones diferentes.</w:t>
      </w:r>
    </w:p>
    <w:p w:rsidR="00421515" w:rsidRPr="00421515" w:rsidRDefault="00421515" w:rsidP="00421515">
      <w:pPr>
        <w:jc w:val="both"/>
        <w:rPr>
          <w:rFonts w:ascii="Arial" w:hAnsi="Arial" w:cs="Arial"/>
        </w:rPr>
      </w:pPr>
      <w:r w:rsidRPr="00421515">
        <w:rPr>
          <w:rFonts w:ascii="Arial" w:hAnsi="Arial" w:cs="Arial"/>
        </w:rPr>
        <w:t xml:space="preserve">Pero también les faltó transparencia y estabilidad. </w:t>
      </w:r>
      <w:proofErr w:type="spellStart"/>
      <w:r w:rsidRPr="00421515">
        <w:rPr>
          <w:rFonts w:ascii="Arial" w:hAnsi="Arial" w:cs="Arial"/>
        </w:rPr>
        <w:t>Lehman</w:t>
      </w:r>
      <w:proofErr w:type="spellEnd"/>
      <w:r w:rsidRPr="00421515">
        <w:rPr>
          <w:rFonts w:ascii="Arial" w:hAnsi="Arial" w:cs="Arial"/>
        </w:rPr>
        <w:t xml:space="preserve"> </w:t>
      </w:r>
      <w:proofErr w:type="spellStart"/>
      <w:r w:rsidRPr="00421515">
        <w:rPr>
          <w:rFonts w:ascii="Arial" w:hAnsi="Arial" w:cs="Arial"/>
        </w:rPr>
        <w:t>Brothers</w:t>
      </w:r>
      <w:proofErr w:type="spellEnd"/>
      <w:r w:rsidRPr="00421515">
        <w:rPr>
          <w:rFonts w:ascii="Arial" w:hAnsi="Arial" w:cs="Arial"/>
        </w:rPr>
        <w:t xml:space="preserve"> fue un excelente ejemplo de esto: un mosaico de interdependencias transfronterizas y entre entidades. La insolvencia de </w:t>
      </w:r>
      <w:proofErr w:type="spellStart"/>
      <w:r w:rsidRPr="00421515">
        <w:rPr>
          <w:rFonts w:ascii="Arial" w:hAnsi="Arial" w:cs="Arial"/>
        </w:rPr>
        <w:t>Lehman</w:t>
      </w:r>
      <w:proofErr w:type="spellEnd"/>
      <w:r w:rsidRPr="00421515">
        <w:rPr>
          <w:rFonts w:ascii="Arial" w:hAnsi="Arial" w:cs="Arial"/>
        </w:rPr>
        <w:t xml:space="preserve"> dio lugar a más de setenta y cinco procedimientos de quiebra separados. Cuando colapsó, el grupo era parte de más de novecientos mil contratos de derivados.</w:t>
      </w:r>
    </w:p>
    <w:p w:rsidR="00421515" w:rsidRDefault="00421515" w:rsidP="00421515">
      <w:pPr>
        <w:jc w:val="both"/>
        <w:rPr>
          <w:rFonts w:ascii="Arial" w:hAnsi="Arial" w:cs="Arial"/>
        </w:rPr>
      </w:pPr>
      <w:r w:rsidRPr="00421515">
        <w:rPr>
          <w:rFonts w:ascii="Arial" w:hAnsi="Arial" w:cs="Arial"/>
        </w:rPr>
        <w:t>Cuando estalló la crisis, no estaba claro qué partido debía qué a quién. La inseguridad resultante provocó aún más pánico en los mercados financieros. La raíz del problema era la gran cantidad de personas jurídicas, esparcidas por todo el mundo, sin un método internacional uniforme de identificación.</w:t>
      </w:r>
    </w:p>
    <w:p w:rsidR="00421515" w:rsidRPr="00421515" w:rsidRDefault="00421515" w:rsidP="00421515">
      <w:pPr>
        <w:jc w:val="both"/>
        <w:rPr>
          <w:rFonts w:ascii="Arial" w:hAnsi="Arial" w:cs="Arial"/>
        </w:rPr>
      </w:pPr>
      <w:r w:rsidRPr="00421515">
        <w:rPr>
          <w:rFonts w:ascii="Arial" w:hAnsi="Arial" w:cs="Arial"/>
        </w:rPr>
        <w:t xml:space="preserve">Por lo tanto, el LEI se introdujo para abordar este problema y, en 2012, el G20 aprobó el Sistema LEI como estándar mundial. El objetivo del G20 es la “adopción global del LEI para ayudar a las autoridades y participantes del mercado a identificar y gestionar los riesgos financieros”. Desde que se introdujo, más de 1,5 millones de entidades en más de 200 países se han registrado para un LEI. El LEI ha tenido una adopción generalizada en varios mercados financieros, sobre todo en los mercados de derivados extrabursátiles. También </w:t>
      </w:r>
      <w:r w:rsidRPr="00421515">
        <w:rPr>
          <w:rFonts w:ascii="Arial" w:hAnsi="Arial" w:cs="Arial"/>
        </w:rPr>
        <w:lastRenderedPageBreak/>
        <w:t>se utiliza cada vez más en la emisión de títulos de deuda y acciones en las jurisdicciones. En otras áreas, la adopción del LEI está menos extendida y el Consejo de Estabilidad Financiera (FSB) continúa monitoreando este progreso.</w:t>
      </w:r>
    </w:p>
    <w:p w:rsidR="00421515" w:rsidRPr="00421515" w:rsidRDefault="00421515" w:rsidP="00421515">
      <w:pPr>
        <w:jc w:val="both"/>
        <w:rPr>
          <w:rFonts w:ascii="Arial" w:hAnsi="Arial" w:cs="Arial"/>
        </w:rPr>
      </w:pPr>
      <w:r w:rsidRPr="00421515">
        <w:rPr>
          <w:rFonts w:ascii="Arial" w:hAnsi="Arial" w:cs="Arial"/>
        </w:rPr>
        <w:t>De acuerdo con las recomendaciones del G20, el FSB es un firme partidario de una adopción más amplia del LEI. Vemos muchos beneficios no solo desde una perspectiva regulatoria. El LEI ha contribuido a que el sistema financiero sea más seguro. Las autoridades pueden usarlo para muchos propósitos regulatorios diferentes. Por ejemplo, pueden usar el LEI para monitorear el riesgo financiero, para realizar un seguimiento de la exposición al riesgo agregado de las entidades financieras, para la planificación de la resolución. Un buen ejemplo es la incorporación del LEI en los datos sobre contratos de derivados informados por los registros de operaciones. Esto es muy útil para darles a los supervisores una imagen clara de lo que está sucediendo.</w:t>
      </w:r>
    </w:p>
    <w:p w:rsidR="00421515" w:rsidRPr="00421515" w:rsidRDefault="00421515" w:rsidP="00421515">
      <w:pPr>
        <w:jc w:val="both"/>
        <w:rPr>
          <w:rFonts w:ascii="Arial" w:hAnsi="Arial" w:cs="Arial"/>
        </w:rPr>
      </w:pPr>
      <w:r w:rsidRPr="00421515">
        <w:rPr>
          <w:rFonts w:ascii="Arial" w:hAnsi="Arial" w:cs="Arial"/>
        </w:rPr>
        <w:t>El LEI también ha dado lugar a muchas mejoras en la calidad de los datos y, por lo tanto, en la calidad del análisis de datos. Esto abre posibilidades para la investigación y la agregación de datos. También mejora la precisión de los informes de datos y hace que los datos sean más comparables a nivel internacional. El LEI se está utilizando ahora en pruebas de resistencia internacionales. Es invaluable para ayudar a comprender la interconexión. Ha mejorado nuestra comprensión de la acumulación de riesgo en múltiples jurisdicciones.</w:t>
      </w:r>
    </w:p>
    <w:p w:rsidR="00421515" w:rsidRDefault="00421515" w:rsidP="00421515">
      <w:pPr>
        <w:jc w:val="both"/>
        <w:rPr>
          <w:rFonts w:ascii="Arial" w:hAnsi="Arial" w:cs="Arial"/>
        </w:rPr>
      </w:pPr>
      <w:r w:rsidRPr="00421515">
        <w:rPr>
          <w:rFonts w:ascii="Arial" w:hAnsi="Arial" w:cs="Arial"/>
        </w:rPr>
        <w:t>Estos beneficios no solo están disponibles para los reguladores y otras autoridades. Obviamente, estas ventajas también están disponibles para la industria financiera y los académicos en general.</w:t>
      </w:r>
    </w:p>
    <w:p w:rsidR="00421515" w:rsidRPr="00421515" w:rsidRDefault="00421515" w:rsidP="00421515">
      <w:pPr>
        <w:jc w:val="both"/>
        <w:rPr>
          <w:rFonts w:ascii="Arial" w:hAnsi="Arial" w:cs="Arial"/>
        </w:rPr>
      </w:pPr>
      <w:r w:rsidRPr="00421515">
        <w:rPr>
          <w:rFonts w:ascii="Arial" w:hAnsi="Arial" w:cs="Arial"/>
        </w:rPr>
        <w:t>De cara al futuro, estoy convencido de que el LEI desempeñará un papel cada vez más importante en los procesos contra el blanqueo de capitales. Los bancos en Europa están invirtiendo fuertemente en formas de combatir los flujos de dinero ilegales. Esto comienza con conocer a su cliente. El LEI no solo reduce significativamente el tiempo y la carga administrativa necesarios para la incorporación del cliente.</w:t>
      </w:r>
    </w:p>
    <w:p w:rsidR="00421515" w:rsidRPr="00421515" w:rsidRDefault="00421515" w:rsidP="00421515">
      <w:pPr>
        <w:jc w:val="both"/>
        <w:rPr>
          <w:rFonts w:ascii="Arial" w:hAnsi="Arial" w:cs="Arial"/>
        </w:rPr>
      </w:pPr>
      <w:r w:rsidRPr="00421515">
        <w:rPr>
          <w:rFonts w:ascii="Arial" w:hAnsi="Arial" w:cs="Arial"/>
        </w:rPr>
        <w:t>También garantiza que las empresas puedan conocer de forma clara e inequívoca a sus clientes y realizar un seguimiento de su identidad financiera. Sin mencionar el papel que puede desempeñar el LEI para eliminar la complejidad innecesaria de las transacciones comerciales.</w:t>
      </w:r>
    </w:p>
    <w:p w:rsidR="00421515" w:rsidRPr="00421515" w:rsidRDefault="00421515" w:rsidP="00421515">
      <w:pPr>
        <w:jc w:val="both"/>
        <w:rPr>
          <w:rFonts w:ascii="Arial" w:hAnsi="Arial" w:cs="Arial"/>
        </w:rPr>
      </w:pPr>
      <w:r w:rsidRPr="00421515">
        <w:rPr>
          <w:rFonts w:ascii="Arial" w:hAnsi="Arial" w:cs="Arial"/>
        </w:rPr>
        <w:t>Hay muchos otros beneficios. Y estos se multiplicarán a medida que se descubran y desarrollen nuevas aplicaciones. El evento de hoy se trata de encontrar estos beneficios en las diversas áreas de las finanzas en las que participa. Solo si se convence a los participantes del mercado de los beneficios del LEI, se les animará a contribuir a su uso más generalizado.</w:t>
      </w:r>
    </w:p>
    <w:p w:rsidR="00421515" w:rsidRPr="00421515" w:rsidRDefault="00421515" w:rsidP="00421515">
      <w:pPr>
        <w:jc w:val="both"/>
        <w:rPr>
          <w:rFonts w:ascii="Arial" w:hAnsi="Arial" w:cs="Arial"/>
        </w:rPr>
      </w:pPr>
      <w:r w:rsidRPr="00421515">
        <w:rPr>
          <w:rFonts w:ascii="Arial" w:hAnsi="Arial" w:cs="Arial"/>
        </w:rPr>
        <w:t>Está claro que el LEI ofrece muchos beneficios y cuenta con un apoyo generalizado. Algunos de ustedes han estado trabajando con el LEI desde el principio y son firmes defensores. Sin embargo, todavía queda mucho por hacer para cumplir el objetivo del G20. El año pasado, el FSB llevó a cabo una revisión por pares para evaluar la adopción y el uso actuales del LEI. Se le ocurrieron cuatro conjuntos de recomendaciones para respaldar el uso más amplio del LEI.</w:t>
      </w:r>
    </w:p>
    <w:p w:rsidR="00421515" w:rsidRPr="00421515" w:rsidRDefault="00421515" w:rsidP="00421515">
      <w:pPr>
        <w:jc w:val="both"/>
        <w:rPr>
          <w:rFonts w:ascii="Arial" w:hAnsi="Arial" w:cs="Arial"/>
        </w:rPr>
      </w:pPr>
    </w:p>
    <w:p w:rsidR="00421515" w:rsidRPr="00421515" w:rsidRDefault="00421515" w:rsidP="00421515">
      <w:pPr>
        <w:jc w:val="both"/>
        <w:rPr>
          <w:rFonts w:ascii="Arial" w:hAnsi="Arial" w:cs="Arial"/>
        </w:rPr>
      </w:pPr>
      <w:r w:rsidRPr="00421515">
        <w:rPr>
          <w:rFonts w:ascii="Arial" w:hAnsi="Arial" w:cs="Arial"/>
        </w:rPr>
        <w:lastRenderedPageBreak/>
        <w:t>En primer lugar, las jurisdicciones del FSB deberían exigir el uso de LEI para la identificación de entidades legales en los datos reportados a los registros de operaciones. Se trata de una estrategia que ya se está aplicando en Europa para los datos de derivados y, a partir de abril, también para los datos sobre operaciones de financiación de valores. Las jurisdicciones también deben considerar exigir el uso y la renovación oportuna del LEI en los marcos de presentación de informes para un conjunto más amplio de participantes e infraestructuras del mercado financiero que en la actualidad. Hay muchas formas en que las jurisdicciones pueden promover una mayor adopción del LEI. Deben esforzarse por hacer un uso completo del LEI para poder obtener todos los beneficios. El FSB monitoreará la implementación de esta recomendación como parte de sus actividades regulares de monitoreo de implementación.</w:t>
      </w:r>
    </w:p>
    <w:p w:rsidR="00421515" w:rsidRPr="00421515" w:rsidRDefault="00421515" w:rsidP="00421515">
      <w:pPr>
        <w:jc w:val="both"/>
        <w:rPr>
          <w:rFonts w:ascii="Arial" w:hAnsi="Arial" w:cs="Arial"/>
        </w:rPr>
      </w:pPr>
      <w:r w:rsidRPr="00421515">
        <w:rPr>
          <w:rFonts w:ascii="Arial" w:hAnsi="Arial" w:cs="Arial"/>
        </w:rPr>
        <w:t>El segundo conjunto de recomendaciones está dirigido al propio FSB. El FSB debería explorar el papel potencial del LEI en diferentes áreas de actividad. Actualmente se está trabajando para explorar el uso de LEI en la resolución de instituciones financieras y en cuestiones de innovación financiera, por ejemplo.</w:t>
      </w:r>
    </w:p>
    <w:p w:rsidR="00421515" w:rsidRDefault="00421515" w:rsidP="00421515">
      <w:pPr>
        <w:jc w:val="both"/>
        <w:rPr>
          <w:rFonts w:ascii="Arial" w:hAnsi="Arial" w:cs="Arial"/>
        </w:rPr>
      </w:pPr>
      <w:r w:rsidRPr="00421515">
        <w:rPr>
          <w:rFonts w:ascii="Arial" w:hAnsi="Arial" w:cs="Arial"/>
        </w:rPr>
        <w:t>El FSB trabajará con organismos de la industria y de establecimiento de estándares para facilitar la adopción de LEI. Además de las entidades del grupo y las principales contrapartes de las instituciones financieras mundiales, los miembros compensadores de las ECC también deberían adoptar el LEI para respaldar el análisis oportuno de las exposiciones al riesgo y las interdependencias. El FSB, en colaboración con otros emisores de normas y la industria, también promoverá la inclusión de LEI en los mensajes de pago. También considerará los beneficios del LEI en los pagos transfronterizos.</w:t>
      </w:r>
    </w:p>
    <w:p w:rsidR="00CE06C9" w:rsidRPr="00CE06C9" w:rsidRDefault="00CE06C9" w:rsidP="00CE06C9">
      <w:pPr>
        <w:jc w:val="both"/>
        <w:rPr>
          <w:rFonts w:ascii="Arial" w:hAnsi="Arial" w:cs="Arial"/>
        </w:rPr>
      </w:pPr>
      <w:r w:rsidRPr="00CE06C9">
        <w:rPr>
          <w:rFonts w:ascii="Arial" w:hAnsi="Arial" w:cs="Arial"/>
        </w:rPr>
        <w:t>La implementación de la norma ISO 20022 será un gran paso adelante en este sentido. En tercer lugar, otros organismos normativos y organizaciones internacionales pertinentes, como el Comité de Basilea y el FMI, deberían revisar las formas de incorporar o mejorar las referencias al LEI en su trabajo, lo que podría facilitar la implementación de usos relevantes del LEI tanto para las autoridades como para los participantes del mercado. .</w:t>
      </w:r>
    </w:p>
    <w:p w:rsidR="00CE06C9" w:rsidRPr="00CE06C9" w:rsidRDefault="00CE06C9" w:rsidP="00CE06C9">
      <w:pPr>
        <w:jc w:val="both"/>
        <w:rPr>
          <w:rFonts w:ascii="Arial" w:hAnsi="Arial" w:cs="Arial"/>
        </w:rPr>
      </w:pPr>
      <w:r w:rsidRPr="00CE06C9">
        <w:rPr>
          <w:rFonts w:ascii="Arial" w:hAnsi="Arial" w:cs="Arial"/>
        </w:rPr>
        <w:t xml:space="preserve">El cuarto conjunto de recomendaciones está dirigido al Comité de Supervisión Regulatoria de LEI y a la Global LEI </w:t>
      </w:r>
      <w:proofErr w:type="spellStart"/>
      <w:r w:rsidRPr="00CE06C9">
        <w:rPr>
          <w:rFonts w:ascii="Arial" w:hAnsi="Arial" w:cs="Arial"/>
        </w:rPr>
        <w:t>Foundation</w:t>
      </w:r>
      <w:proofErr w:type="spellEnd"/>
      <w:r w:rsidRPr="00CE06C9">
        <w:rPr>
          <w:rFonts w:ascii="Arial" w:hAnsi="Arial" w:cs="Arial"/>
        </w:rPr>
        <w:t>. El FSB recomienda que consideren mejorar el modelo comercial de LEI para reducir el costo y la carga administrativa para las entidades. También deben considerar mejoras en la calidad de los datos para aumentar la confiabilidad de los datos LEI y aumentar el alcance y la usabilidad de los datos de relación de Nivel 2.</w:t>
      </w:r>
    </w:p>
    <w:p w:rsidR="00CE06C9" w:rsidRPr="00CE06C9" w:rsidRDefault="00CE06C9" w:rsidP="00CE06C9">
      <w:pPr>
        <w:jc w:val="both"/>
        <w:rPr>
          <w:rFonts w:ascii="Arial" w:hAnsi="Arial" w:cs="Arial"/>
        </w:rPr>
      </w:pPr>
      <w:r w:rsidRPr="00CE06C9">
        <w:rPr>
          <w:rFonts w:ascii="Arial" w:hAnsi="Arial" w:cs="Arial"/>
        </w:rPr>
        <w:t xml:space="preserve">El FSB también recomienda que la Global LEI </w:t>
      </w:r>
      <w:proofErr w:type="spellStart"/>
      <w:r w:rsidRPr="00CE06C9">
        <w:rPr>
          <w:rFonts w:ascii="Arial" w:hAnsi="Arial" w:cs="Arial"/>
        </w:rPr>
        <w:t>Foundation</w:t>
      </w:r>
      <w:proofErr w:type="spellEnd"/>
      <w:r w:rsidRPr="00CE06C9">
        <w:rPr>
          <w:rFonts w:ascii="Arial" w:hAnsi="Arial" w:cs="Arial"/>
        </w:rPr>
        <w:t xml:space="preserve"> trabaje con la industria y el sector público para crear conciencia sobre los beneficios del LEI. Y es en el contexto de esa recomendación que estamos aquí en </w:t>
      </w:r>
      <w:proofErr w:type="spellStart"/>
      <w:r w:rsidRPr="00CE06C9">
        <w:rPr>
          <w:rFonts w:ascii="Arial" w:hAnsi="Arial" w:cs="Arial"/>
        </w:rPr>
        <w:t>Amsterdam</w:t>
      </w:r>
      <w:proofErr w:type="spellEnd"/>
      <w:r w:rsidRPr="00CE06C9">
        <w:rPr>
          <w:rFonts w:ascii="Arial" w:hAnsi="Arial" w:cs="Arial"/>
        </w:rPr>
        <w:t>.</w:t>
      </w:r>
    </w:p>
    <w:p w:rsidR="00CE06C9" w:rsidRPr="00CE06C9" w:rsidRDefault="00CE06C9" w:rsidP="00CE06C9">
      <w:pPr>
        <w:jc w:val="both"/>
        <w:rPr>
          <w:rFonts w:ascii="Arial" w:hAnsi="Arial" w:cs="Arial"/>
        </w:rPr>
      </w:pPr>
      <w:r w:rsidRPr="00CE06C9">
        <w:rPr>
          <w:rFonts w:ascii="Arial" w:hAnsi="Arial" w:cs="Arial"/>
        </w:rPr>
        <w:t>Déjame concluir. Con más de 1,5 millones de organizaciones registradas en todo el mundo, el identificador de entidades legales ha demostrado su valor como "la única identidad detrás de cada negocio".</w:t>
      </w:r>
    </w:p>
    <w:p w:rsidR="00CE06C9" w:rsidRPr="00CE06C9" w:rsidRDefault="00CE06C9" w:rsidP="00CE06C9">
      <w:pPr>
        <w:jc w:val="both"/>
        <w:rPr>
          <w:rFonts w:ascii="Arial" w:hAnsi="Arial" w:cs="Arial"/>
        </w:rPr>
      </w:pPr>
      <w:r w:rsidRPr="00CE06C9">
        <w:rPr>
          <w:rFonts w:ascii="Arial" w:hAnsi="Arial" w:cs="Arial"/>
        </w:rPr>
        <w:t>Hemos visto sus beneficios en diferentes usos regulatorios, para análisis de datos y cada vez más para rastrear flujos financieros. Sin embargo, los beneficios deberían cosecharse aún más ampliamente. El FSB ha publicado una serie de recomendaciones para cumplir con el objetivo del G20.</w:t>
      </w:r>
    </w:p>
    <w:p w:rsidR="00CE06C9" w:rsidRPr="00CE06C9" w:rsidRDefault="00CE06C9" w:rsidP="00CE06C9">
      <w:pPr>
        <w:jc w:val="both"/>
        <w:rPr>
          <w:rFonts w:ascii="Arial" w:hAnsi="Arial" w:cs="Arial"/>
        </w:rPr>
      </w:pPr>
    </w:p>
    <w:p w:rsidR="00CE06C9" w:rsidRPr="00CE06C9" w:rsidRDefault="00CE06C9" w:rsidP="00CE06C9">
      <w:pPr>
        <w:jc w:val="both"/>
        <w:rPr>
          <w:rFonts w:ascii="Arial" w:hAnsi="Arial" w:cs="Arial"/>
        </w:rPr>
      </w:pPr>
      <w:r w:rsidRPr="00CE06C9">
        <w:rPr>
          <w:rFonts w:ascii="Arial" w:hAnsi="Arial" w:cs="Arial"/>
        </w:rPr>
        <w:lastRenderedPageBreak/>
        <w:t>Estoy convencido de que el uso del LEI se expandirá en los próximos años. Más allá de los informes de operaciones de valores y derivados, y en otros sectores. Porque en un mundo financiero que opera globalmente, está claro que necesitamos estándares globales.</w:t>
      </w:r>
    </w:p>
    <w:p w:rsidR="00CE06C9" w:rsidRPr="00CE06C9" w:rsidRDefault="00CE06C9" w:rsidP="00CE06C9">
      <w:pPr>
        <w:jc w:val="both"/>
        <w:rPr>
          <w:rFonts w:ascii="Arial" w:hAnsi="Arial" w:cs="Arial"/>
        </w:rPr>
      </w:pPr>
      <w:r w:rsidRPr="00CE06C9">
        <w:rPr>
          <w:rFonts w:ascii="Arial" w:hAnsi="Arial" w:cs="Arial"/>
        </w:rPr>
        <w:t>Esta tarde tenemos la oportunidad de discutir cómo podemos facilitar la adopción posterior del LEI. E identificar todos los demás beneficios valiosos que puede aportar. Espero que todos los presentes hoy aprovechen esa oportunidad. Les deseo a todos una tarde muy interesante y productiva.</w:t>
      </w:r>
    </w:p>
    <w:p w:rsidR="00CE06C9" w:rsidRPr="00CE06C9" w:rsidRDefault="00CE06C9" w:rsidP="00CE06C9">
      <w:pPr>
        <w:jc w:val="both"/>
        <w:rPr>
          <w:rFonts w:ascii="Arial" w:hAnsi="Arial" w:cs="Arial"/>
        </w:rPr>
      </w:pPr>
    </w:p>
    <w:p w:rsidR="00CE06C9" w:rsidRPr="00421515" w:rsidRDefault="00CE06C9" w:rsidP="00CE06C9">
      <w:pPr>
        <w:jc w:val="both"/>
        <w:rPr>
          <w:rFonts w:ascii="Arial" w:hAnsi="Arial" w:cs="Arial"/>
        </w:rPr>
      </w:pPr>
      <w:r w:rsidRPr="00CE06C9">
        <w:rPr>
          <w:rFonts w:ascii="Arial" w:hAnsi="Arial" w:cs="Arial"/>
        </w:rPr>
        <w:t>Gracias</w:t>
      </w:r>
    </w:p>
    <w:sectPr w:rsidR="00CE06C9" w:rsidRPr="004215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15"/>
    <w:rsid w:val="000F4B68"/>
    <w:rsid w:val="001739B4"/>
    <w:rsid w:val="003B63A5"/>
    <w:rsid w:val="00421515"/>
    <w:rsid w:val="00CE0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CC017-B9D1-470D-9817-81A86923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1568</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2021-07-14T21:52:00Z</dcterms:created>
  <dcterms:modified xsi:type="dcterms:W3CDTF">2021-07-14T22:13:00Z</dcterms:modified>
</cp:coreProperties>
</file>