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1D08" w:rsidRPr="00D41D08" w:rsidRDefault="00D41D08" w:rsidP="00D41D08">
      <w:pPr>
        <w:jc w:val="both"/>
        <w:rPr>
          <w:rFonts w:ascii="Arial" w:hAnsi="Arial" w:cs="Arial"/>
          <w:b/>
          <w:bCs/>
        </w:rPr>
      </w:pPr>
      <w:r w:rsidRPr="00D41D08">
        <w:rPr>
          <w:rFonts w:ascii="Arial" w:hAnsi="Arial" w:cs="Arial"/>
          <w:b/>
          <w:bCs/>
        </w:rPr>
        <w:t xml:space="preserve">François </w:t>
      </w:r>
      <w:proofErr w:type="spellStart"/>
      <w:r w:rsidRPr="00D41D08">
        <w:rPr>
          <w:rFonts w:ascii="Arial" w:hAnsi="Arial" w:cs="Arial"/>
          <w:b/>
          <w:bCs/>
        </w:rPr>
        <w:t>Villeroy</w:t>
      </w:r>
      <w:proofErr w:type="spellEnd"/>
      <w:r w:rsidRPr="00D41D08">
        <w:rPr>
          <w:rFonts w:ascii="Arial" w:hAnsi="Arial" w:cs="Arial"/>
          <w:b/>
          <w:bCs/>
        </w:rPr>
        <w:t xml:space="preserve"> de </w:t>
      </w:r>
      <w:proofErr w:type="spellStart"/>
      <w:r w:rsidRPr="00D41D08">
        <w:rPr>
          <w:rFonts w:ascii="Arial" w:hAnsi="Arial" w:cs="Arial"/>
          <w:b/>
          <w:bCs/>
        </w:rPr>
        <w:t>Galhau</w:t>
      </w:r>
      <w:proofErr w:type="spellEnd"/>
      <w:r w:rsidRPr="00D41D08">
        <w:rPr>
          <w:rFonts w:ascii="Arial" w:hAnsi="Arial" w:cs="Arial"/>
          <w:b/>
          <w:bCs/>
        </w:rPr>
        <w:t>: Discurso - Conferencia internacional sobre estadísticas para la sostenibilidad</w:t>
      </w:r>
    </w:p>
    <w:p w:rsidR="0008540B" w:rsidRDefault="0008540B" w:rsidP="00D41D08">
      <w:pPr>
        <w:jc w:val="both"/>
        <w:rPr>
          <w:rFonts w:ascii="Arial" w:hAnsi="Arial" w:cs="Arial"/>
        </w:rPr>
      </w:pPr>
    </w:p>
    <w:p w:rsidR="00D41D08" w:rsidRPr="00D41D08" w:rsidRDefault="00D41D08" w:rsidP="00D41D08">
      <w:pPr>
        <w:jc w:val="both"/>
        <w:rPr>
          <w:rFonts w:ascii="Arial" w:hAnsi="Arial" w:cs="Arial"/>
        </w:rPr>
      </w:pPr>
      <w:r w:rsidRPr="00D41D08">
        <w:rPr>
          <w:rFonts w:ascii="Arial" w:hAnsi="Arial" w:cs="Arial"/>
        </w:rPr>
        <w:t>Discurso del Sr. </w:t>
      </w:r>
      <w:hyperlink r:id="rId7" w:history="1">
        <w:r w:rsidRPr="00D41D08">
          <w:rPr>
            <w:rStyle w:val="Hipervnculo"/>
            <w:rFonts w:ascii="Arial" w:hAnsi="Arial" w:cs="Arial"/>
          </w:rPr>
          <w:t xml:space="preserve">François </w:t>
        </w:r>
        <w:proofErr w:type="spellStart"/>
        <w:r w:rsidRPr="00D41D08">
          <w:rPr>
            <w:rStyle w:val="Hipervnculo"/>
            <w:rFonts w:ascii="Arial" w:hAnsi="Arial" w:cs="Arial"/>
          </w:rPr>
          <w:t>Villeroy</w:t>
        </w:r>
        <w:proofErr w:type="spellEnd"/>
        <w:r w:rsidRPr="00D41D08">
          <w:rPr>
            <w:rStyle w:val="Hipervnculo"/>
            <w:rFonts w:ascii="Arial" w:hAnsi="Arial" w:cs="Arial"/>
          </w:rPr>
          <w:t xml:space="preserve"> de </w:t>
        </w:r>
        <w:proofErr w:type="spellStart"/>
        <w:r w:rsidRPr="00D41D08">
          <w:rPr>
            <w:rStyle w:val="Hipervnculo"/>
            <w:rFonts w:ascii="Arial" w:hAnsi="Arial" w:cs="Arial"/>
          </w:rPr>
          <w:t>Galhau</w:t>
        </w:r>
        <w:proofErr w:type="spellEnd"/>
      </w:hyperlink>
      <w:r w:rsidRPr="00D41D08">
        <w:rPr>
          <w:rFonts w:ascii="Arial" w:hAnsi="Arial" w:cs="Arial"/>
        </w:rPr>
        <w:t> , Gobernador del Banco de Francia, en la Conferencia Internacional sobre Estadísticas para las Finanzas Sostenibles, organizada conjuntamente por el Banco de Francia, Deutsche Bundesbank y el Comité Irving Fisher de Estadísticas del Banco Central, París, 14 de septiembre de 2021 .</w:t>
      </w:r>
    </w:p>
    <w:p w:rsidR="00D41D08" w:rsidRDefault="00D41D08" w:rsidP="00D41D08">
      <w:pPr>
        <w:jc w:val="both"/>
        <w:rPr>
          <w:rFonts w:ascii="Arial" w:hAnsi="Arial" w:cs="Arial"/>
        </w:rPr>
      </w:pPr>
      <w:bookmarkStart w:id="0" w:name="_GoBack"/>
      <w:bookmarkEnd w:id="0"/>
    </w:p>
    <w:p w:rsidR="00D41D08" w:rsidRPr="00D41D08" w:rsidRDefault="00D41D08" w:rsidP="00D41D08">
      <w:pPr>
        <w:jc w:val="both"/>
        <w:rPr>
          <w:rFonts w:ascii="Arial" w:hAnsi="Arial" w:cs="Arial"/>
        </w:rPr>
      </w:pPr>
      <w:r w:rsidRPr="00D41D08">
        <w:rPr>
          <w:rFonts w:ascii="Arial" w:hAnsi="Arial" w:cs="Arial"/>
        </w:rPr>
        <w:t>Damas y caballeros,</w:t>
      </w:r>
    </w:p>
    <w:p w:rsidR="00D41D08" w:rsidRPr="00D41D08" w:rsidRDefault="00D41D08" w:rsidP="00D41D08">
      <w:pPr>
        <w:jc w:val="both"/>
        <w:rPr>
          <w:rFonts w:ascii="Arial" w:hAnsi="Arial" w:cs="Arial"/>
        </w:rPr>
      </w:pPr>
      <w:r w:rsidRPr="00D41D08">
        <w:rPr>
          <w:rFonts w:ascii="Arial" w:hAnsi="Arial" w:cs="Arial"/>
        </w:rPr>
        <w:t xml:space="preserve">Es un placer darle la bienvenida hoy con Sabine </w:t>
      </w:r>
      <w:proofErr w:type="spellStart"/>
      <w:r w:rsidRPr="00D41D08">
        <w:rPr>
          <w:rFonts w:ascii="Arial" w:hAnsi="Arial" w:cs="Arial"/>
        </w:rPr>
        <w:t>Mauderer</w:t>
      </w:r>
      <w:proofErr w:type="spellEnd"/>
      <w:r w:rsidRPr="00D41D08">
        <w:rPr>
          <w:rFonts w:ascii="Arial" w:hAnsi="Arial" w:cs="Arial"/>
        </w:rPr>
        <w:t xml:space="preserve"> al Centro de Conferencias Banque de France, para la primera Conferencia Internacional sobre Estadísticas para Finanzas Sostenibles, organizada conjuntamente con el Deutsche Bundesbank y el Comité Irving Fisher, bajo los auspicios del Bank of International. Asentamiento. Este tema es más actual que nunca, después de los dramáticos eventos climáticos de este verano, desde inundaciones en el norte de Europa y China hasta domos de calor y bosques en llamas en el sur de Europa y América del Norte. Como estadísticos y economistas, ustedes saben muy bien que estos dramas humanos y ecológicos se traducen en pérdidas económicas.</w:t>
      </w:r>
    </w:p>
    <w:p w:rsidR="00D41D08" w:rsidRPr="00D41D08" w:rsidRDefault="00D41D08" w:rsidP="00D41D08">
      <w:pPr>
        <w:jc w:val="both"/>
        <w:rPr>
          <w:rFonts w:ascii="Arial" w:hAnsi="Arial" w:cs="Arial"/>
        </w:rPr>
      </w:pPr>
      <w:r w:rsidRPr="00D41D08">
        <w:rPr>
          <w:rFonts w:ascii="Arial" w:hAnsi="Arial" w:cs="Arial"/>
        </w:rPr>
        <w:t>Esta conferencia también tiene lugar unas semanas después de la publicación de la primera parte del Sexto Informe de Eval</w:t>
      </w:r>
      <w:r>
        <w:rPr>
          <w:rFonts w:ascii="Arial" w:hAnsi="Arial" w:cs="Arial"/>
        </w:rPr>
        <w:t>uación del IPCC,</w:t>
      </w:r>
      <w:r>
        <w:rPr>
          <w:rStyle w:val="Refdenotaalfinal"/>
          <w:rFonts w:ascii="Arial" w:hAnsi="Arial" w:cs="Arial"/>
        </w:rPr>
        <w:endnoteReference w:id="1"/>
      </w:r>
      <w:r w:rsidRPr="00D41D08">
        <w:rPr>
          <w:rFonts w:ascii="Arial" w:hAnsi="Arial" w:cs="Arial"/>
        </w:rPr>
        <w:t>  </w:t>
      </w:r>
      <w:r>
        <w:rPr>
          <w:rFonts w:ascii="Arial" w:hAnsi="Arial" w:cs="Arial"/>
        </w:rPr>
        <w:t xml:space="preserve">que </w:t>
      </w:r>
      <w:r w:rsidRPr="00D41D08">
        <w:rPr>
          <w:rFonts w:ascii="Arial" w:hAnsi="Arial" w:cs="Arial"/>
        </w:rPr>
        <w:t>pide una aceleración de la acción climática. El desarrollo de datos sólidos relacionados con el clima es un ingrediente clave si queremos hacer frente a este desafío. Como dijo el físico del siglo XIX Lord Kelvin: "Cuando puedes medir lo que estás hablando y expresarlo en números, sabes algo al respecto". Los datos son un requisito previo para que las autoridades públicas diseñen políticas que tengan en cuenta de manera justa los costos o beneficios ambientales de las actividades económicas. En pocas palabras, acelerar la transición ecológica requiere acelerar los datos ecológicos.</w:t>
      </w:r>
    </w:p>
    <w:p w:rsidR="00D41D08" w:rsidRDefault="00D41D08" w:rsidP="00D41D08">
      <w:pPr>
        <w:jc w:val="both"/>
        <w:rPr>
          <w:rFonts w:ascii="Arial" w:hAnsi="Arial" w:cs="Arial"/>
        </w:rPr>
      </w:pPr>
      <w:r w:rsidRPr="00D41D08">
        <w:rPr>
          <w:rFonts w:ascii="Arial" w:hAnsi="Arial" w:cs="Arial"/>
        </w:rPr>
        <w:t>Sin embargo, existe un gran desafío para los estadísticos y los proveedores de datos: la oposición entre la urgencia de proporcionar datos relevantes para el clima y el inevitable proceso paso a paso necesario para lograrlo de una manera confiable, comparable y completa. Para superar esta oposición, permítanme sugerir un enfoque de dos pilares: (i)  </w:t>
      </w:r>
      <w:r w:rsidRPr="00D41D08">
        <w:rPr>
          <w:rFonts w:ascii="Arial" w:hAnsi="Arial" w:cs="Arial"/>
          <w:i/>
          <w:iCs/>
        </w:rPr>
        <w:t>En el corto plazo, fortalecer las acciones para resolver las dificultades técnicas:</w:t>
      </w:r>
      <w:r w:rsidRPr="00D41D08">
        <w:rPr>
          <w:rFonts w:ascii="Arial" w:hAnsi="Arial" w:cs="Arial"/>
        </w:rPr>
        <w:t> los bancos centrales están naturalmente a la vanguardia debido a su doble capacidad, como practicantes de finanzas sostenibles y compiladores de datos oficiales en este dominio. (ii)  </w:t>
      </w:r>
      <w:r w:rsidRPr="00D41D08">
        <w:rPr>
          <w:rFonts w:ascii="Arial" w:hAnsi="Arial" w:cs="Arial"/>
          <w:i/>
          <w:iCs/>
        </w:rPr>
        <w:t>A largo plazo, lograr coherencia a nivel internacional:</w:t>
      </w:r>
      <w:r w:rsidRPr="00D41D08">
        <w:rPr>
          <w:rFonts w:ascii="Arial" w:hAnsi="Arial" w:cs="Arial"/>
        </w:rPr>
        <w:t> Se necesita financiación sostenible en todo el mundo para abordar el cambio climático a nivel mundial. Trabajar hacia una convergencia de estándares a este nivel global es esencial.</w:t>
      </w:r>
    </w:p>
    <w:p w:rsidR="00D41D08" w:rsidRDefault="00D41D08" w:rsidP="00D41D08">
      <w:pPr>
        <w:jc w:val="both"/>
        <w:rPr>
          <w:rFonts w:ascii="Arial" w:hAnsi="Arial" w:cs="Arial"/>
        </w:rPr>
      </w:pPr>
    </w:p>
    <w:p w:rsidR="00D41D08" w:rsidRPr="00D41D08" w:rsidRDefault="00D41D08" w:rsidP="00D41D08">
      <w:pPr>
        <w:jc w:val="center"/>
        <w:rPr>
          <w:rFonts w:ascii="Arial" w:hAnsi="Arial" w:cs="Arial"/>
        </w:rPr>
      </w:pPr>
      <w:r w:rsidRPr="00D41D08">
        <w:rPr>
          <w:rFonts w:ascii="Arial" w:hAnsi="Arial" w:cs="Arial"/>
        </w:rPr>
        <w:t>**</w:t>
      </w:r>
    </w:p>
    <w:p w:rsidR="0008540B" w:rsidRDefault="0008540B" w:rsidP="00D41D08">
      <w:pPr>
        <w:jc w:val="both"/>
        <w:rPr>
          <w:rFonts w:ascii="Arial" w:hAnsi="Arial" w:cs="Arial"/>
        </w:rPr>
      </w:pPr>
    </w:p>
    <w:p w:rsidR="0008540B" w:rsidRDefault="0008540B" w:rsidP="00D41D08">
      <w:pPr>
        <w:jc w:val="both"/>
        <w:rPr>
          <w:rFonts w:ascii="Arial" w:hAnsi="Arial" w:cs="Arial"/>
        </w:rPr>
      </w:pPr>
    </w:p>
    <w:p w:rsidR="00D41D08" w:rsidRPr="00D41D08" w:rsidRDefault="00D41D08" w:rsidP="00D41D08">
      <w:pPr>
        <w:jc w:val="both"/>
        <w:rPr>
          <w:rFonts w:ascii="Arial" w:hAnsi="Arial" w:cs="Arial"/>
        </w:rPr>
      </w:pPr>
      <w:r w:rsidRPr="00D41D08">
        <w:rPr>
          <w:rFonts w:ascii="Arial" w:hAnsi="Arial" w:cs="Arial"/>
        </w:rPr>
        <w:lastRenderedPageBreak/>
        <w:t>I. En el corto plazo, fortalecer acciones para resolver dificultades técnicas</w:t>
      </w:r>
    </w:p>
    <w:p w:rsidR="00D41D08" w:rsidRPr="00D41D08" w:rsidRDefault="00D41D08" w:rsidP="00D41D08">
      <w:pPr>
        <w:jc w:val="both"/>
        <w:rPr>
          <w:rFonts w:ascii="Arial" w:hAnsi="Arial" w:cs="Arial"/>
        </w:rPr>
      </w:pPr>
      <w:r w:rsidRPr="00D41D08">
        <w:rPr>
          <w:rFonts w:ascii="Arial" w:hAnsi="Arial" w:cs="Arial"/>
        </w:rPr>
        <w:t>A través de muchos aspectos de sus actividades, los bancos centrales participan plenamente en el establecimiento de metodologías,  </w:t>
      </w:r>
      <w:r w:rsidRPr="00D41D08">
        <w:rPr>
          <w:rFonts w:ascii="Arial" w:hAnsi="Arial" w:cs="Arial"/>
          <w:b/>
          <w:bCs/>
        </w:rPr>
        <w:t>promoviendo altos estándares en las prácticas de producción y divulgación de datos</w:t>
      </w:r>
      <w:r w:rsidRPr="00D41D08">
        <w:rPr>
          <w:rFonts w:ascii="Arial" w:hAnsi="Arial" w:cs="Arial"/>
        </w:rPr>
        <w:t> y actuando como ejemplo para otros participantes del mercado.</w:t>
      </w:r>
    </w:p>
    <w:p w:rsidR="00D41D08" w:rsidRPr="00D41D08" w:rsidRDefault="00D41D08" w:rsidP="00D41D08">
      <w:pPr>
        <w:jc w:val="both"/>
        <w:rPr>
          <w:rFonts w:ascii="Arial" w:hAnsi="Arial" w:cs="Arial"/>
        </w:rPr>
      </w:pPr>
      <w:r w:rsidRPr="00D41D08">
        <w:rPr>
          <w:rFonts w:ascii="Arial" w:hAnsi="Arial" w:cs="Arial"/>
          <w:b/>
          <w:bCs/>
        </w:rPr>
        <w:t>Como supervisor</w:t>
      </w:r>
      <w:r w:rsidRPr="00D41D08">
        <w:rPr>
          <w:rFonts w:ascii="Arial" w:hAnsi="Arial" w:cs="Arial"/>
        </w:rPr>
        <w:t>, la  </w:t>
      </w:r>
      <w:proofErr w:type="spellStart"/>
      <w:r w:rsidRPr="00D41D08">
        <w:rPr>
          <w:rFonts w:ascii="Arial" w:hAnsi="Arial" w:cs="Arial"/>
          <w:i/>
          <w:iCs/>
        </w:rPr>
        <w:t>Autorité</w:t>
      </w:r>
      <w:proofErr w:type="spellEnd"/>
      <w:r w:rsidRPr="00D41D08">
        <w:rPr>
          <w:rFonts w:ascii="Arial" w:hAnsi="Arial" w:cs="Arial"/>
          <w:i/>
          <w:iCs/>
        </w:rPr>
        <w:t xml:space="preserve"> de </w:t>
      </w:r>
      <w:proofErr w:type="spellStart"/>
      <w:r w:rsidRPr="00D41D08">
        <w:rPr>
          <w:rFonts w:ascii="Arial" w:hAnsi="Arial" w:cs="Arial"/>
          <w:i/>
          <w:iCs/>
        </w:rPr>
        <w:t>Contrôle</w:t>
      </w:r>
      <w:proofErr w:type="spellEnd"/>
      <w:r w:rsidRPr="00D41D08">
        <w:rPr>
          <w:rFonts w:ascii="Arial" w:hAnsi="Arial" w:cs="Arial"/>
          <w:i/>
          <w:iCs/>
        </w:rPr>
        <w:t xml:space="preserve"> </w:t>
      </w:r>
      <w:proofErr w:type="spellStart"/>
      <w:r w:rsidRPr="00D41D08">
        <w:rPr>
          <w:rFonts w:ascii="Arial" w:hAnsi="Arial" w:cs="Arial"/>
          <w:i/>
          <w:iCs/>
        </w:rPr>
        <w:t>Prudentiel</w:t>
      </w:r>
      <w:proofErr w:type="spellEnd"/>
      <w:r w:rsidRPr="00D41D08">
        <w:rPr>
          <w:rFonts w:ascii="Arial" w:hAnsi="Arial" w:cs="Arial"/>
          <w:i/>
          <w:iCs/>
        </w:rPr>
        <w:t xml:space="preserve"> et de </w:t>
      </w:r>
      <w:proofErr w:type="spellStart"/>
      <w:r w:rsidRPr="00D41D08">
        <w:rPr>
          <w:rFonts w:ascii="Arial" w:hAnsi="Arial" w:cs="Arial"/>
          <w:i/>
          <w:iCs/>
        </w:rPr>
        <w:t>Résolution</w:t>
      </w:r>
      <w:proofErr w:type="spellEnd"/>
      <w:r w:rsidRPr="00D41D08">
        <w:rPr>
          <w:rFonts w:ascii="Arial" w:hAnsi="Arial" w:cs="Arial"/>
        </w:rPr>
        <w:t>  (ACPR) realizó una prueba de resistencia ascendente diseñada específicamente para evaluar la exposición de las instituciones financieras a los riesgos relacionados con el clima. </w:t>
      </w:r>
      <w:hyperlink r:id="rId8" w:anchor="footnote-2" w:history="1">
        <w:r w:rsidRPr="00D41D08">
          <w:rPr>
            <w:rStyle w:val="Hipervnculo"/>
            <w:rFonts w:ascii="Arial" w:hAnsi="Arial" w:cs="Arial"/>
            <w:vertAlign w:val="superscript"/>
          </w:rPr>
          <w:t>2</w:t>
        </w:r>
      </w:hyperlink>
      <w:r w:rsidRPr="00D41D08">
        <w:rPr>
          <w:rFonts w:ascii="Arial" w:hAnsi="Arial" w:cs="Arial"/>
        </w:rPr>
        <w:t>  Esta experimentación pionera allanará el camino para otros ejercicios actualmente en preparación, en el Banco de Inglaterra a partir de junio de 2021 o en el BCE en 2022.  </w:t>
      </w:r>
      <w:r w:rsidRPr="00D41D08">
        <w:rPr>
          <w:rFonts w:ascii="Arial" w:hAnsi="Arial" w:cs="Arial"/>
          <w:b/>
          <w:bCs/>
        </w:rPr>
        <w:t>Como autoridad monetaria</w:t>
      </w:r>
      <w:r w:rsidRPr="00D41D08">
        <w:rPr>
          <w:rFonts w:ascii="Arial" w:hAnsi="Arial" w:cs="Arial"/>
        </w:rPr>
        <w:t>, el Consejo de Gobierno del BCE adoptó un plan de acción para incluir consideraciones sobre el cambio climático en su estrategia de política monetaria, en el marco de su mandato. Entre otras acciones, planeamos tener en cuenta los criterios de cambio climático en nuestra evaluación de garantías y en nuestro programa de compras del sector empresarial. Por lo tanto, introduciremos nuevos requisitos de divulgación para los activos del sector privado como un nuevo criterio de elegibilidad o como base para un tratamiento diferenciado para las compras de activos y garantías. Por último,  </w:t>
      </w:r>
      <w:r w:rsidRPr="00D41D08">
        <w:rPr>
          <w:rFonts w:ascii="Arial" w:hAnsi="Arial" w:cs="Arial"/>
          <w:b/>
          <w:bCs/>
        </w:rPr>
        <w:t>como inversor</w:t>
      </w:r>
      <w:r w:rsidRPr="00D41D08">
        <w:rPr>
          <w:rFonts w:ascii="Arial" w:hAnsi="Arial" w:cs="Arial"/>
        </w:rPr>
        <w:t xml:space="preserve">, el Banque de France fue en 2019 el primer banco central del </w:t>
      </w:r>
      <w:proofErr w:type="spellStart"/>
      <w:r w:rsidRPr="00D41D08">
        <w:rPr>
          <w:rFonts w:ascii="Arial" w:hAnsi="Arial" w:cs="Arial"/>
        </w:rPr>
        <w:t>Eurosistema</w:t>
      </w:r>
      <w:proofErr w:type="spellEnd"/>
      <w:r w:rsidRPr="00D41D08">
        <w:rPr>
          <w:rFonts w:ascii="Arial" w:hAnsi="Arial" w:cs="Arial"/>
        </w:rPr>
        <w:t xml:space="preserve"> en publicar un informe anual específico sobre su política de inversión responsable. Ponemos nuestras palabras en acción: saldremos por completo del carbón para 2024.</w:t>
      </w:r>
    </w:p>
    <w:p w:rsidR="00D41D08" w:rsidRDefault="00D41D08" w:rsidP="00D41D08">
      <w:pPr>
        <w:jc w:val="both"/>
        <w:rPr>
          <w:rFonts w:ascii="Arial" w:hAnsi="Arial" w:cs="Arial"/>
        </w:rPr>
      </w:pPr>
      <w:r w:rsidRPr="00D41D08">
        <w:rPr>
          <w:rFonts w:ascii="Arial" w:hAnsi="Arial" w:cs="Arial"/>
        </w:rPr>
        <w:t>Los bancos centrales también son contribuyentes clave para  </w:t>
      </w:r>
      <w:r w:rsidRPr="00D41D08">
        <w:rPr>
          <w:rFonts w:ascii="Arial" w:hAnsi="Arial" w:cs="Arial"/>
          <w:b/>
          <w:bCs/>
        </w:rPr>
        <w:t>identificar las necesidades actuales de datos.</w:t>
      </w:r>
      <w:r w:rsidRPr="00D41D08">
        <w:rPr>
          <w:rFonts w:ascii="Arial" w:hAnsi="Arial" w:cs="Arial"/>
        </w:rPr>
        <w:t>.. Con respecto a esta cuestión en particular, deben tenerse en cuenta dos dimensiones. La primera es la "instantánea" de los riesgos existentes, cubiertos por las reglas de divulgación, incluida la "granularidad" y la "cobertura". De hecho, necesitamos datos más granulares y comparables, en particular datos geográficos a nivel de empresa y activos. La segunda dimensión es la dimensión "tiempo", a la que llamo el "video" de los riesgos. Una lección que hemos aprendido, en particular con nuestro trabajo en las pruebas de resistencia al riesgo climático, es la necesidad de realizar evaluaciones más prospectivas de los riesgos físicos y de transición. Además, nuestra experiencia sugiere que existen grandes lagunas de datos para los datos prospectivos, como las vías de emisión y los objetivos de transición de las empresas, incluidos los objetivos intermedios. Estas lecciones que "aprendemos haciendo" deben compartirse y capitalizarse si queremos avanzar rápidamente en la producción de estadísticas financieras sostenibles relevantes. Con respecto a este aspecto, el NGFS "Informe de progreso sobre la superación de brechas de datos"</w:t>
      </w:r>
      <w:hyperlink r:id="rId9" w:anchor="footnote-3" w:history="1">
        <w:r w:rsidRPr="00D41D08">
          <w:rPr>
            <w:rStyle w:val="Hipervnculo"/>
            <w:rFonts w:ascii="Arial" w:hAnsi="Arial" w:cs="Arial"/>
            <w:vertAlign w:val="superscript"/>
          </w:rPr>
          <w:t>3</w:t>
        </w:r>
      </w:hyperlink>
      <w:r w:rsidRPr="00D41D08">
        <w:rPr>
          <w:rFonts w:ascii="Arial" w:hAnsi="Arial" w:cs="Arial"/>
        </w:rPr>
        <w:t>  publicado antes del verano es un importante paso adelante. Permítanme enfatizar el papel clave de esta red NGFS: creada aquí en París en diciembre de 2017, con su secretaría global proporcionada por la Banque de France, ahora reúne a más de 90 bancos centrales y supervisores en todo el mundo.</w:t>
      </w:r>
    </w:p>
    <w:p w:rsidR="00D41D08" w:rsidRPr="00D41D08" w:rsidRDefault="00D41D08" w:rsidP="00D41D08">
      <w:pPr>
        <w:jc w:val="both"/>
        <w:rPr>
          <w:rFonts w:ascii="Arial" w:hAnsi="Arial" w:cs="Arial"/>
        </w:rPr>
      </w:pPr>
    </w:p>
    <w:p w:rsidR="0008540B" w:rsidRDefault="0008540B" w:rsidP="00D41D08">
      <w:pPr>
        <w:jc w:val="both"/>
        <w:rPr>
          <w:rFonts w:ascii="Arial" w:hAnsi="Arial" w:cs="Arial"/>
        </w:rPr>
      </w:pPr>
    </w:p>
    <w:p w:rsidR="0008540B" w:rsidRDefault="0008540B" w:rsidP="00D41D08">
      <w:pPr>
        <w:jc w:val="both"/>
        <w:rPr>
          <w:rFonts w:ascii="Arial" w:hAnsi="Arial" w:cs="Arial"/>
        </w:rPr>
      </w:pPr>
    </w:p>
    <w:p w:rsidR="0008540B" w:rsidRDefault="0008540B" w:rsidP="00D41D08">
      <w:pPr>
        <w:jc w:val="both"/>
        <w:rPr>
          <w:rFonts w:ascii="Arial" w:hAnsi="Arial" w:cs="Arial"/>
        </w:rPr>
      </w:pPr>
    </w:p>
    <w:p w:rsidR="0008540B" w:rsidRDefault="0008540B" w:rsidP="00D41D08">
      <w:pPr>
        <w:jc w:val="both"/>
        <w:rPr>
          <w:rFonts w:ascii="Arial" w:hAnsi="Arial" w:cs="Arial"/>
        </w:rPr>
      </w:pPr>
    </w:p>
    <w:p w:rsidR="00D41D08" w:rsidRPr="00D41D08" w:rsidRDefault="00D41D08" w:rsidP="00D41D08">
      <w:pPr>
        <w:jc w:val="both"/>
        <w:rPr>
          <w:rFonts w:ascii="Arial" w:hAnsi="Arial" w:cs="Arial"/>
        </w:rPr>
      </w:pPr>
      <w:r w:rsidRPr="00D41D08">
        <w:rPr>
          <w:rFonts w:ascii="Arial" w:hAnsi="Arial" w:cs="Arial"/>
        </w:rPr>
        <w:lastRenderedPageBreak/>
        <w:t>II. A largo plazo, lograr la coherencia a nivel internacional</w:t>
      </w:r>
    </w:p>
    <w:p w:rsidR="00D41D08" w:rsidRPr="00D41D08" w:rsidRDefault="00D41D08" w:rsidP="00D41D08">
      <w:pPr>
        <w:jc w:val="both"/>
        <w:rPr>
          <w:rFonts w:ascii="Arial" w:hAnsi="Arial" w:cs="Arial"/>
        </w:rPr>
      </w:pPr>
      <w:r w:rsidRPr="00D41D08">
        <w:rPr>
          <w:rFonts w:ascii="Arial" w:hAnsi="Arial" w:cs="Arial"/>
        </w:rPr>
        <w:t>Los estándares comunes para taxonomías y reportes de sostenibilidad, a nivel internacional, son el requisito previo para construir estadísticas comparables sobre finanzas sostenibles. En este contexto, las recomendaciones de la NGFS destinadas a fomentar una rápida convergencia hacia los estándares de divulgación global son, por supuesto, extremadamente relevantes.</w:t>
      </w:r>
    </w:p>
    <w:p w:rsidR="00D41D08" w:rsidRPr="00D41D08" w:rsidRDefault="00D41D08" w:rsidP="00D41D08">
      <w:pPr>
        <w:jc w:val="both"/>
        <w:rPr>
          <w:rFonts w:ascii="Arial" w:hAnsi="Arial" w:cs="Arial"/>
        </w:rPr>
      </w:pPr>
      <w:r w:rsidRPr="00D41D08">
        <w:rPr>
          <w:rFonts w:ascii="Arial" w:hAnsi="Arial" w:cs="Arial"/>
        </w:rPr>
        <w:t>A día de hoy, hay varias iniciativas de establecimiento de estándares en curso para desarrollar marcos o estándares para la presentación de informes voluntarios relacionados con el clima por parte de las empresas. Entre ellas, las recomendaciones del Grupo de Trabajo del FSB sobre divulgación financiera relacionada con el clima (TCFD) han sido ampliamente adoptadas por grandes empresas internacionales durante los últimos cuatro años y, por lo tanto, son una línea de base obvia para la estandarización global de la divulgación relacionada con el clima. Sin embargo, la notificación voluntaria no garantiza la integridad y la comparabilidad de los datos y la aplicación por parte de las autoridades públicas es esencial para fomentar la fiabilidad y salvaguardar la confianza del público. Por lo tanto, las jurisdicciones de todo el mundo están tomando cada vez más acciones para implementar los requisitos de divulgación obligatoria.</w:t>
      </w:r>
    </w:p>
    <w:p w:rsidR="00D41D08" w:rsidRPr="00D41D08" w:rsidRDefault="00D41D08" w:rsidP="00D41D08">
      <w:pPr>
        <w:jc w:val="both"/>
        <w:rPr>
          <w:rFonts w:ascii="Arial" w:hAnsi="Arial" w:cs="Arial"/>
        </w:rPr>
      </w:pPr>
      <w:r w:rsidRPr="00D41D08">
        <w:rPr>
          <w:rFonts w:ascii="Arial" w:hAnsi="Arial" w:cs="Arial"/>
        </w:rPr>
        <w:t>En este sentido, dentro de la Unión Europea, la adopción de la taxonomía europea de actividades sostenibles y la publicación de la propuesta de la Comisión para una Directiva de Sostenibilidad Corporativa son pasos importantes hacia adelante. Gracias al trabajo muy eficiente realizado por el Grupo Asesor Europeo de Información Financiera (EFRAG), se espera un primer conjunto de estándares europeos de informes de sostenibilidad para 2022, que aborden ambiciones legítimas. De hecho, será integral, cubriendo un amplio espectro de riesgos (climáticos, pero también sociales y ambientales) con un enfoque de doble materialidad, con el fin de revelar los impactos completos de una actividad en el clima, el medio ambiente y la sociedad. Paralelamente al trabajo realizado por la UE,</w:t>
      </w:r>
    </w:p>
    <w:p w:rsidR="00D41D08" w:rsidRPr="00D41D08" w:rsidRDefault="00D41D08" w:rsidP="00D41D08">
      <w:pPr>
        <w:jc w:val="both"/>
        <w:rPr>
          <w:rFonts w:ascii="Arial" w:hAnsi="Arial" w:cs="Arial"/>
        </w:rPr>
      </w:pPr>
      <w:r w:rsidRPr="00D41D08">
        <w:rPr>
          <w:rFonts w:ascii="Arial" w:hAnsi="Arial" w:cs="Arial"/>
        </w:rPr>
        <w:t>Estas iniciativas son la prueba de que las economías mundiales están más comprometidas con la lucha contra el cambio climático. Sin embargo, sin una estrecha coordinación internacional, esto puede conducir a requisitos de divulgación fragmentados, inconsistentes con el objetivo de fomentar la comparabilidad internacional y la accesibilidad de los datos relacionados con el clima. Por lo tanto, en esta etapa, creo que la convergencia de estándares requiere una comprensión mejor y compartida del juego final,  </w:t>
      </w:r>
      <w:r w:rsidRPr="00D41D08">
        <w:rPr>
          <w:rFonts w:ascii="Arial" w:hAnsi="Arial" w:cs="Arial"/>
          <w:b/>
          <w:bCs/>
        </w:rPr>
        <w:t>más "</w:t>
      </w:r>
      <w:proofErr w:type="spellStart"/>
      <w:r w:rsidRPr="00D41D08">
        <w:rPr>
          <w:rFonts w:ascii="Arial" w:hAnsi="Arial" w:cs="Arial"/>
          <w:b/>
          <w:bCs/>
        </w:rPr>
        <w:t>co</w:t>
      </w:r>
      <w:proofErr w:type="spellEnd"/>
      <w:r w:rsidRPr="00D41D08">
        <w:rPr>
          <w:rFonts w:ascii="Arial" w:hAnsi="Arial" w:cs="Arial"/>
          <w:b/>
          <w:bCs/>
        </w:rPr>
        <w:t>-construcción" entre las iniciativas privadas </w:t>
      </w:r>
      <w:r w:rsidRPr="00D41D08">
        <w:rPr>
          <w:rFonts w:ascii="Arial" w:hAnsi="Arial" w:cs="Arial"/>
        </w:rPr>
        <w:t> y  </w:t>
      </w:r>
      <w:r w:rsidRPr="00D41D08">
        <w:rPr>
          <w:rFonts w:ascii="Arial" w:hAnsi="Arial" w:cs="Arial"/>
          <w:b/>
          <w:bCs/>
        </w:rPr>
        <w:t>las autoridades públicas a nivel internacional.</w:t>
      </w:r>
    </w:p>
    <w:p w:rsidR="00D41D08" w:rsidRPr="00D41D08" w:rsidRDefault="00D41D08" w:rsidP="00D41D08">
      <w:pPr>
        <w:jc w:val="both"/>
        <w:rPr>
          <w:rFonts w:ascii="Arial" w:hAnsi="Arial" w:cs="Arial"/>
        </w:rPr>
      </w:pPr>
      <w:r w:rsidRPr="00D41D08">
        <w:rPr>
          <w:rFonts w:ascii="Arial" w:hAnsi="Arial" w:cs="Arial"/>
        </w:rPr>
        <w:t>El clima es un bien público mundial y los datos relacionados con el clima también son bienes públicos. Por lo tanto, la construcción de estándares globales no debe ser un entorno competitivo, sino colaborativo, con la cooperación de las autoridades públicas desde el inicio a nivel global. Eventualmente, habrá que tomar decisiones difíciles para lograr un marco estándar global, reconociendo la necesidad de pragmatismo, pero sin reducir nuestra ambición de cubrir todos los aspectos relevantes de las actividades económicas relacionadas con el clima.</w:t>
      </w:r>
    </w:p>
    <w:p w:rsidR="00D41D08" w:rsidRPr="00D41D08" w:rsidRDefault="00D41D08" w:rsidP="00D41D08">
      <w:pPr>
        <w:jc w:val="both"/>
        <w:rPr>
          <w:rFonts w:ascii="Arial" w:hAnsi="Arial" w:cs="Arial"/>
        </w:rPr>
      </w:pPr>
      <w:r w:rsidRPr="00D41D08">
        <w:rPr>
          <w:rFonts w:ascii="Arial" w:hAnsi="Arial" w:cs="Arial"/>
        </w:rPr>
        <w:t xml:space="preserve">Como estadístico, tiene la experiencia para diseñar puentes entre fuentes de datos heterogéneas con el fin de establecer series estadísticas oficiales. Además, las categorías estadísticas agregadas abarcan toda la economía (por ejemplo, no solo las empresas que </w:t>
      </w:r>
      <w:r w:rsidRPr="00D41D08">
        <w:rPr>
          <w:rFonts w:ascii="Arial" w:hAnsi="Arial" w:cs="Arial"/>
        </w:rPr>
        <w:lastRenderedPageBreak/>
        <w:t>cotizan en bolsa, sino también las pequeñas y medianas empresas), contrariamente al alcance más específico de los estándares de informes de sostenibilidad.</w:t>
      </w:r>
    </w:p>
    <w:p w:rsidR="00D41D08" w:rsidRPr="00D41D08" w:rsidRDefault="00D41D08" w:rsidP="00D41D08">
      <w:pPr>
        <w:jc w:val="both"/>
        <w:rPr>
          <w:rFonts w:ascii="Arial" w:hAnsi="Arial" w:cs="Arial"/>
        </w:rPr>
      </w:pPr>
      <w:r w:rsidRPr="00D41D08">
        <w:rPr>
          <w:rFonts w:ascii="Arial" w:hAnsi="Arial" w:cs="Arial"/>
        </w:rPr>
        <w:t>Por lo tanto, los estadísticos pueden contribuir a  </w:t>
      </w:r>
      <w:r w:rsidRPr="00D41D08">
        <w:rPr>
          <w:rFonts w:ascii="Arial" w:hAnsi="Arial" w:cs="Arial"/>
          <w:b/>
          <w:bCs/>
        </w:rPr>
        <w:t>la hoja de ruta global</w:t>
      </w:r>
      <w:r w:rsidRPr="00D41D08">
        <w:rPr>
          <w:rFonts w:ascii="Arial" w:hAnsi="Arial" w:cs="Arial"/>
        </w:rPr>
        <w:t>, asegurándose de que, en última instancia, la producción de datos financieros sostenibles se ajuste de manera coherente a los estándares estadísticos internacionales. Déjame ser más específico. Gracias al patrocinio del FMI y el Consejo de Estabilidad Financiera (FSB), desde la Crisis Financiera Global, el G-20, a través de la Iniciativa Data Gaps (DGI), ha tenido un papel fundamental en el fortalecimiento y armonización de las estadísticas financieras. En la última reunión del G20 de Ministros de Finanzas y Gobernadores de los bancos centrales en Venecia, se propuso un tercer capítulo de la DGI. Este nuevo capítulo de la iniciativa se centrará principalmente en las lagunas de datos financieros relacionados con el clima. Espero con interés el próximo plan de trabajo detallado </w:t>
      </w:r>
      <w:hyperlink r:id="rId10" w:anchor="footnote-4" w:history="1">
        <w:r w:rsidRPr="00D41D08">
          <w:rPr>
            <w:rStyle w:val="Hipervnculo"/>
            <w:rFonts w:ascii="Arial" w:hAnsi="Arial" w:cs="Arial"/>
            <w:vertAlign w:val="superscript"/>
          </w:rPr>
          <w:t>4</w:t>
        </w:r>
      </w:hyperlink>
      <w:r w:rsidRPr="00D41D08">
        <w:rPr>
          <w:rFonts w:ascii="Arial" w:hAnsi="Arial" w:cs="Arial"/>
        </w:rPr>
        <w:t> que se presentará el próximo mes en la cumbre del G20 en Roma.</w:t>
      </w:r>
    </w:p>
    <w:p w:rsidR="00D41D08" w:rsidRDefault="00D41D08" w:rsidP="00D41D08">
      <w:pPr>
        <w:jc w:val="both"/>
        <w:rPr>
          <w:rFonts w:ascii="Arial" w:hAnsi="Arial" w:cs="Arial"/>
        </w:rPr>
      </w:pPr>
      <w:r w:rsidRPr="00D41D08">
        <w:rPr>
          <w:rFonts w:ascii="Arial" w:hAnsi="Arial" w:cs="Arial"/>
        </w:rPr>
        <w:t>Debido a su estructura flexible y su capacidad para incorporar a muchas partes interesadas, esta DGI-3 podría servir como el foro apropiado para apoyar la coordinación del creciente número de iniciativas destinadas a desarrollar la infraestructura estadística para medir los riesgos financieros relacionados con el clima.</w:t>
      </w:r>
    </w:p>
    <w:p w:rsidR="00D41D08" w:rsidRPr="00D41D08" w:rsidRDefault="00D41D08" w:rsidP="00D41D08">
      <w:pPr>
        <w:jc w:val="center"/>
        <w:rPr>
          <w:rFonts w:ascii="Arial" w:hAnsi="Arial" w:cs="Arial"/>
        </w:rPr>
      </w:pPr>
      <w:r w:rsidRPr="00D41D08">
        <w:rPr>
          <w:rFonts w:ascii="Arial" w:hAnsi="Arial" w:cs="Arial"/>
        </w:rPr>
        <w:t>**</w:t>
      </w:r>
    </w:p>
    <w:p w:rsidR="00D41D08" w:rsidRDefault="00D41D08" w:rsidP="00D41D08">
      <w:pPr>
        <w:jc w:val="both"/>
        <w:rPr>
          <w:rFonts w:ascii="Arial" w:hAnsi="Arial" w:cs="Arial"/>
          <w:i/>
          <w:iCs/>
        </w:rPr>
      </w:pPr>
      <w:r w:rsidRPr="00D41D08">
        <w:rPr>
          <w:rFonts w:ascii="Arial" w:hAnsi="Arial" w:cs="Arial"/>
        </w:rPr>
        <w:t xml:space="preserve">Desde principios de la década de 2000, han florecido iniciativas públicas y privadas para tratar de cerrar la brecha entre la demanda y el suministro de información ASG por parte de los inversores. Estas iniciativas aún no han alcanzado su plena madurez ni han ampliado su cobertura lo suficiente como para garantizar que los riesgos relacionados con el clima tengan un precio adecuado y para respaldar la toma de decisiones para una asignación de capital totalmente eficiente. Las discusiones que </w:t>
      </w:r>
      <w:r w:rsidR="0008540B" w:rsidRPr="00D41D08">
        <w:rPr>
          <w:rFonts w:ascii="Arial" w:hAnsi="Arial" w:cs="Arial"/>
        </w:rPr>
        <w:t>están</w:t>
      </w:r>
      <w:r w:rsidRPr="00D41D08">
        <w:rPr>
          <w:rFonts w:ascii="Arial" w:hAnsi="Arial" w:cs="Arial"/>
        </w:rPr>
        <w:t xml:space="preserve"> a punto de tener hoy son, por tanto, cruciales. Las lecciones clave que se extraerán de sus intercambios sin duda merecen un lugar en la agenda de una próxima reunión de Gobernadores en el BPI. Ahora le paso la palabra a Sabine </w:t>
      </w:r>
      <w:proofErr w:type="spellStart"/>
      <w:r w:rsidRPr="00D41D08">
        <w:rPr>
          <w:rFonts w:ascii="Arial" w:hAnsi="Arial" w:cs="Arial"/>
        </w:rPr>
        <w:t>Mauderer</w:t>
      </w:r>
      <w:proofErr w:type="spellEnd"/>
      <w:r w:rsidRPr="00D41D08">
        <w:rPr>
          <w:rFonts w:ascii="Arial" w:hAnsi="Arial" w:cs="Arial"/>
        </w:rPr>
        <w:t>. </w:t>
      </w:r>
      <w:proofErr w:type="spellStart"/>
      <w:r w:rsidRPr="00D41D08">
        <w:rPr>
          <w:rFonts w:ascii="Arial" w:hAnsi="Arial" w:cs="Arial"/>
          <w:i/>
          <w:iCs/>
        </w:rPr>
        <w:t>Herzlich</w:t>
      </w:r>
      <w:proofErr w:type="spellEnd"/>
      <w:r w:rsidRPr="00D41D08">
        <w:rPr>
          <w:rFonts w:ascii="Arial" w:hAnsi="Arial" w:cs="Arial"/>
          <w:i/>
          <w:iCs/>
        </w:rPr>
        <w:t xml:space="preserve"> </w:t>
      </w:r>
      <w:proofErr w:type="spellStart"/>
      <w:r w:rsidRPr="00D41D08">
        <w:rPr>
          <w:rFonts w:ascii="Arial" w:hAnsi="Arial" w:cs="Arial"/>
          <w:i/>
          <w:iCs/>
        </w:rPr>
        <w:t>willkommen</w:t>
      </w:r>
      <w:proofErr w:type="spellEnd"/>
      <w:r w:rsidRPr="00D41D08">
        <w:rPr>
          <w:rFonts w:ascii="Arial" w:hAnsi="Arial" w:cs="Arial"/>
          <w:i/>
          <w:iCs/>
        </w:rPr>
        <w:t>!</w:t>
      </w:r>
    </w:p>
    <w:p w:rsidR="00D41D08" w:rsidRPr="00D41D08" w:rsidRDefault="00D41D08" w:rsidP="00D41D08">
      <w:pPr>
        <w:jc w:val="both"/>
        <w:rPr>
          <w:rFonts w:ascii="Arial" w:hAnsi="Arial" w:cs="Arial"/>
        </w:rPr>
      </w:pPr>
    </w:p>
    <w:p w:rsidR="00ED7650" w:rsidRPr="00D41D08" w:rsidRDefault="005C64FE" w:rsidP="00D41D08">
      <w:pPr>
        <w:jc w:val="both"/>
        <w:rPr>
          <w:rFonts w:ascii="Arial" w:hAnsi="Arial" w:cs="Arial"/>
        </w:rPr>
      </w:pPr>
    </w:p>
    <w:sectPr w:rsidR="00ED7650" w:rsidRPr="00D41D08">
      <w:endnotePr>
        <w:numFmt w:val="decimal"/>
      </w:endnotePr>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64FE" w:rsidRDefault="005C64FE" w:rsidP="00D41D08">
      <w:pPr>
        <w:spacing w:after="0" w:line="240" w:lineRule="auto"/>
      </w:pPr>
      <w:r>
        <w:separator/>
      </w:r>
    </w:p>
  </w:endnote>
  <w:endnote w:type="continuationSeparator" w:id="0">
    <w:p w:rsidR="005C64FE" w:rsidRDefault="005C64FE" w:rsidP="00D41D08">
      <w:pPr>
        <w:spacing w:after="0" w:line="240" w:lineRule="auto"/>
      </w:pPr>
      <w:r>
        <w:continuationSeparator/>
      </w:r>
    </w:p>
  </w:endnote>
  <w:endnote w:id="1">
    <w:p w:rsidR="00D41D08" w:rsidRDefault="00D41D08" w:rsidP="00D41D08">
      <w:pPr>
        <w:pStyle w:val="Textonotaalfinal"/>
      </w:pPr>
      <w:r>
        <w:rPr>
          <w:rStyle w:val="Refdenotaalfinal"/>
        </w:rPr>
        <w:endnoteRef/>
      </w:r>
      <w:r>
        <w:t xml:space="preserve"> </w:t>
      </w:r>
      <w:hyperlink r:id="rId1" w:history="1">
        <w:r w:rsidRPr="00D41D08">
          <w:rPr>
            <w:rStyle w:val="Hipervnculo"/>
          </w:rPr>
          <w:t>https://www.ipcc.ch/assessment-report/ar6/</w:t>
        </w:r>
      </w:hyperlink>
      <w:r w:rsidRPr="00D41D08">
        <w:t xml:space="preserve">  IPCC = Panel Intergubernamental sobre Cambio Climático / </w:t>
      </w:r>
      <w:proofErr w:type="spellStart"/>
      <w:r w:rsidRPr="00D41D08">
        <w:t>Groupe</w:t>
      </w:r>
      <w:proofErr w:type="spellEnd"/>
      <w:r w:rsidRPr="00D41D08">
        <w:t xml:space="preserve"> </w:t>
      </w:r>
      <w:proofErr w:type="spellStart"/>
      <w:r w:rsidRPr="00D41D08">
        <w:t>d'Experts</w:t>
      </w:r>
      <w:proofErr w:type="spellEnd"/>
      <w:r w:rsidRPr="00D41D08">
        <w:t xml:space="preserve"> </w:t>
      </w:r>
      <w:proofErr w:type="spellStart"/>
      <w:r w:rsidRPr="00D41D08">
        <w:t>Intergouvernemental</w:t>
      </w:r>
      <w:proofErr w:type="spellEnd"/>
      <w:r w:rsidRPr="00D41D08">
        <w:t xml:space="preserve"> sur le </w:t>
      </w:r>
      <w:proofErr w:type="spellStart"/>
      <w:r w:rsidRPr="00D41D08">
        <w:t>Climat</w:t>
      </w:r>
      <w:proofErr w:type="spellEnd"/>
      <w:r w:rsidRPr="00D41D08">
        <w:t xml:space="preserve"> (GIEC) </w:t>
      </w:r>
    </w:p>
    <w:p w:rsidR="00D41D08" w:rsidRDefault="00D41D08" w:rsidP="00D41D08">
      <w:pPr>
        <w:pStyle w:val="Textonotaalfinal"/>
      </w:pPr>
    </w:p>
    <w:p w:rsidR="00D41D08" w:rsidRDefault="00D41D08" w:rsidP="00D41D08">
      <w:pPr>
        <w:pStyle w:val="Textonotaalfinal"/>
      </w:pPr>
      <w:hyperlink r:id="rId2" w:anchor="footnote-marker-2-1" w:history="1">
        <w:r w:rsidRPr="00D41D08">
          <w:rPr>
            <w:rStyle w:val="Hipervnculo"/>
            <w:vertAlign w:val="superscript"/>
          </w:rPr>
          <w:t>2 </w:t>
        </w:r>
      </w:hyperlink>
      <w:hyperlink r:id="rId3" w:history="1">
        <w:r w:rsidRPr="00D41D08">
          <w:rPr>
            <w:rStyle w:val="Hipervnculo"/>
          </w:rPr>
          <w:t>https://acpr.banque-france.fr/les-principaux-resultats-de-lexercice-pilote-climatique-2020</w:t>
        </w:r>
      </w:hyperlink>
    </w:p>
    <w:p w:rsidR="00D41D08" w:rsidRPr="00D41D08" w:rsidRDefault="00D41D08" w:rsidP="00D41D08">
      <w:pPr>
        <w:pStyle w:val="Textonotaalfinal"/>
      </w:pPr>
    </w:p>
    <w:p w:rsidR="00D41D08" w:rsidRDefault="00D41D08" w:rsidP="00D41D08">
      <w:pPr>
        <w:pStyle w:val="Textonotaalfinal"/>
      </w:pPr>
      <w:hyperlink r:id="rId4" w:anchor="footnote-marker-3-1" w:history="1">
        <w:r w:rsidRPr="00D41D08">
          <w:rPr>
            <w:rStyle w:val="Hipervnculo"/>
            <w:vertAlign w:val="superscript"/>
            <w:lang w:val="en-US"/>
          </w:rPr>
          <w:t>3 </w:t>
        </w:r>
      </w:hyperlink>
      <w:hyperlink r:id="rId5" w:history="1">
        <w:r w:rsidRPr="00D41D08">
          <w:rPr>
            <w:rStyle w:val="Hipervnculo"/>
            <w:lang w:val="en-US"/>
          </w:rPr>
          <w:t>https://www.ngfs.net/sites/default/files/medias/documents/progress_report_on_bridging_data_gaps.pdf</w:t>
        </w:r>
      </w:hyperlink>
    </w:p>
    <w:p w:rsidR="00D41D08" w:rsidRPr="00D41D08" w:rsidRDefault="00D41D08" w:rsidP="00D41D08">
      <w:pPr>
        <w:pStyle w:val="Textonotaalfinal"/>
        <w:rPr>
          <w:lang w:val="en-US"/>
        </w:rPr>
      </w:pPr>
    </w:p>
    <w:p w:rsidR="00D41D08" w:rsidRDefault="00D41D08" w:rsidP="00D41D08">
      <w:pPr>
        <w:pStyle w:val="Textonotaalfinal"/>
        <w:rPr>
          <w:lang w:val="en-US"/>
        </w:rPr>
      </w:pPr>
      <w:hyperlink r:id="rId6" w:anchor="footnote-marker-4-1" w:history="1">
        <w:r w:rsidRPr="00D41D08">
          <w:rPr>
            <w:rStyle w:val="Hipervnculo"/>
            <w:vertAlign w:val="superscript"/>
            <w:lang w:val="en-US"/>
          </w:rPr>
          <w:t>4 </w:t>
        </w:r>
      </w:hyperlink>
      <w:hyperlink r:id="rId7" w:history="1">
        <w:r w:rsidRPr="00D41D08">
          <w:rPr>
            <w:rStyle w:val="Hipervnculo"/>
            <w:lang w:val="en-US"/>
          </w:rPr>
          <w:t>https://www.g20.org/wp-content/uploads/2021/07/Communique-Third-G20-FMCBG-meeting-9-10-July-2021.pdf</w:t>
        </w:r>
      </w:hyperlink>
      <w:r w:rsidRPr="00D41D08">
        <w:rPr>
          <w:lang w:val="en-US"/>
        </w:rPr>
        <w:t> </w:t>
      </w:r>
    </w:p>
    <w:p w:rsidR="00D41D08" w:rsidRPr="00D41D08" w:rsidRDefault="00D41D08" w:rsidP="00D41D08">
      <w:pPr>
        <w:pStyle w:val="Textonotaalfinal"/>
        <w:rPr>
          <w:lang w:val="en-US"/>
        </w:rPr>
      </w:pPr>
    </w:p>
    <w:p w:rsidR="00D41D08" w:rsidRDefault="00D41D08" w:rsidP="00D41D08">
      <w:pPr>
        <w:pStyle w:val="Textonotaalfinal"/>
      </w:pPr>
    </w:p>
    <w:p w:rsidR="00D41D08" w:rsidRDefault="00D41D08" w:rsidP="00D41D08">
      <w:pPr>
        <w:pStyle w:val="Textonotaalfinal"/>
      </w:pPr>
    </w:p>
    <w:p w:rsidR="00D41D08" w:rsidRPr="00D41D08" w:rsidRDefault="00D41D08" w:rsidP="00D41D08">
      <w:pPr>
        <w:pStyle w:val="Textonotaalfinal"/>
      </w:pPr>
    </w:p>
    <w:p w:rsidR="00D41D08" w:rsidRDefault="00D41D08">
      <w:pPr>
        <w:pStyle w:val="Textonotaalfinal"/>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64FE" w:rsidRDefault="005C64FE" w:rsidP="00D41D08">
      <w:pPr>
        <w:spacing w:after="0" w:line="240" w:lineRule="auto"/>
      </w:pPr>
      <w:r>
        <w:separator/>
      </w:r>
    </w:p>
  </w:footnote>
  <w:footnote w:type="continuationSeparator" w:id="0">
    <w:p w:rsidR="005C64FE" w:rsidRDefault="005C64FE" w:rsidP="00D41D0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1D08"/>
    <w:rsid w:val="0008540B"/>
    <w:rsid w:val="000F4B68"/>
    <w:rsid w:val="001739B4"/>
    <w:rsid w:val="003B63A5"/>
    <w:rsid w:val="005C64FE"/>
    <w:rsid w:val="00D41D0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D4EDD7-71BF-4888-A929-79E7A1E6C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41D08"/>
    <w:rPr>
      <w:color w:val="0563C1" w:themeColor="hyperlink"/>
      <w:u w:val="single"/>
    </w:rPr>
  </w:style>
  <w:style w:type="paragraph" w:styleId="Textonotaalfinal">
    <w:name w:val="endnote text"/>
    <w:basedOn w:val="Normal"/>
    <w:link w:val="TextonotaalfinalCar"/>
    <w:uiPriority w:val="99"/>
    <w:semiHidden/>
    <w:unhideWhenUsed/>
    <w:rsid w:val="00D41D08"/>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D41D08"/>
    <w:rPr>
      <w:sz w:val="20"/>
      <w:szCs w:val="20"/>
    </w:rPr>
  </w:style>
  <w:style w:type="character" w:styleId="Refdenotaalfinal">
    <w:name w:val="endnote reference"/>
    <w:basedOn w:val="Fuentedeprrafopredeter"/>
    <w:uiPriority w:val="99"/>
    <w:semiHidden/>
    <w:unhideWhenUsed/>
    <w:rsid w:val="00D41D08"/>
    <w:rPr>
      <w:vertAlign w:val="superscript"/>
    </w:rPr>
  </w:style>
  <w:style w:type="paragraph" w:styleId="NormalWeb">
    <w:name w:val="Normal (Web)"/>
    <w:basedOn w:val="Normal"/>
    <w:uiPriority w:val="99"/>
    <w:semiHidden/>
    <w:unhideWhenUsed/>
    <w:rsid w:val="00D41D08"/>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502772">
      <w:bodyDiv w:val="1"/>
      <w:marLeft w:val="0"/>
      <w:marRight w:val="0"/>
      <w:marTop w:val="0"/>
      <w:marBottom w:val="0"/>
      <w:divBdr>
        <w:top w:val="none" w:sz="0" w:space="0" w:color="auto"/>
        <w:left w:val="none" w:sz="0" w:space="0" w:color="auto"/>
        <w:bottom w:val="none" w:sz="0" w:space="0" w:color="auto"/>
        <w:right w:val="none" w:sz="0" w:space="0" w:color="auto"/>
      </w:divBdr>
      <w:divsChild>
        <w:div w:id="1591308456">
          <w:marLeft w:val="0"/>
          <w:marRight w:val="0"/>
          <w:marTop w:val="0"/>
          <w:marBottom w:val="0"/>
          <w:divBdr>
            <w:top w:val="none" w:sz="0" w:space="0" w:color="auto"/>
            <w:left w:val="none" w:sz="0" w:space="0" w:color="auto"/>
            <w:bottom w:val="none" w:sz="0" w:space="0" w:color="auto"/>
            <w:right w:val="none" w:sz="0" w:space="0" w:color="auto"/>
          </w:divBdr>
        </w:div>
      </w:divsChild>
    </w:div>
    <w:div w:id="514617480">
      <w:bodyDiv w:val="1"/>
      <w:marLeft w:val="0"/>
      <w:marRight w:val="0"/>
      <w:marTop w:val="0"/>
      <w:marBottom w:val="0"/>
      <w:divBdr>
        <w:top w:val="none" w:sz="0" w:space="0" w:color="auto"/>
        <w:left w:val="none" w:sz="0" w:space="0" w:color="auto"/>
        <w:bottom w:val="none" w:sz="0" w:space="0" w:color="auto"/>
        <w:right w:val="none" w:sz="0" w:space="0" w:color="auto"/>
      </w:divBdr>
    </w:div>
    <w:div w:id="662657677">
      <w:bodyDiv w:val="1"/>
      <w:marLeft w:val="0"/>
      <w:marRight w:val="0"/>
      <w:marTop w:val="0"/>
      <w:marBottom w:val="0"/>
      <w:divBdr>
        <w:top w:val="none" w:sz="0" w:space="0" w:color="auto"/>
        <w:left w:val="none" w:sz="0" w:space="0" w:color="auto"/>
        <w:bottom w:val="none" w:sz="0" w:space="0" w:color="auto"/>
        <w:right w:val="none" w:sz="0" w:space="0" w:color="auto"/>
      </w:divBdr>
    </w:div>
    <w:div w:id="977227592">
      <w:bodyDiv w:val="1"/>
      <w:marLeft w:val="0"/>
      <w:marRight w:val="0"/>
      <w:marTop w:val="0"/>
      <w:marBottom w:val="0"/>
      <w:divBdr>
        <w:top w:val="none" w:sz="0" w:space="0" w:color="auto"/>
        <w:left w:val="none" w:sz="0" w:space="0" w:color="auto"/>
        <w:bottom w:val="none" w:sz="0" w:space="0" w:color="auto"/>
        <w:right w:val="none" w:sz="0" w:space="0" w:color="auto"/>
      </w:divBdr>
    </w:div>
    <w:div w:id="1033307289">
      <w:bodyDiv w:val="1"/>
      <w:marLeft w:val="0"/>
      <w:marRight w:val="0"/>
      <w:marTop w:val="0"/>
      <w:marBottom w:val="0"/>
      <w:divBdr>
        <w:top w:val="none" w:sz="0" w:space="0" w:color="auto"/>
        <w:left w:val="none" w:sz="0" w:space="0" w:color="auto"/>
        <w:bottom w:val="none" w:sz="0" w:space="0" w:color="auto"/>
        <w:right w:val="none" w:sz="0" w:space="0" w:color="auto"/>
      </w:divBdr>
    </w:div>
    <w:div w:id="1236621492">
      <w:bodyDiv w:val="1"/>
      <w:marLeft w:val="0"/>
      <w:marRight w:val="0"/>
      <w:marTop w:val="0"/>
      <w:marBottom w:val="0"/>
      <w:divBdr>
        <w:top w:val="none" w:sz="0" w:space="0" w:color="auto"/>
        <w:left w:val="none" w:sz="0" w:space="0" w:color="auto"/>
        <w:bottom w:val="none" w:sz="0" w:space="0" w:color="auto"/>
        <w:right w:val="none" w:sz="0" w:space="0" w:color="auto"/>
      </w:divBdr>
    </w:div>
    <w:div w:id="1245606917">
      <w:bodyDiv w:val="1"/>
      <w:marLeft w:val="0"/>
      <w:marRight w:val="0"/>
      <w:marTop w:val="0"/>
      <w:marBottom w:val="0"/>
      <w:divBdr>
        <w:top w:val="none" w:sz="0" w:space="0" w:color="auto"/>
        <w:left w:val="none" w:sz="0" w:space="0" w:color="auto"/>
        <w:bottom w:val="none" w:sz="0" w:space="0" w:color="auto"/>
        <w:right w:val="none" w:sz="0" w:space="0" w:color="auto"/>
      </w:divBdr>
      <w:divsChild>
        <w:div w:id="1166827955">
          <w:marLeft w:val="0"/>
          <w:marRight w:val="0"/>
          <w:marTop w:val="0"/>
          <w:marBottom w:val="0"/>
          <w:divBdr>
            <w:top w:val="none" w:sz="0" w:space="0" w:color="auto"/>
            <w:left w:val="none" w:sz="0" w:space="0" w:color="auto"/>
            <w:bottom w:val="none" w:sz="0" w:space="0" w:color="auto"/>
            <w:right w:val="none" w:sz="0" w:space="0" w:color="auto"/>
          </w:divBdr>
        </w:div>
        <w:div w:id="259068401">
          <w:marLeft w:val="0"/>
          <w:marRight w:val="0"/>
          <w:marTop w:val="600"/>
          <w:marBottom w:val="0"/>
          <w:divBdr>
            <w:top w:val="none" w:sz="0" w:space="0" w:color="auto"/>
            <w:left w:val="none" w:sz="0" w:space="0" w:color="auto"/>
            <w:bottom w:val="none" w:sz="0" w:space="0" w:color="auto"/>
            <w:right w:val="none" w:sz="0" w:space="0" w:color="auto"/>
          </w:divBdr>
          <w:divsChild>
            <w:div w:id="69962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132048">
      <w:bodyDiv w:val="1"/>
      <w:marLeft w:val="0"/>
      <w:marRight w:val="0"/>
      <w:marTop w:val="0"/>
      <w:marBottom w:val="0"/>
      <w:divBdr>
        <w:top w:val="none" w:sz="0" w:space="0" w:color="auto"/>
        <w:left w:val="none" w:sz="0" w:space="0" w:color="auto"/>
        <w:bottom w:val="none" w:sz="0" w:space="0" w:color="auto"/>
        <w:right w:val="none" w:sz="0" w:space="0" w:color="auto"/>
      </w:divBdr>
      <w:divsChild>
        <w:div w:id="1673684629">
          <w:marLeft w:val="0"/>
          <w:marRight w:val="0"/>
          <w:marTop w:val="0"/>
          <w:marBottom w:val="0"/>
          <w:divBdr>
            <w:top w:val="none" w:sz="0" w:space="0" w:color="auto"/>
            <w:left w:val="none" w:sz="0" w:space="0" w:color="auto"/>
            <w:bottom w:val="none" w:sz="0" w:space="0" w:color="auto"/>
            <w:right w:val="none" w:sz="0" w:space="0" w:color="auto"/>
          </w:divBdr>
          <w:divsChild>
            <w:div w:id="473832796">
              <w:marLeft w:val="0"/>
              <w:marRight w:val="0"/>
              <w:marTop w:val="0"/>
              <w:marBottom w:val="0"/>
              <w:divBdr>
                <w:top w:val="none" w:sz="0" w:space="0" w:color="auto"/>
                <w:left w:val="none" w:sz="0" w:space="0" w:color="auto"/>
                <w:bottom w:val="none" w:sz="0" w:space="0" w:color="auto"/>
                <w:right w:val="none" w:sz="0" w:space="0" w:color="auto"/>
              </w:divBdr>
            </w:div>
          </w:divsChild>
        </w:div>
        <w:div w:id="372078239">
          <w:marLeft w:val="0"/>
          <w:marRight w:val="0"/>
          <w:marTop w:val="0"/>
          <w:marBottom w:val="0"/>
          <w:divBdr>
            <w:top w:val="none" w:sz="0" w:space="0" w:color="auto"/>
            <w:left w:val="none" w:sz="0" w:space="0" w:color="auto"/>
            <w:bottom w:val="none" w:sz="0" w:space="0" w:color="auto"/>
            <w:right w:val="none" w:sz="0" w:space="0" w:color="auto"/>
          </w:divBdr>
          <w:divsChild>
            <w:div w:id="198195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s.org/review/r210916d.htm" TargetMode="External"/><Relationship Id="rId3" Type="http://schemas.openxmlformats.org/officeDocument/2006/relationships/settings" Target="settings.xml"/><Relationship Id="rId7" Type="http://schemas.openxmlformats.org/officeDocument/2006/relationships/hyperlink" Target="https://www.bis.org/author/fran%C3%A7ois_villeroy_de_galhau.ht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ww.bis.org/review/r210916d.htm" TargetMode="External"/><Relationship Id="rId4" Type="http://schemas.openxmlformats.org/officeDocument/2006/relationships/webSettings" Target="webSettings.xml"/><Relationship Id="rId9" Type="http://schemas.openxmlformats.org/officeDocument/2006/relationships/hyperlink" Target="https://www.bis.org/review/r210916d.htm" TargetMode="External"/></Relationships>
</file>

<file path=word/_rels/endnotes.xml.rels><?xml version="1.0" encoding="UTF-8" standalone="yes"?>
<Relationships xmlns="http://schemas.openxmlformats.org/package/2006/relationships"><Relationship Id="rId3" Type="http://schemas.openxmlformats.org/officeDocument/2006/relationships/hyperlink" Target="https://acpr.banque-france.fr/les-principaux-resultats-de-lexercice-pilote-climatique-2020" TargetMode="External"/><Relationship Id="rId7" Type="http://schemas.openxmlformats.org/officeDocument/2006/relationships/hyperlink" Target="https://www.g20.org/wp-content/uploads/2021/07/Communique-Third-G20-FMCBG-meeting-9-10-July-2021.pdf" TargetMode="External"/><Relationship Id="rId2" Type="http://schemas.openxmlformats.org/officeDocument/2006/relationships/hyperlink" Target="https://www.bis.org/review/r210916d.htm" TargetMode="External"/><Relationship Id="rId1" Type="http://schemas.openxmlformats.org/officeDocument/2006/relationships/hyperlink" Target="https://www.ipcc.ch/assessment-report/ar6/" TargetMode="External"/><Relationship Id="rId6" Type="http://schemas.openxmlformats.org/officeDocument/2006/relationships/hyperlink" Target="https://www.bis.org/review/r210916d.htm" TargetMode="External"/><Relationship Id="rId5" Type="http://schemas.openxmlformats.org/officeDocument/2006/relationships/hyperlink" Target="https://www.ngfs.net/sites/default/files/medias/documents/progress_report_on_bridging_data_gaps.pdf" TargetMode="External"/><Relationship Id="rId4" Type="http://schemas.openxmlformats.org/officeDocument/2006/relationships/hyperlink" Target="https://www.bis.org/review/r210916d.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63905A-179D-49CC-BE47-772215C873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1844</Words>
  <Characters>10143</Characters>
  <Application>Microsoft Office Word</Application>
  <DocSecurity>0</DocSecurity>
  <Lines>84</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Raúl</dc:creator>
  <cp:keywords/>
  <dc:description/>
  <cp:lastModifiedBy>Raúl</cp:lastModifiedBy>
  <cp:revision>1</cp:revision>
  <dcterms:created xsi:type="dcterms:W3CDTF">2021-10-19T20:19:00Z</dcterms:created>
  <dcterms:modified xsi:type="dcterms:W3CDTF">2021-10-19T20:34:00Z</dcterms:modified>
</cp:coreProperties>
</file>