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73C" w:rsidRPr="0025273C" w:rsidRDefault="0025273C" w:rsidP="0025273C">
      <w:pPr>
        <w:jc w:val="both"/>
        <w:rPr>
          <w:rFonts w:ascii="Arial" w:hAnsi="Arial" w:cs="Arial"/>
          <w:b/>
        </w:rPr>
      </w:pPr>
      <w:r w:rsidRPr="0025273C">
        <w:rPr>
          <w:rFonts w:ascii="Arial" w:hAnsi="Arial" w:cs="Arial"/>
          <w:b/>
        </w:rPr>
        <w:t xml:space="preserve">La EBA evalúa los beneficios, desafíos y riesgos del uso de </w:t>
      </w:r>
      <w:proofErr w:type="spellStart"/>
      <w:r w:rsidRPr="0025273C">
        <w:rPr>
          <w:rFonts w:ascii="Arial" w:hAnsi="Arial" w:cs="Arial"/>
          <w:b/>
        </w:rPr>
        <w:t>RegTech</w:t>
      </w:r>
      <w:proofErr w:type="spellEnd"/>
      <w:r w:rsidRPr="0025273C">
        <w:rPr>
          <w:rFonts w:ascii="Arial" w:hAnsi="Arial" w:cs="Arial"/>
          <w:b/>
        </w:rPr>
        <w:t xml:space="preserve"> en la UE y presenta los pasos a seguir para respaldar la adopción sólida y la ampliación de las soluciones de </w:t>
      </w:r>
      <w:proofErr w:type="spellStart"/>
      <w:r w:rsidRPr="0025273C">
        <w:rPr>
          <w:rFonts w:ascii="Arial" w:hAnsi="Arial" w:cs="Arial"/>
          <w:b/>
        </w:rPr>
        <w:t>RegTech</w:t>
      </w:r>
      <w:proofErr w:type="spellEnd"/>
      <w:r w:rsidRPr="0025273C">
        <w:rPr>
          <w:rFonts w:ascii="Arial" w:hAnsi="Arial" w:cs="Arial"/>
          <w:b/>
        </w:rPr>
        <w:t>.</w:t>
      </w:r>
    </w:p>
    <w:p w:rsidR="0025273C" w:rsidRPr="0025273C" w:rsidRDefault="0025273C" w:rsidP="0025273C">
      <w:pPr>
        <w:jc w:val="both"/>
        <w:rPr>
          <w:rFonts w:ascii="Arial" w:hAnsi="Arial" w:cs="Arial"/>
        </w:rPr>
      </w:pPr>
    </w:p>
    <w:p w:rsidR="0025273C" w:rsidRPr="0025273C" w:rsidRDefault="0025273C" w:rsidP="0025273C">
      <w:pPr>
        <w:jc w:val="both"/>
        <w:rPr>
          <w:rFonts w:ascii="Arial" w:hAnsi="Arial" w:cs="Arial"/>
        </w:rPr>
      </w:pPr>
      <w:r w:rsidRPr="0025273C">
        <w:rPr>
          <w:rFonts w:ascii="Arial" w:hAnsi="Arial" w:cs="Arial"/>
        </w:rPr>
        <w:t>29 de junio de 2021</w:t>
      </w:r>
    </w:p>
    <w:p w:rsidR="0025273C" w:rsidRDefault="0025273C" w:rsidP="0025273C">
      <w:pPr>
        <w:jc w:val="both"/>
        <w:rPr>
          <w:rFonts w:ascii="Arial" w:hAnsi="Arial" w:cs="Arial"/>
          <w:b/>
          <w:bCs/>
        </w:rPr>
      </w:pPr>
    </w:p>
    <w:p w:rsidR="0025273C" w:rsidRPr="0025273C" w:rsidRDefault="0025273C" w:rsidP="0025273C">
      <w:pPr>
        <w:jc w:val="both"/>
        <w:rPr>
          <w:rFonts w:ascii="Arial" w:hAnsi="Arial" w:cs="Arial"/>
        </w:rPr>
      </w:pPr>
      <w:r w:rsidRPr="0025273C">
        <w:rPr>
          <w:rFonts w:ascii="Arial" w:hAnsi="Arial" w:cs="Arial"/>
          <w:b/>
          <w:bCs/>
        </w:rPr>
        <w:t xml:space="preserve">La Autoridad Bancaria Europea (EBA) publicó hoy un análisis del panorama actual de </w:t>
      </w:r>
      <w:proofErr w:type="spellStart"/>
      <w:r w:rsidRPr="0025273C">
        <w:rPr>
          <w:rFonts w:ascii="Arial" w:hAnsi="Arial" w:cs="Arial"/>
          <w:b/>
          <w:bCs/>
        </w:rPr>
        <w:t>RegTech</w:t>
      </w:r>
      <w:proofErr w:type="spellEnd"/>
      <w:r w:rsidRPr="0025273C">
        <w:rPr>
          <w:rFonts w:ascii="Arial" w:hAnsi="Arial" w:cs="Arial"/>
          <w:b/>
          <w:bCs/>
        </w:rPr>
        <w:t xml:space="preserve"> en la UE. El Informe evalúa los beneficios y desafíos generales que enfrentan las instituciones financieras y los proveedores de </w:t>
      </w:r>
      <w:proofErr w:type="spellStart"/>
      <w:r w:rsidRPr="0025273C">
        <w:rPr>
          <w:rFonts w:ascii="Arial" w:hAnsi="Arial" w:cs="Arial"/>
          <w:b/>
          <w:bCs/>
        </w:rPr>
        <w:t>RegTech</w:t>
      </w:r>
      <w:proofErr w:type="spellEnd"/>
      <w:r w:rsidRPr="0025273C">
        <w:rPr>
          <w:rFonts w:ascii="Arial" w:hAnsi="Arial" w:cs="Arial"/>
          <w:b/>
          <w:bCs/>
        </w:rPr>
        <w:t xml:space="preserve"> en el uso de </w:t>
      </w:r>
      <w:proofErr w:type="spellStart"/>
      <w:r w:rsidRPr="0025273C">
        <w:rPr>
          <w:rFonts w:ascii="Arial" w:hAnsi="Arial" w:cs="Arial"/>
          <w:b/>
          <w:bCs/>
        </w:rPr>
        <w:t>RegTech</w:t>
      </w:r>
      <w:proofErr w:type="spellEnd"/>
      <w:r w:rsidRPr="0025273C">
        <w:rPr>
          <w:rFonts w:ascii="Arial" w:hAnsi="Arial" w:cs="Arial"/>
          <w:b/>
          <w:bCs/>
        </w:rPr>
        <w:t xml:space="preserve">. También identifica los riesgos potenciales que surgen de las soluciones </w:t>
      </w:r>
      <w:proofErr w:type="spellStart"/>
      <w:r w:rsidRPr="0025273C">
        <w:rPr>
          <w:rFonts w:ascii="Arial" w:hAnsi="Arial" w:cs="Arial"/>
          <w:b/>
          <w:bCs/>
        </w:rPr>
        <w:t>RegTech</w:t>
      </w:r>
      <w:proofErr w:type="spellEnd"/>
      <w:r w:rsidRPr="0025273C">
        <w:rPr>
          <w:rFonts w:ascii="Arial" w:hAnsi="Arial" w:cs="Arial"/>
          <w:b/>
          <w:bCs/>
        </w:rPr>
        <w:t xml:space="preserve"> que los supervisores deberán abordar y propone acciones diseñadas para mejorar el conocimiento y las habilidades en las autoridades competentes. Estas acciones también tienen como objetivo garantizar la neutralidad tecnológica en los enfoques regulatorios y de supervisión de </w:t>
      </w:r>
      <w:proofErr w:type="spellStart"/>
      <w:r w:rsidRPr="0025273C">
        <w:rPr>
          <w:rFonts w:ascii="Arial" w:hAnsi="Arial" w:cs="Arial"/>
          <w:b/>
          <w:bCs/>
        </w:rPr>
        <w:t>RegTech</w:t>
      </w:r>
      <w:proofErr w:type="spellEnd"/>
      <w:r w:rsidRPr="0025273C">
        <w:rPr>
          <w:rFonts w:ascii="Arial" w:hAnsi="Arial" w:cs="Arial"/>
          <w:b/>
          <w:bCs/>
        </w:rPr>
        <w:t xml:space="preserve">, al tiempo que abordan cualquier obstáculo inadvertido dentro del mercado único para facilitar la adopción de </w:t>
      </w:r>
      <w:proofErr w:type="spellStart"/>
      <w:r w:rsidRPr="0025273C">
        <w:rPr>
          <w:rFonts w:ascii="Arial" w:hAnsi="Arial" w:cs="Arial"/>
          <w:b/>
          <w:bCs/>
        </w:rPr>
        <w:t>RegTech</w:t>
      </w:r>
      <w:proofErr w:type="spellEnd"/>
      <w:r w:rsidRPr="0025273C">
        <w:rPr>
          <w:rFonts w:ascii="Arial" w:hAnsi="Arial" w:cs="Arial"/>
          <w:b/>
          <w:bCs/>
        </w:rPr>
        <w:t xml:space="preserve"> en toda la UE.</w:t>
      </w:r>
    </w:p>
    <w:p w:rsidR="0025273C" w:rsidRDefault="0025273C" w:rsidP="0025273C">
      <w:pPr>
        <w:jc w:val="both"/>
        <w:rPr>
          <w:rFonts w:ascii="Arial" w:hAnsi="Arial" w:cs="Arial"/>
        </w:rPr>
      </w:pPr>
    </w:p>
    <w:p w:rsidR="0025273C" w:rsidRPr="0025273C" w:rsidRDefault="0025273C" w:rsidP="0025273C">
      <w:pPr>
        <w:jc w:val="both"/>
        <w:rPr>
          <w:rFonts w:ascii="Arial" w:hAnsi="Arial" w:cs="Arial"/>
          <w:b/>
        </w:rPr>
      </w:pPr>
      <w:r w:rsidRPr="0025273C">
        <w:rPr>
          <w:rFonts w:ascii="Arial" w:hAnsi="Arial" w:cs="Arial"/>
          <w:b/>
        </w:rPr>
        <w:t>Conclusiones clave y el camino a seguir</w:t>
      </w:r>
    </w:p>
    <w:p w:rsidR="0025273C" w:rsidRDefault="0025273C" w:rsidP="0025273C">
      <w:pPr>
        <w:jc w:val="both"/>
        <w:rPr>
          <w:rFonts w:ascii="Arial" w:hAnsi="Arial" w:cs="Arial"/>
        </w:rPr>
      </w:pPr>
      <w:r w:rsidRPr="0025273C">
        <w:rPr>
          <w:rFonts w:ascii="Arial" w:hAnsi="Arial" w:cs="Arial"/>
        </w:rPr>
        <w:t xml:space="preserve">La EBA está comprometida con la neutralidad tecnológica, lo que requiere un seguimiento constante y el intercambio de información sobre los avances tecnológicos. El Informe de la EBA analiza la aplicación de la innovación habilitada por la tecnología para los requisitos normativos, de cumplimiento y de informes y proporciona un análisis profundo de los cinco segmentos de </w:t>
      </w:r>
      <w:proofErr w:type="spellStart"/>
      <w:r w:rsidRPr="0025273C">
        <w:rPr>
          <w:rFonts w:ascii="Arial" w:hAnsi="Arial" w:cs="Arial"/>
        </w:rPr>
        <w:t>RegTech</w:t>
      </w:r>
      <w:proofErr w:type="spellEnd"/>
      <w:r w:rsidRPr="0025273C">
        <w:rPr>
          <w:rFonts w:ascii="Arial" w:hAnsi="Arial" w:cs="Arial"/>
        </w:rPr>
        <w:t xml:space="preserve"> más utilizados: Lucha contra el lavado de dinero / Contra el financiamiento del terrorismo (ALD / CFT</w:t>
      </w:r>
      <w:bookmarkStart w:id="0" w:name="_GoBack"/>
      <w:bookmarkEnd w:id="0"/>
      <w:r w:rsidRPr="0025273C">
        <w:rPr>
          <w:rFonts w:ascii="Arial" w:hAnsi="Arial" w:cs="Arial"/>
        </w:rPr>
        <w:t xml:space="preserve">), prevención del fraude, informes prudenciales, seguridad de las TIC y evaluación de la solvencia. El análisis profundo de </w:t>
      </w:r>
      <w:proofErr w:type="spellStart"/>
      <w:r w:rsidRPr="0025273C">
        <w:rPr>
          <w:rFonts w:ascii="Arial" w:hAnsi="Arial" w:cs="Arial"/>
        </w:rPr>
        <w:t>RegTech</w:t>
      </w:r>
      <w:proofErr w:type="spellEnd"/>
      <w:r w:rsidRPr="0025273C">
        <w:rPr>
          <w:rFonts w:ascii="Arial" w:hAnsi="Arial" w:cs="Arial"/>
        </w:rPr>
        <w:t xml:space="preserve"> para informes prudenciales refleja los hallazgos identificados en el estudio reciente de la EBA sobre el costo del cumplimiento de los requisitos de informes de supervisión (publicado </w:t>
      </w:r>
      <w:hyperlink r:id="rId5" w:history="1">
        <w:r w:rsidRPr="0025273C">
          <w:rPr>
            <w:rStyle w:val="Hipervnculo"/>
            <w:rFonts w:ascii="Arial" w:hAnsi="Arial" w:cs="Arial"/>
          </w:rPr>
          <w:t>aquí</w:t>
        </w:r>
      </w:hyperlink>
      <w:r w:rsidRPr="0025273C">
        <w:rPr>
          <w:rFonts w:ascii="Arial" w:hAnsi="Arial" w:cs="Arial"/>
        </w:rPr>
        <w:t xml:space="preserve"> ) que recomienda un uso más amplio de la tecnología y concienciar sobre los posibles casos de uso de </w:t>
      </w:r>
      <w:proofErr w:type="spellStart"/>
      <w:r w:rsidRPr="0025273C">
        <w:rPr>
          <w:rFonts w:ascii="Arial" w:hAnsi="Arial" w:cs="Arial"/>
        </w:rPr>
        <w:t>RegTech</w:t>
      </w:r>
      <w:proofErr w:type="spellEnd"/>
      <w:r w:rsidRPr="0025273C">
        <w:rPr>
          <w:rFonts w:ascii="Arial" w:hAnsi="Arial" w:cs="Arial"/>
        </w:rPr>
        <w:t xml:space="preserve"> en los informes de supervisión.</w:t>
      </w:r>
    </w:p>
    <w:p w:rsidR="0025273C" w:rsidRPr="0025273C" w:rsidRDefault="0025273C" w:rsidP="0025273C">
      <w:pPr>
        <w:jc w:val="both"/>
        <w:rPr>
          <w:rFonts w:ascii="Arial" w:hAnsi="Arial" w:cs="Arial"/>
        </w:rPr>
      </w:pPr>
      <w:r w:rsidRPr="0025273C">
        <w:rPr>
          <w:rFonts w:ascii="Arial" w:hAnsi="Arial" w:cs="Arial"/>
        </w:rPr>
        <w:t xml:space="preserve">Las instituciones financieras destacan una mejor gestión de riesgos, mejores capacidades de monitoreo y muestreo, y la reducción de errores humanos como los principales beneficios del uso de las soluciones </w:t>
      </w:r>
      <w:proofErr w:type="spellStart"/>
      <w:r w:rsidRPr="0025273C">
        <w:rPr>
          <w:rFonts w:ascii="Arial" w:hAnsi="Arial" w:cs="Arial"/>
        </w:rPr>
        <w:t>RegTech</w:t>
      </w:r>
      <w:proofErr w:type="spellEnd"/>
      <w:r w:rsidRPr="0025273C">
        <w:rPr>
          <w:rFonts w:ascii="Arial" w:hAnsi="Arial" w:cs="Arial"/>
        </w:rPr>
        <w:t xml:space="preserve">. Los proveedores de </w:t>
      </w:r>
      <w:proofErr w:type="spellStart"/>
      <w:r w:rsidRPr="0025273C">
        <w:rPr>
          <w:rFonts w:ascii="Arial" w:hAnsi="Arial" w:cs="Arial"/>
        </w:rPr>
        <w:t>RegTech</w:t>
      </w:r>
      <w:proofErr w:type="spellEnd"/>
      <w:r w:rsidRPr="0025273C">
        <w:rPr>
          <w:rFonts w:ascii="Arial" w:hAnsi="Arial" w:cs="Arial"/>
        </w:rPr>
        <w:t xml:space="preserve"> enfatizan la capacidad de aumentar la eficiencia, sofocar el impacto del cambio regulatorio en curso y mejorar la efectividad.</w:t>
      </w:r>
    </w:p>
    <w:p w:rsidR="0025273C" w:rsidRDefault="0025273C" w:rsidP="0025273C">
      <w:pPr>
        <w:jc w:val="both"/>
        <w:rPr>
          <w:rFonts w:ascii="Arial" w:hAnsi="Arial" w:cs="Arial"/>
        </w:rPr>
      </w:pPr>
      <w:r w:rsidRPr="0025273C">
        <w:rPr>
          <w:rFonts w:ascii="Arial" w:hAnsi="Arial" w:cs="Arial"/>
        </w:rPr>
        <w:t xml:space="preserve">La evidencia sugiere que la mayoría de los desafíos para el desarrollo del mercado de </w:t>
      </w:r>
      <w:proofErr w:type="spellStart"/>
      <w:r w:rsidRPr="0025273C">
        <w:rPr>
          <w:rFonts w:ascii="Arial" w:hAnsi="Arial" w:cs="Arial"/>
        </w:rPr>
        <w:t>RegTech</w:t>
      </w:r>
      <w:proofErr w:type="spellEnd"/>
      <w:r w:rsidRPr="0025273C">
        <w:rPr>
          <w:rFonts w:ascii="Arial" w:hAnsi="Arial" w:cs="Arial"/>
        </w:rPr>
        <w:t xml:space="preserve"> son factores internos dentro de las instituciones financieras y los proveedores de </w:t>
      </w:r>
      <w:proofErr w:type="spellStart"/>
      <w:r w:rsidRPr="0025273C">
        <w:rPr>
          <w:rFonts w:ascii="Arial" w:hAnsi="Arial" w:cs="Arial"/>
        </w:rPr>
        <w:t>RegTech</w:t>
      </w:r>
      <w:proofErr w:type="spellEnd"/>
      <w:r w:rsidRPr="0025273C">
        <w:rPr>
          <w:rFonts w:ascii="Arial" w:hAnsi="Arial" w:cs="Arial"/>
        </w:rPr>
        <w:t xml:space="preserve">. Estos se relacionan con datos (calidad, seguridad, privacidad), interoperabilidad e integración con los sistemas heredados existentes, falta de capacidades de interfaz de programación de aplicaciones (API) de las instituciones financieras, procesos de diligencia debida costosos y, a menudo, largos y complejos, y conocimiento limitado de </w:t>
      </w:r>
      <w:proofErr w:type="spellStart"/>
      <w:r w:rsidRPr="0025273C">
        <w:rPr>
          <w:rFonts w:ascii="Arial" w:hAnsi="Arial" w:cs="Arial"/>
        </w:rPr>
        <w:t>RegTech</w:t>
      </w:r>
      <w:proofErr w:type="spellEnd"/>
      <w:r w:rsidRPr="0025273C">
        <w:rPr>
          <w:rFonts w:ascii="Arial" w:hAnsi="Arial" w:cs="Arial"/>
        </w:rPr>
        <w:t xml:space="preserve"> soluciones. El marco legal y regulatorio actual no ha sido identificado como el obstáculo más importante para la adopción de </w:t>
      </w:r>
      <w:proofErr w:type="spellStart"/>
      <w:r w:rsidRPr="0025273C">
        <w:rPr>
          <w:rFonts w:ascii="Arial" w:hAnsi="Arial" w:cs="Arial"/>
        </w:rPr>
        <w:t>RegTech</w:t>
      </w:r>
      <w:proofErr w:type="spellEnd"/>
      <w:r w:rsidRPr="0025273C">
        <w:rPr>
          <w:rFonts w:ascii="Arial" w:hAnsi="Arial" w:cs="Arial"/>
        </w:rPr>
        <w:t xml:space="preserve">. Sin embargo, la falta de normas reguladoras </w:t>
      </w:r>
      <w:r w:rsidRPr="0025273C">
        <w:rPr>
          <w:rFonts w:ascii="Arial" w:hAnsi="Arial" w:cs="Arial"/>
        </w:rPr>
        <w:lastRenderedPageBreak/>
        <w:t xml:space="preserve">comunes en los Estados miembros podría suponer obstáculos para una adopción más amplia de las soluciones </w:t>
      </w:r>
      <w:proofErr w:type="spellStart"/>
      <w:r w:rsidRPr="0025273C">
        <w:rPr>
          <w:rFonts w:ascii="Arial" w:hAnsi="Arial" w:cs="Arial"/>
        </w:rPr>
        <w:t>RegTech</w:t>
      </w:r>
      <w:proofErr w:type="spellEnd"/>
      <w:r w:rsidRPr="0025273C">
        <w:rPr>
          <w:rFonts w:ascii="Arial" w:hAnsi="Arial" w:cs="Arial"/>
        </w:rPr>
        <w:t xml:space="preserve"> en el mercado único.</w:t>
      </w:r>
    </w:p>
    <w:p w:rsidR="0025273C" w:rsidRPr="0025273C" w:rsidRDefault="0025273C" w:rsidP="0025273C">
      <w:pPr>
        <w:jc w:val="both"/>
        <w:rPr>
          <w:rFonts w:ascii="Arial" w:hAnsi="Arial" w:cs="Arial"/>
        </w:rPr>
      </w:pPr>
      <w:r w:rsidRPr="0025273C">
        <w:rPr>
          <w:rFonts w:ascii="Arial" w:hAnsi="Arial" w:cs="Arial"/>
        </w:rPr>
        <w:t xml:space="preserve">Sobre la base de las iniciativas en curso de las EBA, las ESA y las CA existentes, la EBA propone que se tomen los siguientes pasos para respaldar la adopción sólida y la ampliación de las soluciones </w:t>
      </w:r>
      <w:proofErr w:type="spellStart"/>
      <w:r w:rsidRPr="0025273C">
        <w:rPr>
          <w:rFonts w:ascii="Arial" w:hAnsi="Arial" w:cs="Arial"/>
        </w:rPr>
        <w:t>RegTech</w:t>
      </w:r>
      <w:proofErr w:type="spellEnd"/>
      <w:r w:rsidRPr="0025273C">
        <w:rPr>
          <w:rFonts w:ascii="Arial" w:hAnsi="Arial" w:cs="Arial"/>
        </w:rPr>
        <w:t>:</w:t>
      </w:r>
    </w:p>
    <w:p w:rsidR="0025273C" w:rsidRPr="0025273C" w:rsidRDefault="0025273C" w:rsidP="0025273C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25273C">
        <w:rPr>
          <w:rFonts w:ascii="Arial" w:hAnsi="Arial" w:cs="Arial"/>
        </w:rPr>
        <w:t xml:space="preserve">actividades para profundizar el conocimiento y abordar cualquier brecha de habilidades entre reguladores y supervisores en </w:t>
      </w:r>
      <w:proofErr w:type="spellStart"/>
      <w:r w:rsidRPr="0025273C">
        <w:rPr>
          <w:rFonts w:ascii="Arial" w:hAnsi="Arial" w:cs="Arial"/>
        </w:rPr>
        <w:t>RegTech</w:t>
      </w:r>
      <w:proofErr w:type="spellEnd"/>
      <w:r w:rsidRPr="0025273C">
        <w:rPr>
          <w:rFonts w:ascii="Arial" w:hAnsi="Arial" w:cs="Arial"/>
        </w:rPr>
        <w:t xml:space="preserve">; apoyar la convergencia de las prácticas de supervisión en toda la UE en el tratamiento de </w:t>
      </w:r>
      <w:proofErr w:type="spellStart"/>
      <w:r w:rsidRPr="0025273C">
        <w:rPr>
          <w:rFonts w:ascii="Arial" w:hAnsi="Arial" w:cs="Arial"/>
        </w:rPr>
        <w:t>RegTech</w:t>
      </w:r>
      <w:proofErr w:type="spellEnd"/>
      <w:r w:rsidRPr="0025273C">
        <w:rPr>
          <w:rFonts w:ascii="Arial" w:hAnsi="Arial" w:cs="Arial"/>
        </w:rPr>
        <w:t>; y proporcionar claridad sobre las expectativas de los supervisores;</w:t>
      </w:r>
    </w:p>
    <w:p w:rsidR="0025273C" w:rsidRPr="0025273C" w:rsidRDefault="0025273C" w:rsidP="0025273C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25273C">
        <w:rPr>
          <w:rFonts w:ascii="Arial" w:hAnsi="Arial" w:cs="Arial"/>
        </w:rPr>
        <w:t>nuevas medidas para armonizar los requisitos legales y reglamentarios, cuando proceda;</w:t>
      </w:r>
    </w:p>
    <w:p w:rsidR="0025273C" w:rsidRPr="0025273C" w:rsidRDefault="0025273C" w:rsidP="0025273C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25273C">
        <w:rPr>
          <w:rFonts w:ascii="Arial" w:hAnsi="Arial" w:cs="Arial"/>
        </w:rPr>
        <w:t xml:space="preserve">Aprovechar aún más el papel y la experiencia del Foro Europeo de Facilitadores de Innovación (EFIF) y los entornos de pruebas regulatorios nacionales y los centros de innovación como un entorno de prueba seguro para las soluciones </w:t>
      </w:r>
      <w:proofErr w:type="spellStart"/>
      <w:r w:rsidRPr="0025273C">
        <w:rPr>
          <w:rFonts w:ascii="Arial" w:hAnsi="Arial" w:cs="Arial"/>
        </w:rPr>
        <w:t>RegTech</w:t>
      </w:r>
      <w:proofErr w:type="spellEnd"/>
      <w:r w:rsidRPr="0025273C">
        <w:rPr>
          <w:rFonts w:ascii="Arial" w:hAnsi="Arial" w:cs="Arial"/>
        </w:rPr>
        <w:t>.</w:t>
      </w:r>
    </w:p>
    <w:p w:rsidR="0025273C" w:rsidRDefault="0025273C" w:rsidP="0025273C">
      <w:pPr>
        <w:jc w:val="both"/>
        <w:rPr>
          <w:rFonts w:ascii="Arial" w:hAnsi="Arial" w:cs="Arial"/>
        </w:rPr>
      </w:pPr>
      <w:r w:rsidRPr="0025273C">
        <w:rPr>
          <w:rFonts w:ascii="Arial" w:hAnsi="Arial" w:cs="Arial"/>
        </w:rPr>
        <w:t xml:space="preserve">En el cuarto trimestre de 2021, la EBA organizará un seminario web público en línea para presentar y discutir los principales hallazgos del análisis del mercado </w:t>
      </w:r>
      <w:proofErr w:type="spellStart"/>
      <w:r w:rsidRPr="0025273C">
        <w:rPr>
          <w:rFonts w:ascii="Arial" w:hAnsi="Arial" w:cs="Arial"/>
        </w:rPr>
        <w:t>RegTech</w:t>
      </w:r>
      <w:proofErr w:type="spellEnd"/>
      <w:r w:rsidRPr="0025273C">
        <w:rPr>
          <w:rFonts w:ascii="Arial" w:hAnsi="Arial" w:cs="Arial"/>
        </w:rPr>
        <w:t xml:space="preserve"> en la UE.</w:t>
      </w:r>
    </w:p>
    <w:p w:rsidR="0025273C" w:rsidRDefault="0025273C" w:rsidP="0025273C">
      <w:pPr>
        <w:jc w:val="both"/>
        <w:rPr>
          <w:rFonts w:ascii="Arial" w:hAnsi="Arial" w:cs="Arial"/>
        </w:rPr>
      </w:pPr>
    </w:p>
    <w:p w:rsidR="0025273C" w:rsidRPr="0025273C" w:rsidRDefault="0025273C" w:rsidP="0025273C">
      <w:pPr>
        <w:jc w:val="both"/>
        <w:rPr>
          <w:rFonts w:ascii="Arial" w:hAnsi="Arial" w:cs="Arial"/>
          <w:b/>
        </w:rPr>
      </w:pPr>
      <w:proofErr w:type="gramStart"/>
      <w:r w:rsidRPr="0025273C">
        <w:rPr>
          <w:rFonts w:ascii="Arial" w:hAnsi="Arial" w:cs="Arial"/>
          <w:b/>
        </w:rPr>
        <w:t>Base jurídica y antecedentes</w:t>
      </w:r>
      <w:proofErr w:type="gramEnd"/>
    </w:p>
    <w:p w:rsidR="0025273C" w:rsidRPr="0025273C" w:rsidRDefault="0025273C" w:rsidP="0025273C">
      <w:pPr>
        <w:jc w:val="both"/>
        <w:rPr>
          <w:rFonts w:ascii="Arial" w:hAnsi="Arial" w:cs="Arial"/>
        </w:rPr>
      </w:pPr>
      <w:r w:rsidRPr="0025273C">
        <w:rPr>
          <w:rFonts w:ascii="Arial" w:hAnsi="Arial" w:cs="Arial"/>
        </w:rPr>
        <w:t xml:space="preserve">El artículo 31 del Reglamento de fundación de la ABE El Reglamento (UE) </w:t>
      </w:r>
      <w:proofErr w:type="spellStart"/>
      <w:r w:rsidRPr="0025273C">
        <w:rPr>
          <w:rFonts w:ascii="Arial" w:hAnsi="Arial" w:cs="Arial"/>
        </w:rPr>
        <w:t>n.o</w:t>
      </w:r>
      <w:proofErr w:type="spellEnd"/>
      <w:r w:rsidRPr="0025273C">
        <w:rPr>
          <w:rFonts w:ascii="Arial" w:hAnsi="Arial" w:cs="Arial"/>
        </w:rPr>
        <w:t xml:space="preserve"> 1093/2010 obliga a la Autoridad a promover la convergencia de la supervisión y facilitar la entrada en el mercado de agentes o productos que se basan en la innovación tecnológica, en particular mediante el intercambio de información y mejores prácticas. El objetivo de este mandato es garantizar la neutralidad tecnológica en los enfoques de regulación y supervisión de la tecnología y contribuir al establecimiento de un enfoque europeo común hacia la innovación tecnológica. El análisis de </w:t>
      </w:r>
      <w:proofErr w:type="spellStart"/>
      <w:r w:rsidRPr="0025273C">
        <w:rPr>
          <w:rFonts w:ascii="Arial" w:hAnsi="Arial" w:cs="Arial"/>
        </w:rPr>
        <w:t>RegTech</w:t>
      </w:r>
      <w:proofErr w:type="spellEnd"/>
      <w:r w:rsidRPr="0025273C">
        <w:rPr>
          <w:rFonts w:ascii="Arial" w:hAnsi="Arial" w:cs="Arial"/>
        </w:rPr>
        <w:t xml:space="preserve"> en el sector financiero de la UE está diseñado para crear conciencia sobre </w:t>
      </w:r>
      <w:proofErr w:type="spellStart"/>
      <w:r w:rsidRPr="0025273C">
        <w:rPr>
          <w:rFonts w:ascii="Arial" w:hAnsi="Arial" w:cs="Arial"/>
        </w:rPr>
        <w:t>RegTech</w:t>
      </w:r>
      <w:proofErr w:type="spellEnd"/>
      <w:r w:rsidRPr="0025273C">
        <w:rPr>
          <w:rFonts w:ascii="Arial" w:hAnsi="Arial" w:cs="Arial"/>
        </w:rPr>
        <w:t xml:space="preserve"> dentro de la comunidad reguladora y supervisora ​​e informar cualquier discusión de política futura relevante.</w:t>
      </w:r>
    </w:p>
    <w:p w:rsidR="0025273C" w:rsidRPr="0025273C" w:rsidRDefault="0025273C" w:rsidP="0025273C">
      <w:pPr>
        <w:jc w:val="both"/>
        <w:rPr>
          <w:rFonts w:ascii="Arial" w:hAnsi="Arial" w:cs="Arial"/>
        </w:rPr>
      </w:pPr>
      <w:r w:rsidRPr="0025273C">
        <w:rPr>
          <w:rFonts w:ascii="Arial" w:hAnsi="Arial" w:cs="Arial"/>
        </w:rPr>
        <w:t xml:space="preserve">El Informe se basa en información obtenida a través de encuestas y entrevistas con instituciones financieras, proveedores de </w:t>
      </w:r>
      <w:proofErr w:type="spellStart"/>
      <w:r w:rsidRPr="0025273C">
        <w:rPr>
          <w:rFonts w:ascii="Arial" w:hAnsi="Arial" w:cs="Arial"/>
        </w:rPr>
        <w:t>RegTech</w:t>
      </w:r>
      <w:proofErr w:type="spellEnd"/>
      <w:r w:rsidRPr="0025273C">
        <w:rPr>
          <w:rFonts w:ascii="Arial" w:hAnsi="Arial" w:cs="Arial"/>
        </w:rPr>
        <w:t xml:space="preserve"> y autoridades competentes.</w:t>
      </w:r>
    </w:p>
    <w:p w:rsidR="0025273C" w:rsidRPr="0025273C" w:rsidRDefault="0025273C" w:rsidP="0025273C">
      <w:pPr>
        <w:jc w:val="both"/>
        <w:rPr>
          <w:rFonts w:ascii="Arial" w:hAnsi="Arial" w:cs="Arial"/>
        </w:rPr>
      </w:pPr>
    </w:p>
    <w:p w:rsidR="0025273C" w:rsidRPr="0025273C" w:rsidRDefault="0025273C" w:rsidP="0025273C">
      <w:pPr>
        <w:jc w:val="both"/>
        <w:rPr>
          <w:rFonts w:ascii="Arial" w:hAnsi="Arial" w:cs="Arial"/>
        </w:rPr>
      </w:pPr>
    </w:p>
    <w:p w:rsidR="0025273C" w:rsidRPr="0025273C" w:rsidRDefault="0025273C" w:rsidP="0025273C">
      <w:pPr>
        <w:jc w:val="both"/>
        <w:rPr>
          <w:rFonts w:ascii="Arial" w:hAnsi="Arial" w:cs="Arial"/>
        </w:rPr>
      </w:pPr>
    </w:p>
    <w:p w:rsidR="00ED7650" w:rsidRPr="0025273C" w:rsidRDefault="0025273C" w:rsidP="0025273C">
      <w:pPr>
        <w:jc w:val="both"/>
        <w:rPr>
          <w:rFonts w:ascii="Arial" w:hAnsi="Arial" w:cs="Arial"/>
        </w:rPr>
      </w:pPr>
    </w:p>
    <w:sectPr w:rsidR="00ED7650" w:rsidRPr="002527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E73B4"/>
    <w:multiLevelType w:val="multilevel"/>
    <w:tmpl w:val="07B4E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73C"/>
    <w:rsid w:val="000F4B68"/>
    <w:rsid w:val="001739B4"/>
    <w:rsid w:val="0025273C"/>
    <w:rsid w:val="003B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C9FC7B-9C95-4F5C-8A30-FF1007FF8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27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6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5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ba.europa.eu/sites/default/documents/files/document_library/Publications/Reports/2021/1013948/Study%20of%20the%20cost%20of%20compliance%20with%20supervisory%20reporting%20requirement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823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Raúl</dc:creator>
  <cp:keywords/>
  <dc:description/>
  <cp:lastModifiedBy>Raúl</cp:lastModifiedBy>
  <cp:revision>1</cp:revision>
  <dcterms:created xsi:type="dcterms:W3CDTF">2021-10-06T17:57:00Z</dcterms:created>
  <dcterms:modified xsi:type="dcterms:W3CDTF">2021-10-06T18:01:00Z</dcterms:modified>
</cp:coreProperties>
</file>