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7" w:rsidRPr="00CD24D7" w:rsidRDefault="00CD24D7" w:rsidP="00CD24D7">
      <w:pPr>
        <w:jc w:val="both"/>
        <w:rPr>
          <w:rFonts w:ascii="Arial" w:hAnsi="Arial" w:cs="Arial"/>
          <w:b/>
          <w:bCs/>
        </w:rPr>
      </w:pPr>
      <w:r w:rsidRPr="00CD24D7">
        <w:rPr>
          <w:rFonts w:ascii="Arial" w:hAnsi="Arial" w:cs="Arial"/>
          <w:b/>
          <w:bCs/>
        </w:rPr>
        <w:t>La modernización de la tecnología de la SEC se está acelerando. ¿Está listo?</w:t>
      </w:r>
    </w:p>
    <w:p w:rsidR="00CD24D7" w:rsidRDefault="00CD24D7" w:rsidP="00CD24D7">
      <w:pPr>
        <w:jc w:val="both"/>
        <w:rPr>
          <w:rFonts w:ascii="Arial" w:hAnsi="Arial" w:cs="Arial"/>
        </w:rPr>
      </w:pPr>
    </w:p>
    <w:p w:rsidR="00CD24D7" w:rsidRPr="00CD24D7" w:rsidRDefault="00CD24D7" w:rsidP="00CD24D7">
      <w:pPr>
        <w:jc w:val="both"/>
        <w:rPr>
          <w:rFonts w:ascii="Arial" w:hAnsi="Arial" w:cs="Arial"/>
          <w:b/>
          <w:bCs/>
        </w:rPr>
      </w:pPr>
      <w:r>
        <w:rPr>
          <w:rFonts w:ascii="Arial" w:hAnsi="Arial" w:cs="Arial"/>
        </w:rPr>
        <w:t xml:space="preserve">Por </w:t>
      </w:r>
      <w:hyperlink r:id="rId5" w:history="1">
        <w:proofErr w:type="spellStart"/>
        <w:r w:rsidRPr="00CD24D7">
          <w:rPr>
            <w:rStyle w:val="Hipervnculo"/>
            <w:rFonts w:ascii="Arial" w:hAnsi="Arial" w:cs="Arial"/>
            <w:b/>
            <w:bCs/>
          </w:rPr>
          <w:t>Jim</w:t>
        </w:r>
        <w:proofErr w:type="spellEnd"/>
        <w:r w:rsidRPr="00CD24D7">
          <w:rPr>
            <w:rStyle w:val="Hipervnculo"/>
            <w:rFonts w:ascii="Arial" w:hAnsi="Arial" w:cs="Arial"/>
            <w:b/>
            <w:bCs/>
          </w:rPr>
          <w:t xml:space="preserve"> </w:t>
        </w:r>
        <w:proofErr w:type="spellStart"/>
        <w:r w:rsidRPr="00CD24D7">
          <w:rPr>
            <w:rStyle w:val="Hipervnculo"/>
            <w:rFonts w:ascii="Arial" w:hAnsi="Arial" w:cs="Arial"/>
            <w:b/>
            <w:bCs/>
          </w:rPr>
          <w:t>DeLoach</w:t>
        </w:r>
        <w:proofErr w:type="spellEnd"/>
      </w:hyperlink>
    </w:p>
    <w:p w:rsidR="00ED7650" w:rsidRDefault="00CD24D7" w:rsidP="00CD24D7">
      <w:pPr>
        <w:jc w:val="both"/>
        <w:rPr>
          <w:rFonts w:ascii="Arial" w:hAnsi="Arial" w:cs="Arial"/>
        </w:rPr>
      </w:pPr>
      <w:r w:rsidRPr="00CD24D7">
        <w:rPr>
          <w:rFonts w:ascii="Arial" w:hAnsi="Arial" w:cs="Arial"/>
        </w:rPr>
        <w:t>15 de abril de 2021,</w:t>
      </w:r>
      <w:bookmarkStart w:id="0" w:name="_GoBack"/>
      <w:bookmarkEnd w:id="0"/>
    </w:p>
    <w:p w:rsidR="00CD24D7" w:rsidRDefault="00CD24D7" w:rsidP="00CD24D7">
      <w:pPr>
        <w:jc w:val="both"/>
        <w:rPr>
          <w:rFonts w:ascii="Arial" w:hAnsi="Arial" w:cs="Arial"/>
        </w:rPr>
      </w:pPr>
    </w:p>
    <w:p w:rsidR="00CD24D7" w:rsidRDefault="00CD24D7" w:rsidP="00CD24D7">
      <w:pPr>
        <w:jc w:val="both"/>
        <w:rPr>
          <w:rFonts w:ascii="Arial" w:hAnsi="Arial" w:cs="Arial"/>
        </w:rPr>
      </w:pPr>
      <w:r w:rsidRPr="00CD24D7">
        <w:rPr>
          <w:rFonts w:ascii="Arial" w:hAnsi="Arial" w:cs="Arial"/>
        </w:rPr>
        <w:t xml:space="preserve">La Comisión de Bolsa y Valores de EE. UU. (SEC) se está poniendo al día en el frente de la tecnología avanzada. Para los directores financieros de empresas de informes públicos, así como para aquellos con organizaciones </w:t>
      </w:r>
      <w:proofErr w:type="spellStart"/>
      <w:r w:rsidRPr="00CD24D7">
        <w:rPr>
          <w:rFonts w:ascii="Arial" w:hAnsi="Arial" w:cs="Arial"/>
        </w:rPr>
        <w:t>prepúblicas</w:t>
      </w:r>
      <w:proofErr w:type="spellEnd"/>
      <w:r w:rsidRPr="00CD24D7">
        <w:rPr>
          <w:rFonts w:ascii="Arial" w:hAnsi="Arial" w:cs="Arial"/>
        </w:rPr>
        <w:t xml:space="preserve"> y empresas con vínculos estrechos con empresas públicas, estos desarrollos merecen un seguimiento.</w:t>
      </w:r>
    </w:p>
    <w:p w:rsidR="00CD24D7" w:rsidRPr="00CD24D7" w:rsidRDefault="00CD24D7" w:rsidP="00CD24D7">
      <w:pPr>
        <w:jc w:val="both"/>
        <w:rPr>
          <w:rFonts w:ascii="Arial" w:hAnsi="Arial" w:cs="Arial"/>
        </w:rPr>
      </w:pPr>
      <w:r w:rsidRPr="00CD24D7">
        <w:rPr>
          <w:rFonts w:ascii="Arial" w:hAnsi="Arial" w:cs="Arial"/>
        </w:rPr>
        <w:t>Reflexivamente, los CFO experimentados pueden afirmar que la SEC </w:t>
      </w:r>
      <w:r w:rsidRPr="00CD24D7">
        <w:rPr>
          <w:rFonts w:ascii="Arial" w:hAnsi="Arial" w:cs="Arial"/>
          <w:i/>
          <w:iCs/>
        </w:rPr>
        <w:t>siempre</w:t>
      </w:r>
      <w:r w:rsidRPr="00CD24D7">
        <w:rPr>
          <w:rFonts w:ascii="Arial" w:hAnsi="Arial" w:cs="Arial"/>
        </w:rPr>
        <w:t xml:space="preserve"> está poniéndose al día en lo que respecta a las actividades de formulación y aplicación de reglas relacionadas con la tecnología. Es un punto válido, ya que la mayoría de la gente no consideraría a una agencia gubernamental como un modelo probable para la vanguardia. Pero para ser justos, la SEC ha logrado un progreso significativo en el ajuste de las reglas y la aplicación en respuesta a las interrupciones tecnológicas durante las últimas dos décadas. Por ejemplo, la regla de 2009 de la comisión que requiere el uso de </w:t>
      </w:r>
      <w:proofErr w:type="spellStart"/>
      <w:r w:rsidRPr="00CD24D7">
        <w:rPr>
          <w:rFonts w:ascii="Arial" w:hAnsi="Arial" w:cs="Arial"/>
        </w:rPr>
        <w:t>eXtensible</w:t>
      </w:r>
      <w:proofErr w:type="spellEnd"/>
      <w:r w:rsidRPr="00CD24D7">
        <w:rPr>
          <w:rFonts w:ascii="Arial" w:hAnsi="Arial" w:cs="Arial"/>
        </w:rPr>
        <w:t xml:space="preserve"> Business </w:t>
      </w:r>
      <w:proofErr w:type="spellStart"/>
      <w:r w:rsidRPr="00CD24D7">
        <w:rPr>
          <w:rFonts w:ascii="Arial" w:hAnsi="Arial" w:cs="Arial"/>
        </w:rPr>
        <w:t>Reporting</w:t>
      </w:r>
      <w:proofErr w:type="spellEnd"/>
      <w:r w:rsidRPr="00CD24D7">
        <w:rPr>
          <w:rFonts w:ascii="Arial" w:hAnsi="Arial" w:cs="Arial"/>
        </w:rPr>
        <w:t xml:space="preserve"> </w:t>
      </w:r>
      <w:proofErr w:type="spellStart"/>
      <w:r w:rsidRPr="00CD24D7">
        <w:rPr>
          <w:rFonts w:ascii="Arial" w:hAnsi="Arial" w:cs="Arial"/>
        </w:rPr>
        <w:t>Language</w:t>
      </w:r>
      <w:proofErr w:type="spellEnd"/>
      <w:r w:rsidRPr="00CD24D7">
        <w:rPr>
          <w:rFonts w:ascii="Arial" w:hAnsi="Arial" w:cs="Arial"/>
        </w:rPr>
        <w:t xml:space="preserve"> (XBRL) y su actualización de 2018 de esa regla (que pide el uso del formato </w:t>
      </w:r>
      <w:proofErr w:type="spellStart"/>
      <w:r w:rsidRPr="00CD24D7">
        <w:rPr>
          <w:rFonts w:ascii="Arial" w:hAnsi="Arial" w:cs="Arial"/>
        </w:rPr>
        <w:t>Inline</w:t>
      </w:r>
      <w:proofErr w:type="spellEnd"/>
      <w:r w:rsidRPr="00CD24D7">
        <w:rPr>
          <w:rFonts w:ascii="Arial" w:hAnsi="Arial" w:cs="Arial"/>
        </w:rPr>
        <w:t xml:space="preserve"> XBRL que hace que el documento de divulgación sea legible por humanos y máquinas) representan avances loables. </w:t>
      </w:r>
      <w:proofErr w:type="gramStart"/>
      <w:r w:rsidRPr="00CD24D7">
        <w:rPr>
          <w:rFonts w:ascii="Arial" w:hAnsi="Arial" w:cs="Arial"/>
        </w:rPr>
        <w:t>en</w:t>
      </w:r>
      <w:proofErr w:type="gramEnd"/>
      <w:r w:rsidRPr="00CD24D7">
        <w:rPr>
          <w:rFonts w:ascii="Arial" w:hAnsi="Arial" w:cs="Arial"/>
        </w:rPr>
        <w:t xml:space="preserve"> la mejora de las capacidades de búsqueda y análisis.</w:t>
      </w:r>
    </w:p>
    <w:p w:rsidR="00CD24D7" w:rsidRPr="00CD24D7" w:rsidRDefault="00CD24D7" w:rsidP="00CD24D7">
      <w:pPr>
        <w:jc w:val="both"/>
        <w:rPr>
          <w:rFonts w:ascii="Arial" w:hAnsi="Arial" w:cs="Arial"/>
        </w:rPr>
      </w:pPr>
      <w:r w:rsidRPr="00CD24D7">
        <w:rPr>
          <w:rFonts w:ascii="Arial" w:hAnsi="Arial" w:cs="Arial"/>
        </w:rPr>
        <w:t>Por supuesto, se necesita una mayor modernización de la SEC, dado el ritmo tórrido de la evolución y adopción de la tecnología, así como la transformación digital más amplia y los desarrollos de innovación en los últimos años. Lo que es importante para los directores financieros es lo siguiente: en base a los comentarios hechos en conferencias recientes de la SEC, los puntos hechos por ex comisionados en forma impresa y la forma en que las fuerzas tecnológicas están afectando el mercado, parece cada vez más probable que más reglas de la SEC y actividad de aplicación aborden y apalanquen, tecnología avanzada.</w:t>
      </w:r>
    </w:p>
    <w:p w:rsidR="00CD24D7" w:rsidRDefault="00CD24D7" w:rsidP="00CD24D7">
      <w:pPr>
        <w:jc w:val="both"/>
        <w:rPr>
          <w:rFonts w:ascii="Arial" w:hAnsi="Arial" w:cs="Arial"/>
        </w:rPr>
      </w:pPr>
      <w:r w:rsidRPr="00CD24D7">
        <w:rPr>
          <w:rFonts w:ascii="Arial" w:hAnsi="Arial" w:cs="Arial"/>
        </w:rPr>
        <w:t xml:space="preserve"> “Los avances tecnológicos ya han requerido algunas actualizaciones regulatorias. Además, las nuevas tecnologías en el horizonte y la rapidez con que estarán aquí hacen que sea más importante que nunca para la SEC y otros reguladores financieros anticipar cómo la investigación y el desarrollo florecientes podrían implementarse en los mercados financieros en el futuro ”, </w:t>
      </w:r>
      <w:proofErr w:type="spellStart"/>
      <w:r w:rsidRPr="00CD24D7">
        <w:rPr>
          <w:rFonts w:ascii="Arial" w:hAnsi="Arial" w:cs="Arial"/>
        </w:rPr>
        <w:t>excomisionado</w:t>
      </w:r>
      <w:proofErr w:type="spellEnd"/>
      <w:r w:rsidRPr="00CD24D7">
        <w:rPr>
          <w:rFonts w:ascii="Arial" w:hAnsi="Arial" w:cs="Arial"/>
        </w:rPr>
        <w:t xml:space="preserve"> de la SEC Troy A Paredes escribe en un </w:t>
      </w:r>
      <w:hyperlink r:id="rId6" w:tgtFrame="_blank" w:tooltip="https://www.theregreview.org/2020/10/06/paredes-innovation-securities-regulation/" w:history="1">
        <w:r w:rsidRPr="00CD24D7">
          <w:rPr>
            <w:rStyle w:val="Hipervnculo"/>
            <w:rFonts w:ascii="Arial" w:hAnsi="Arial" w:cs="Arial"/>
          </w:rPr>
          <w:t>artículo</w:t>
        </w:r>
      </w:hyperlink>
      <w:r w:rsidRPr="00CD24D7">
        <w:rPr>
          <w:rFonts w:ascii="Arial" w:hAnsi="Arial" w:cs="Arial"/>
        </w:rPr>
        <w:t> publicado en </w:t>
      </w:r>
      <w:proofErr w:type="spellStart"/>
      <w:r w:rsidRPr="00CD24D7">
        <w:rPr>
          <w:rFonts w:ascii="Arial" w:hAnsi="Arial" w:cs="Arial"/>
          <w:i/>
          <w:iCs/>
        </w:rPr>
        <w:t>The</w:t>
      </w:r>
      <w:proofErr w:type="spellEnd"/>
      <w:r w:rsidRPr="00CD24D7">
        <w:rPr>
          <w:rFonts w:ascii="Arial" w:hAnsi="Arial" w:cs="Arial"/>
          <w:i/>
          <w:iCs/>
        </w:rPr>
        <w:t xml:space="preserve"> </w:t>
      </w:r>
      <w:proofErr w:type="spellStart"/>
      <w:r w:rsidRPr="00CD24D7">
        <w:rPr>
          <w:rFonts w:ascii="Arial" w:hAnsi="Arial" w:cs="Arial"/>
          <w:i/>
          <w:iCs/>
        </w:rPr>
        <w:t>Regulatory</w:t>
      </w:r>
      <w:proofErr w:type="spellEnd"/>
      <w:r w:rsidRPr="00CD24D7">
        <w:rPr>
          <w:rFonts w:ascii="Arial" w:hAnsi="Arial" w:cs="Arial"/>
          <w:i/>
          <w:iCs/>
        </w:rPr>
        <w:t xml:space="preserve"> </w:t>
      </w:r>
      <w:proofErr w:type="spellStart"/>
      <w:r w:rsidRPr="00CD24D7">
        <w:rPr>
          <w:rFonts w:ascii="Arial" w:hAnsi="Arial" w:cs="Arial"/>
          <w:i/>
          <w:iCs/>
        </w:rPr>
        <w:t>Review</w:t>
      </w:r>
      <w:proofErr w:type="spellEnd"/>
      <w:r w:rsidRPr="00CD24D7">
        <w:rPr>
          <w:rFonts w:ascii="Arial" w:hAnsi="Arial" w:cs="Arial"/>
        </w:rPr>
        <w:t> . "Una perspectiva prospectiva permite a los reguladores una ventaja en la modernización de los requisitos regulatorios para garantizar que sean viables cuando lleguen nuevos usos de la innovación".</w:t>
      </w:r>
    </w:p>
    <w:p w:rsidR="00CD24D7" w:rsidRDefault="00CD24D7" w:rsidP="00CD24D7">
      <w:pPr>
        <w:jc w:val="both"/>
        <w:rPr>
          <w:rFonts w:ascii="Arial" w:hAnsi="Arial" w:cs="Arial"/>
        </w:rPr>
      </w:pPr>
      <w:r w:rsidRPr="00CD24D7">
        <w:rPr>
          <w:rFonts w:ascii="Arial" w:hAnsi="Arial" w:cs="Arial"/>
        </w:rPr>
        <w:t xml:space="preserve">Paredes también enfatiza que la SEC está integrando tecnología emergente en sus actividades de supervisión. De hecho, la naturaleza y el ritmo de esa integración pueden cambiar bajo la administración de </w:t>
      </w:r>
      <w:proofErr w:type="spellStart"/>
      <w:r w:rsidRPr="00CD24D7">
        <w:rPr>
          <w:rFonts w:ascii="Arial" w:hAnsi="Arial" w:cs="Arial"/>
        </w:rPr>
        <w:t>Biden</w:t>
      </w:r>
      <w:proofErr w:type="spellEnd"/>
      <w:r w:rsidRPr="00CD24D7">
        <w:rPr>
          <w:rFonts w:ascii="Arial" w:hAnsi="Arial" w:cs="Arial"/>
        </w:rPr>
        <w:t xml:space="preserve"> y con un nuevo presidente de la SEC recientemente confirmado que se espera que sea un activista.</w:t>
      </w:r>
    </w:p>
    <w:p w:rsidR="00CD24D7" w:rsidRDefault="00CD24D7" w:rsidP="00CD24D7">
      <w:pPr>
        <w:jc w:val="both"/>
        <w:rPr>
          <w:rFonts w:ascii="Arial" w:hAnsi="Arial" w:cs="Arial"/>
        </w:rPr>
      </w:pPr>
    </w:p>
    <w:p w:rsidR="00CD24D7" w:rsidRPr="00CD24D7" w:rsidRDefault="00CD24D7" w:rsidP="00CD24D7">
      <w:pPr>
        <w:jc w:val="both"/>
        <w:rPr>
          <w:rFonts w:ascii="Arial" w:hAnsi="Arial" w:cs="Arial"/>
        </w:rPr>
      </w:pPr>
    </w:p>
    <w:p w:rsidR="00CD24D7" w:rsidRPr="00CD24D7" w:rsidRDefault="00CD24D7" w:rsidP="00CD24D7">
      <w:pPr>
        <w:jc w:val="both"/>
        <w:rPr>
          <w:rFonts w:ascii="Arial" w:hAnsi="Arial" w:cs="Arial"/>
        </w:rPr>
      </w:pPr>
      <w:r w:rsidRPr="00CD24D7">
        <w:rPr>
          <w:rFonts w:ascii="Arial" w:hAnsi="Arial" w:cs="Arial"/>
        </w:rPr>
        <w:lastRenderedPageBreak/>
        <w:t>Aunque las discusiones sobre posibles nuevas reglas se han centrado hasta ahora en la posibilidad de divulgaciones de ESG obligatorias (siguiendo las divulgaciones de capital humano requeridas recientemente), eso no debería distraer a los CFO y sus equipos de cumplimiento normativo de monitorear los desarrollos que surgen del Centro Estratégico de Innovación de la SEC y Tecnología Financiera ( </w:t>
      </w:r>
      <w:proofErr w:type="spellStart"/>
      <w:r w:rsidRPr="00CD24D7">
        <w:rPr>
          <w:rFonts w:ascii="Arial" w:hAnsi="Arial" w:cs="Arial"/>
        </w:rPr>
        <w:fldChar w:fldCharType="begin"/>
      </w:r>
      <w:r w:rsidRPr="00CD24D7">
        <w:rPr>
          <w:rFonts w:ascii="Arial" w:hAnsi="Arial" w:cs="Arial"/>
        </w:rPr>
        <w:instrText xml:space="preserve"> HYPERLINK "https://www.sec.gov/finhub" \o "https://www.sec.gov/finhub" \t "_blank" </w:instrText>
      </w:r>
      <w:r w:rsidRPr="00CD24D7">
        <w:rPr>
          <w:rFonts w:ascii="Arial" w:hAnsi="Arial" w:cs="Arial"/>
        </w:rPr>
        <w:fldChar w:fldCharType="separate"/>
      </w:r>
      <w:r w:rsidRPr="00CD24D7">
        <w:rPr>
          <w:rStyle w:val="Hipervnculo"/>
          <w:rFonts w:ascii="Arial" w:hAnsi="Arial" w:cs="Arial"/>
        </w:rPr>
        <w:t>FinHub</w:t>
      </w:r>
      <w:proofErr w:type="spellEnd"/>
      <w:r w:rsidRPr="00CD24D7">
        <w:rPr>
          <w:rFonts w:ascii="Arial" w:hAnsi="Arial" w:cs="Arial"/>
        </w:rPr>
        <w:fldChar w:fldCharType="end"/>
      </w:r>
      <w:r w:rsidRPr="00CD24D7">
        <w:rPr>
          <w:rFonts w:ascii="Arial" w:hAnsi="Arial" w:cs="Arial"/>
        </w:rPr>
        <w:t> ), junto con otros puntos focales “</w:t>
      </w:r>
      <w:proofErr w:type="spellStart"/>
      <w:r w:rsidRPr="00CD24D7">
        <w:rPr>
          <w:rFonts w:ascii="Arial" w:hAnsi="Arial" w:cs="Arial"/>
        </w:rPr>
        <w:t>regtech</w:t>
      </w:r>
      <w:proofErr w:type="spellEnd"/>
      <w:r w:rsidRPr="00CD24D7">
        <w:rPr>
          <w:rFonts w:ascii="Arial" w:hAnsi="Arial" w:cs="Arial"/>
        </w:rPr>
        <w:t xml:space="preserve">”. Esos desarrollos afectan a las empresas que ocupan importantes propiedades inmobiliarias en el espacio tecnológico / </w:t>
      </w:r>
      <w:proofErr w:type="spellStart"/>
      <w:r w:rsidRPr="00CD24D7">
        <w:rPr>
          <w:rFonts w:ascii="Arial" w:hAnsi="Arial" w:cs="Arial"/>
        </w:rPr>
        <w:t>fintech</w:t>
      </w:r>
      <w:proofErr w:type="spellEnd"/>
      <w:r w:rsidRPr="00CD24D7">
        <w:rPr>
          <w:rFonts w:ascii="Arial" w:hAnsi="Arial" w:cs="Arial"/>
        </w:rPr>
        <w:t>, así como la forma en que la comisión utilizará la tecnología para monitorear a todas las empresas, independientemente de la industria.</w:t>
      </w:r>
    </w:p>
    <w:p w:rsidR="00CD24D7" w:rsidRPr="00CD24D7" w:rsidRDefault="00CD24D7" w:rsidP="00CD24D7">
      <w:pPr>
        <w:jc w:val="both"/>
        <w:rPr>
          <w:rFonts w:ascii="Arial" w:hAnsi="Arial" w:cs="Arial"/>
        </w:rPr>
      </w:pPr>
      <w:r w:rsidRPr="00CD24D7">
        <w:rPr>
          <w:rFonts w:ascii="Arial" w:hAnsi="Arial" w:cs="Arial"/>
        </w:rPr>
        <w:t>Aquí hay algunas áreas a considerar:  </w:t>
      </w:r>
    </w:p>
    <w:p w:rsidR="00CD24D7" w:rsidRPr="00CD24D7" w:rsidRDefault="00CD24D7" w:rsidP="00CD24D7">
      <w:pPr>
        <w:numPr>
          <w:ilvl w:val="0"/>
          <w:numId w:val="1"/>
        </w:numPr>
        <w:jc w:val="both"/>
        <w:rPr>
          <w:rFonts w:ascii="Arial" w:hAnsi="Arial" w:cs="Arial"/>
        </w:rPr>
      </w:pPr>
      <w:r w:rsidRPr="00CD24D7">
        <w:rPr>
          <w:rFonts w:ascii="Arial" w:hAnsi="Arial" w:cs="Arial"/>
          <w:b/>
          <w:bCs/>
        </w:rPr>
        <w:t xml:space="preserve">Supervise los informes y desarrollos de </w:t>
      </w:r>
      <w:proofErr w:type="spellStart"/>
      <w:r w:rsidRPr="00CD24D7">
        <w:rPr>
          <w:rFonts w:ascii="Arial" w:hAnsi="Arial" w:cs="Arial"/>
          <w:b/>
          <w:bCs/>
        </w:rPr>
        <w:t>FinHub</w:t>
      </w:r>
      <w:proofErr w:type="spellEnd"/>
      <w:r w:rsidRPr="00CD24D7">
        <w:rPr>
          <w:rFonts w:ascii="Arial" w:hAnsi="Arial" w:cs="Arial"/>
          <w:b/>
          <w:bCs/>
        </w:rPr>
        <w:t>: </w:t>
      </w:r>
      <w:r w:rsidRPr="00CD24D7">
        <w:rPr>
          <w:rFonts w:ascii="Arial" w:hAnsi="Arial" w:cs="Arial"/>
        </w:rPr>
        <w:t xml:space="preserve">Establecido hace tres años, la misión de </w:t>
      </w:r>
      <w:proofErr w:type="spellStart"/>
      <w:r w:rsidRPr="00CD24D7">
        <w:rPr>
          <w:rFonts w:ascii="Arial" w:hAnsi="Arial" w:cs="Arial"/>
        </w:rPr>
        <w:t>FinHub</w:t>
      </w:r>
      <w:proofErr w:type="spellEnd"/>
      <w:r w:rsidRPr="00CD24D7">
        <w:rPr>
          <w:rFonts w:ascii="Arial" w:hAnsi="Arial" w:cs="Arial"/>
        </w:rPr>
        <w:t xml:space="preserve">, según la SEC, es “fomentar la innovación responsable en el sector financiero, incluso en áreas en evolución como la tecnología de contabilidad distribuida y los activos digitales, el asesoramiento de inversión automatizado, la financiación del mercado digital y la inteligencia artificial y aprendizaje automático." La líder actual del grupo, </w:t>
      </w:r>
      <w:proofErr w:type="spellStart"/>
      <w:r w:rsidRPr="00CD24D7">
        <w:rPr>
          <w:rFonts w:ascii="Arial" w:hAnsi="Arial" w:cs="Arial"/>
        </w:rPr>
        <w:t>Valerie</w:t>
      </w:r>
      <w:proofErr w:type="spellEnd"/>
      <w:r w:rsidRPr="00CD24D7">
        <w:rPr>
          <w:rFonts w:ascii="Arial" w:hAnsi="Arial" w:cs="Arial"/>
        </w:rPr>
        <w:t xml:space="preserve"> </w:t>
      </w:r>
      <w:proofErr w:type="spellStart"/>
      <w:r w:rsidRPr="00CD24D7">
        <w:rPr>
          <w:rFonts w:ascii="Arial" w:hAnsi="Arial" w:cs="Arial"/>
        </w:rPr>
        <w:t>Szczepanik</w:t>
      </w:r>
      <w:proofErr w:type="spellEnd"/>
      <w:r w:rsidRPr="00CD24D7">
        <w:rPr>
          <w:rFonts w:ascii="Arial" w:hAnsi="Arial" w:cs="Arial"/>
        </w:rPr>
        <w:t xml:space="preserve">, ha orquestado el trabajo de la comisión con tecnologías e innovaciones de activos digitales, incluidas las ofertas iniciales de monedas (ICO) y las </w:t>
      </w:r>
      <w:proofErr w:type="spellStart"/>
      <w:r w:rsidRPr="00CD24D7">
        <w:rPr>
          <w:rFonts w:ascii="Arial" w:hAnsi="Arial" w:cs="Arial"/>
        </w:rPr>
        <w:t>criptomonedas</w:t>
      </w:r>
      <w:proofErr w:type="spellEnd"/>
      <w:r w:rsidRPr="00CD24D7">
        <w:rPr>
          <w:rFonts w:ascii="Arial" w:hAnsi="Arial" w:cs="Arial"/>
        </w:rPr>
        <w:t xml:space="preserve">. En diciembre, la SEC anunció que </w:t>
      </w:r>
      <w:proofErr w:type="spellStart"/>
      <w:r w:rsidRPr="00CD24D7">
        <w:rPr>
          <w:rFonts w:ascii="Arial" w:hAnsi="Arial" w:cs="Arial"/>
        </w:rPr>
        <w:t>FinHub</w:t>
      </w:r>
      <w:proofErr w:type="spellEnd"/>
      <w:r w:rsidRPr="00CD24D7">
        <w:rPr>
          <w:rFonts w:ascii="Arial" w:hAnsi="Arial" w:cs="Arial"/>
        </w:rPr>
        <w:t xml:space="preserve"> comenzaría a operar como una oficina independiente con </w:t>
      </w:r>
      <w:proofErr w:type="spellStart"/>
      <w:r w:rsidRPr="00CD24D7">
        <w:rPr>
          <w:rFonts w:ascii="Arial" w:hAnsi="Arial" w:cs="Arial"/>
        </w:rPr>
        <w:t>Szczepanik</w:t>
      </w:r>
      <w:proofErr w:type="spellEnd"/>
      <w:r w:rsidRPr="00CD24D7">
        <w:rPr>
          <w:rFonts w:ascii="Arial" w:hAnsi="Arial" w:cs="Arial"/>
        </w:rPr>
        <w:t xml:space="preserve"> reportando directamente al presidente de la SEC. Si bien ese cambio estructural ocurrió bajo la administración </w:t>
      </w:r>
      <w:proofErr w:type="spellStart"/>
      <w:r w:rsidRPr="00CD24D7">
        <w:rPr>
          <w:rFonts w:ascii="Arial" w:hAnsi="Arial" w:cs="Arial"/>
        </w:rPr>
        <w:t>anterior,</w:t>
      </w:r>
      <w:hyperlink r:id="rId7" w:tgtFrame="_blank" w:tooltip="https://cryptoforinnovation.org/" w:history="1">
        <w:r w:rsidRPr="00CD24D7">
          <w:rPr>
            <w:rStyle w:val="Hipervnculo"/>
            <w:rFonts w:ascii="Arial" w:hAnsi="Arial" w:cs="Arial"/>
          </w:rPr>
          <w:t>Crypto</w:t>
        </w:r>
        <w:proofErr w:type="spellEnd"/>
        <w:r w:rsidRPr="00CD24D7">
          <w:rPr>
            <w:rStyle w:val="Hipervnculo"/>
            <w:rFonts w:ascii="Arial" w:hAnsi="Arial" w:cs="Arial"/>
          </w:rPr>
          <w:t xml:space="preserve"> Council </w:t>
        </w:r>
        <w:proofErr w:type="spellStart"/>
        <w:r w:rsidRPr="00CD24D7">
          <w:rPr>
            <w:rStyle w:val="Hipervnculo"/>
            <w:rFonts w:ascii="Arial" w:hAnsi="Arial" w:cs="Arial"/>
          </w:rPr>
          <w:t>for</w:t>
        </w:r>
        <w:proofErr w:type="spellEnd"/>
        <w:r w:rsidRPr="00CD24D7">
          <w:rPr>
            <w:rStyle w:val="Hipervnculo"/>
            <w:rFonts w:ascii="Arial" w:hAnsi="Arial" w:cs="Arial"/>
          </w:rPr>
          <w:t xml:space="preserve"> </w:t>
        </w:r>
        <w:proofErr w:type="spellStart"/>
        <w:r w:rsidRPr="00CD24D7">
          <w:rPr>
            <w:rStyle w:val="Hipervnculo"/>
            <w:rFonts w:ascii="Arial" w:hAnsi="Arial" w:cs="Arial"/>
          </w:rPr>
          <w:t>Innovation</w:t>
        </w:r>
        <w:proofErr w:type="spellEnd"/>
      </w:hyperlink>
      <w:r w:rsidRPr="00CD24D7">
        <w:rPr>
          <w:rFonts w:ascii="Arial" w:hAnsi="Arial" w:cs="Arial"/>
        </w:rPr>
        <w:t> , un grupo comercial de servicios financieros dedicado a dar forma a la formulación de políticas sobre monedas digitales.</w:t>
      </w:r>
    </w:p>
    <w:p w:rsidR="00CD24D7" w:rsidRPr="00CD24D7" w:rsidRDefault="00CD24D7" w:rsidP="00CD24D7">
      <w:pPr>
        <w:numPr>
          <w:ilvl w:val="0"/>
          <w:numId w:val="1"/>
        </w:numPr>
        <w:jc w:val="both"/>
        <w:rPr>
          <w:rFonts w:ascii="Arial" w:hAnsi="Arial" w:cs="Arial"/>
        </w:rPr>
      </w:pPr>
      <w:r w:rsidRPr="00CD24D7">
        <w:rPr>
          <w:rFonts w:ascii="Arial" w:hAnsi="Arial" w:cs="Arial"/>
          <w:b/>
          <w:bCs/>
        </w:rPr>
        <w:t>Recuerde, la SEC opera más como un carguero que como una lancha rápida:</w:t>
      </w:r>
      <w:r w:rsidRPr="00CD24D7">
        <w:rPr>
          <w:rFonts w:ascii="Arial" w:hAnsi="Arial" w:cs="Arial"/>
        </w:rPr>
        <w:t> la SEC es un organismo deliberativo. Es probable que las nuevas divulgaciones de ESG que se están discutiendo actualmente no se conviertan en un requisito hasta más de un año a partir de ahora, como muy pronto. “Deliberativo” también significa que la actividad de creación de reglas de la SEC nunca termina. Su transformación digital seguirá siendo un trabajo en progreso a medida que se agreguen progresivamente nuevas reglas y enfoques de aplicación a su caja de herramientas.</w:t>
      </w:r>
    </w:p>
    <w:p w:rsidR="00CD24D7" w:rsidRPr="00CD24D7" w:rsidRDefault="00CD24D7" w:rsidP="00CD24D7">
      <w:pPr>
        <w:numPr>
          <w:ilvl w:val="0"/>
          <w:numId w:val="1"/>
        </w:numPr>
        <w:jc w:val="both"/>
        <w:rPr>
          <w:rFonts w:ascii="Arial" w:hAnsi="Arial" w:cs="Arial"/>
        </w:rPr>
      </w:pPr>
      <w:r w:rsidRPr="00CD24D7">
        <w:rPr>
          <w:rFonts w:ascii="Arial" w:hAnsi="Arial" w:cs="Arial"/>
          <w:b/>
          <w:bCs/>
        </w:rPr>
        <w:t>Rastree qué tecnologías están afectando el mercado:</w:t>
      </w:r>
      <w:r w:rsidRPr="00CD24D7">
        <w:rPr>
          <w:rFonts w:ascii="Arial" w:hAnsi="Arial" w:cs="Arial"/>
        </w:rPr>
        <w:t xml:space="preserve"> en su artículo que anima a la SEC a reforzar sus habilidades tecnológicas, Paredes verifica las tecnologías, que incluyen inteligencia artificial, aprendizaje automático, </w:t>
      </w:r>
      <w:proofErr w:type="spellStart"/>
      <w:r w:rsidRPr="00CD24D7">
        <w:rPr>
          <w:rFonts w:ascii="Arial" w:hAnsi="Arial" w:cs="Arial"/>
        </w:rPr>
        <w:t>blockchain</w:t>
      </w:r>
      <w:proofErr w:type="spellEnd"/>
      <w:r w:rsidRPr="00CD24D7">
        <w:rPr>
          <w:rFonts w:ascii="Arial" w:hAnsi="Arial" w:cs="Arial"/>
        </w:rPr>
        <w:t>, computación cuántica, Internet de las cosas (</w:t>
      </w:r>
      <w:proofErr w:type="spellStart"/>
      <w:r w:rsidRPr="00CD24D7">
        <w:rPr>
          <w:rFonts w:ascii="Arial" w:hAnsi="Arial" w:cs="Arial"/>
        </w:rPr>
        <w:t>IoT</w:t>
      </w:r>
      <w:proofErr w:type="spellEnd"/>
      <w:r w:rsidRPr="00CD24D7">
        <w:rPr>
          <w:rFonts w:ascii="Arial" w:hAnsi="Arial" w:cs="Arial"/>
        </w:rPr>
        <w:t xml:space="preserve">) y realidad aumentada, que afectan a los mercados financieros y, por lo tanto, requieren consideración regulatoria. Además, los avances relacionados con la tecnología, en forma de comunicaciones en las redes sociales, han ejercido recientemente un impacto enorme en los mercados y en la valoración de empresas como </w:t>
      </w:r>
      <w:proofErr w:type="spellStart"/>
      <w:r w:rsidRPr="00CD24D7">
        <w:rPr>
          <w:rFonts w:ascii="Arial" w:hAnsi="Arial" w:cs="Arial"/>
        </w:rPr>
        <w:t>GameStop</w:t>
      </w:r>
      <w:proofErr w:type="spellEnd"/>
      <w:r w:rsidRPr="00CD24D7">
        <w:rPr>
          <w:rFonts w:ascii="Arial" w:hAnsi="Arial" w:cs="Arial"/>
        </w:rPr>
        <w:t xml:space="preserve">, AMC y </w:t>
      </w:r>
      <w:proofErr w:type="spellStart"/>
      <w:r w:rsidRPr="00CD24D7">
        <w:rPr>
          <w:rFonts w:ascii="Arial" w:hAnsi="Arial" w:cs="Arial"/>
        </w:rPr>
        <w:t>Blackberry</w:t>
      </w:r>
      <w:proofErr w:type="spellEnd"/>
      <w:r w:rsidRPr="00CD24D7">
        <w:rPr>
          <w:rFonts w:ascii="Arial" w:hAnsi="Arial" w:cs="Arial"/>
        </w:rPr>
        <w:t xml:space="preserve">. Entonces, aunque la SEC no define actualmente las </w:t>
      </w:r>
      <w:proofErr w:type="spellStart"/>
      <w:r w:rsidRPr="00CD24D7">
        <w:rPr>
          <w:rFonts w:ascii="Arial" w:hAnsi="Arial" w:cs="Arial"/>
        </w:rPr>
        <w:t>criptomonedas</w:t>
      </w:r>
      <w:proofErr w:type="spellEnd"/>
      <w:r w:rsidRPr="00CD24D7">
        <w:rPr>
          <w:rFonts w:ascii="Arial" w:hAnsi="Arial" w:cs="Arial"/>
        </w:rPr>
        <w:t xml:space="preserve"> como valores, eso podría cambiar dependiendo de cómo afecten a los mercados, cómo se negocian y cuán grande se vuelve su presencia en los balances corporativos.</w:t>
      </w:r>
    </w:p>
    <w:p w:rsidR="00CD24D7" w:rsidRPr="00CD24D7" w:rsidRDefault="00CD24D7" w:rsidP="00CD24D7">
      <w:pPr>
        <w:numPr>
          <w:ilvl w:val="0"/>
          <w:numId w:val="1"/>
        </w:numPr>
        <w:jc w:val="both"/>
        <w:rPr>
          <w:rFonts w:ascii="Arial" w:hAnsi="Arial" w:cs="Arial"/>
        </w:rPr>
      </w:pPr>
      <w:r w:rsidRPr="00CD24D7">
        <w:rPr>
          <w:rFonts w:ascii="Arial" w:hAnsi="Arial" w:cs="Arial"/>
          <w:b/>
          <w:bCs/>
        </w:rPr>
        <w:t>Tenga en cuenta que la SEC tiene una base de datos sólida y nuevas capacidades analíticas:</w:t>
      </w:r>
      <w:r w:rsidRPr="00CD24D7">
        <w:rPr>
          <w:rFonts w:ascii="Arial" w:hAnsi="Arial" w:cs="Arial"/>
        </w:rPr>
        <w:t xml:space="preserve"> gracias a esas reglas XBRL que colocan todas las presentaciones en una plataforma común, la SEC ha acumulado una base de datos </w:t>
      </w:r>
      <w:r w:rsidRPr="00CD24D7">
        <w:rPr>
          <w:rFonts w:ascii="Arial" w:hAnsi="Arial" w:cs="Arial"/>
        </w:rPr>
        <w:lastRenderedPageBreak/>
        <w:t>sólida. Los comisionados de la SEC han señalado que planean intensificar el uso de análisis de datos. Al extraer esa base de datos en busca de excepciones y patrones, la SEC puede identificar tendencias y anomalías que impulsan una actividad de cartas de comentarios consistente y enfocada.</w:t>
      </w:r>
    </w:p>
    <w:p w:rsidR="00CD24D7" w:rsidRPr="00CD24D7" w:rsidRDefault="00CD24D7" w:rsidP="00CD24D7">
      <w:pPr>
        <w:numPr>
          <w:ilvl w:val="0"/>
          <w:numId w:val="1"/>
        </w:numPr>
        <w:jc w:val="both"/>
        <w:rPr>
          <w:rFonts w:ascii="Arial" w:hAnsi="Arial" w:cs="Arial"/>
        </w:rPr>
      </w:pPr>
      <w:r w:rsidRPr="00CD24D7">
        <w:rPr>
          <w:rFonts w:ascii="Arial" w:hAnsi="Arial" w:cs="Arial"/>
          <w:b/>
          <w:bCs/>
        </w:rPr>
        <w:t>Observe el nuevo requisito de divulgación de capital humano para obtener pistas sobre los cambios futuros en las reglas de tecnología y las respuestas de cumplimiento: </w:t>
      </w:r>
      <w:r w:rsidRPr="00CD24D7">
        <w:rPr>
          <w:rFonts w:ascii="Arial" w:hAnsi="Arial" w:cs="Arial"/>
        </w:rPr>
        <w:t>En agosto pasado, la SEC emitió una regla, con una fecha de vigencia de noviembre de 2020, que requiere que las empresas informen sobre las métricas de capital humano. La nueva regla se manifestó en las divulgaciones realizadas en los informes anuales para las empresas de fin de año calendario en la ronda más reciente de presentaciones, y provocó que las empresas desarrollaran nuevas métricas de capital humano y enfoques de medición, cuantificaran los rendimientos de las inversiones de talento, compartieran esta información con las juntas y líderes senior e incorporar métricas de capital humano en la preparación de llamadas de ganancias, entre otros pasos. Gran parte de ese trabajo se realizó en hojas de cálculo la primera vez, y muchos directores financieros y equipos de finanzas se están moviendo posteriormente para crear paneles de control para brindar más rigor (y una pista de auditoría clara) a la recopilación de datos y los procesos analíticos que requiere la divulgación.</w:t>
      </w:r>
    </w:p>
    <w:p w:rsidR="00CD24D7" w:rsidRPr="00CD24D7" w:rsidRDefault="00CD24D7" w:rsidP="00CD24D7">
      <w:pPr>
        <w:jc w:val="both"/>
        <w:rPr>
          <w:rFonts w:ascii="Arial" w:hAnsi="Arial" w:cs="Arial"/>
        </w:rPr>
      </w:pPr>
      <w:r w:rsidRPr="00CD24D7">
        <w:rPr>
          <w:rFonts w:ascii="Arial" w:hAnsi="Arial" w:cs="Arial"/>
        </w:rPr>
        <w:t xml:space="preserve">También es de destacar que en su llamado para que la SEC desarrolle rápidamente reglas y capacidades más centradas en la tecnología, Paredes enfatiza que la agencia tiene una necesidad urgente de contratar más tecnólogos internos, incluidos científicos de datos, informáticos, criptógrafos, desarrolladores y programadores. </w:t>
      </w:r>
      <w:proofErr w:type="gramStart"/>
      <w:r w:rsidRPr="00CD24D7">
        <w:rPr>
          <w:rFonts w:ascii="Arial" w:hAnsi="Arial" w:cs="Arial"/>
        </w:rPr>
        <w:t>e</w:t>
      </w:r>
      <w:proofErr w:type="gramEnd"/>
      <w:r w:rsidRPr="00CD24D7">
        <w:rPr>
          <w:rFonts w:ascii="Arial" w:hAnsi="Arial" w:cs="Arial"/>
        </w:rPr>
        <w:t xml:space="preserve"> ingenieros. Qué tan bien le vaya a la SEC a la hora de abordar sus necesidades de talento </w:t>
      </w:r>
      <w:proofErr w:type="spellStart"/>
      <w:r w:rsidRPr="00CD24D7">
        <w:rPr>
          <w:rFonts w:ascii="Arial" w:hAnsi="Arial" w:cs="Arial"/>
        </w:rPr>
        <w:t>regtech</w:t>
      </w:r>
      <w:proofErr w:type="spellEnd"/>
      <w:r w:rsidRPr="00CD24D7">
        <w:rPr>
          <w:rFonts w:ascii="Arial" w:hAnsi="Arial" w:cs="Arial"/>
        </w:rPr>
        <w:t xml:space="preserve"> ayudará a determinar el ritmo y la eficacia de sus esfuerzos para adaptar su supervisión a la era digital.</w:t>
      </w:r>
    </w:p>
    <w:p w:rsidR="00CD24D7" w:rsidRPr="00CD24D7" w:rsidRDefault="00CD24D7" w:rsidP="00CD24D7">
      <w:pPr>
        <w:jc w:val="both"/>
        <w:rPr>
          <w:rFonts w:ascii="Arial" w:hAnsi="Arial" w:cs="Arial"/>
        </w:rPr>
      </w:pPr>
      <w:r w:rsidRPr="00CD24D7">
        <w:rPr>
          <w:rFonts w:ascii="Arial" w:hAnsi="Arial" w:cs="Arial"/>
        </w:rPr>
        <w:t>Por supuesto, es mejor que la SEC se ocupe de ese tipo de plan de contratación. Los directores financieros líderes saben que la SEC no está sola en su sed de tecnólogos. Los grupos de finanzas corporativas requieren la misma infusión de experiencia digital para cumplir con su propio mandato. El impulso de la SEC para estar más habilitado para la tecnología debería proporcionar una mayor motivación para que los directores financieros y sus equipos continúen construyendo su base y experiencia en tecnología y talento digital. Después de todo, el grupo de talentos no es exactamente ilimitado, y la puerta al empleo en la SEC se abre en ambos sentidos para las personas con habilidades clave.</w:t>
      </w:r>
    </w:p>
    <w:p w:rsidR="00CD24D7" w:rsidRDefault="00CD24D7" w:rsidP="00CD24D7">
      <w:pPr>
        <w:jc w:val="both"/>
        <w:rPr>
          <w:rFonts w:ascii="Arial" w:hAnsi="Arial" w:cs="Arial"/>
        </w:rPr>
      </w:pPr>
      <w:r w:rsidRPr="00CD24D7">
        <w:rPr>
          <w:rFonts w:ascii="Arial" w:hAnsi="Arial" w:cs="Arial"/>
        </w:rPr>
        <w:t>Finalmente, hay otro desarrollo algo irónico en la SEC que cualquier CFO escéptico sobre la capacidad de la comisión para ponerse al día debe tener en cuenta. Las interrupciones del trabajo remoto de la pandemia también afectaron a organizaciones del sector público como la comisión, acelerando sus esfuerzos de transformación digital. Si bien algunos de esos esfuerzos aún pueden demorarse, están ganando terreno rápidamente. ¿Esas conferencias de la SEC que debería supervisar para conocer las nuevas reglas relacionadas con la tecnología? Ahora son virtuales.</w:t>
      </w:r>
    </w:p>
    <w:p w:rsidR="00CD24D7" w:rsidRDefault="00CD24D7" w:rsidP="00CD24D7">
      <w:pPr>
        <w:jc w:val="both"/>
        <w:rPr>
          <w:rFonts w:ascii="Arial" w:hAnsi="Arial" w:cs="Arial"/>
        </w:rPr>
      </w:pPr>
    </w:p>
    <w:p w:rsidR="00CD24D7" w:rsidRPr="00CD24D7" w:rsidRDefault="00CD24D7" w:rsidP="00CD24D7">
      <w:pPr>
        <w:jc w:val="both"/>
        <w:rPr>
          <w:rFonts w:ascii="Arial" w:hAnsi="Arial" w:cs="Arial"/>
          <w:b/>
          <w:bCs/>
        </w:rPr>
      </w:pPr>
      <w:hyperlink r:id="rId8" w:history="1">
        <w:proofErr w:type="spellStart"/>
        <w:r w:rsidRPr="00CD24D7">
          <w:rPr>
            <w:rStyle w:val="Hipervnculo"/>
            <w:rFonts w:ascii="Arial" w:hAnsi="Arial" w:cs="Arial"/>
            <w:b/>
            <w:bCs/>
          </w:rPr>
          <w:t>Jim</w:t>
        </w:r>
        <w:proofErr w:type="spellEnd"/>
        <w:r w:rsidRPr="00CD24D7">
          <w:rPr>
            <w:rStyle w:val="Hipervnculo"/>
            <w:rFonts w:ascii="Arial" w:hAnsi="Arial" w:cs="Arial"/>
            <w:b/>
            <w:bCs/>
          </w:rPr>
          <w:t xml:space="preserve"> </w:t>
        </w:r>
        <w:proofErr w:type="spellStart"/>
        <w:r w:rsidRPr="00CD24D7">
          <w:rPr>
            <w:rStyle w:val="Hipervnculo"/>
            <w:rFonts w:ascii="Arial" w:hAnsi="Arial" w:cs="Arial"/>
            <w:b/>
            <w:bCs/>
          </w:rPr>
          <w:t>DeLoach</w:t>
        </w:r>
        <w:proofErr w:type="spellEnd"/>
      </w:hyperlink>
    </w:p>
    <w:p w:rsidR="00CD24D7" w:rsidRPr="00CD24D7" w:rsidRDefault="00CD24D7" w:rsidP="00CD24D7">
      <w:pPr>
        <w:jc w:val="both"/>
        <w:rPr>
          <w:rFonts w:ascii="Arial" w:hAnsi="Arial" w:cs="Arial"/>
        </w:rPr>
      </w:pPr>
    </w:p>
    <w:p w:rsidR="00CD24D7" w:rsidRPr="00CD24D7" w:rsidRDefault="00CD24D7" w:rsidP="00CD24D7">
      <w:pPr>
        <w:jc w:val="both"/>
        <w:rPr>
          <w:rFonts w:ascii="Arial" w:hAnsi="Arial" w:cs="Arial"/>
        </w:rPr>
      </w:pPr>
    </w:p>
    <w:p w:rsidR="00CD24D7" w:rsidRPr="00CD24D7" w:rsidRDefault="00CD24D7" w:rsidP="00CD24D7">
      <w:pPr>
        <w:jc w:val="both"/>
        <w:rPr>
          <w:rFonts w:ascii="Arial" w:hAnsi="Arial" w:cs="Arial"/>
        </w:rPr>
      </w:pPr>
    </w:p>
    <w:sectPr w:rsidR="00CD24D7" w:rsidRPr="00CD24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06B87"/>
    <w:multiLevelType w:val="multilevel"/>
    <w:tmpl w:val="D1A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D7"/>
    <w:rsid w:val="000F4B68"/>
    <w:rsid w:val="001739B4"/>
    <w:rsid w:val="003B63A5"/>
    <w:rsid w:val="00CD2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2D90-7B3F-4F33-B9B3-9334397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510">
      <w:bodyDiv w:val="1"/>
      <w:marLeft w:val="0"/>
      <w:marRight w:val="0"/>
      <w:marTop w:val="0"/>
      <w:marBottom w:val="0"/>
      <w:divBdr>
        <w:top w:val="none" w:sz="0" w:space="0" w:color="auto"/>
        <w:left w:val="none" w:sz="0" w:space="0" w:color="auto"/>
        <w:bottom w:val="none" w:sz="0" w:space="0" w:color="auto"/>
        <w:right w:val="none" w:sz="0" w:space="0" w:color="auto"/>
      </w:divBdr>
    </w:div>
    <w:div w:id="48724589">
      <w:bodyDiv w:val="1"/>
      <w:marLeft w:val="0"/>
      <w:marRight w:val="0"/>
      <w:marTop w:val="0"/>
      <w:marBottom w:val="0"/>
      <w:divBdr>
        <w:top w:val="none" w:sz="0" w:space="0" w:color="auto"/>
        <w:left w:val="none" w:sz="0" w:space="0" w:color="auto"/>
        <w:bottom w:val="none" w:sz="0" w:space="0" w:color="auto"/>
        <w:right w:val="none" w:sz="0" w:space="0" w:color="auto"/>
      </w:divBdr>
      <w:divsChild>
        <w:div w:id="1638876218">
          <w:marLeft w:val="0"/>
          <w:marRight w:val="0"/>
          <w:marTop w:val="0"/>
          <w:marBottom w:val="0"/>
          <w:divBdr>
            <w:top w:val="none" w:sz="0" w:space="0" w:color="auto"/>
            <w:left w:val="none" w:sz="0" w:space="0" w:color="auto"/>
            <w:bottom w:val="none" w:sz="0" w:space="0" w:color="auto"/>
            <w:right w:val="none" w:sz="0" w:space="0" w:color="auto"/>
          </w:divBdr>
          <w:divsChild>
            <w:div w:id="8810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5255">
      <w:bodyDiv w:val="1"/>
      <w:marLeft w:val="0"/>
      <w:marRight w:val="0"/>
      <w:marTop w:val="0"/>
      <w:marBottom w:val="0"/>
      <w:divBdr>
        <w:top w:val="none" w:sz="0" w:space="0" w:color="auto"/>
        <w:left w:val="none" w:sz="0" w:space="0" w:color="auto"/>
        <w:bottom w:val="none" w:sz="0" w:space="0" w:color="auto"/>
        <w:right w:val="none" w:sz="0" w:space="0" w:color="auto"/>
      </w:divBdr>
      <w:divsChild>
        <w:div w:id="462236830">
          <w:marLeft w:val="0"/>
          <w:marRight w:val="0"/>
          <w:marTop w:val="0"/>
          <w:marBottom w:val="0"/>
          <w:divBdr>
            <w:top w:val="none" w:sz="0" w:space="0" w:color="auto"/>
            <w:left w:val="none" w:sz="0" w:space="0" w:color="auto"/>
            <w:bottom w:val="none" w:sz="0" w:space="0" w:color="auto"/>
            <w:right w:val="none" w:sz="0" w:space="0" w:color="auto"/>
          </w:divBdr>
          <w:divsChild>
            <w:div w:id="11377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314">
      <w:bodyDiv w:val="1"/>
      <w:marLeft w:val="0"/>
      <w:marRight w:val="0"/>
      <w:marTop w:val="0"/>
      <w:marBottom w:val="0"/>
      <w:divBdr>
        <w:top w:val="none" w:sz="0" w:space="0" w:color="auto"/>
        <w:left w:val="none" w:sz="0" w:space="0" w:color="auto"/>
        <w:bottom w:val="none" w:sz="0" w:space="0" w:color="auto"/>
        <w:right w:val="none" w:sz="0" w:space="0" w:color="auto"/>
      </w:divBdr>
      <w:divsChild>
        <w:div w:id="569924179">
          <w:marLeft w:val="0"/>
          <w:marRight w:val="0"/>
          <w:marTop w:val="0"/>
          <w:marBottom w:val="0"/>
          <w:divBdr>
            <w:top w:val="single" w:sz="6" w:space="9" w:color="EBEBEB"/>
            <w:left w:val="none" w:sz="0" w:space="0" w:color="auto"/>
            <w:bottom w:val="single" w:sz="6" w:space="9" w:color="EBEBEB"/>
            <w:right w:val="none" w:sz="0" w:space="0" w:color="auto"/>
          </w:divBdr>
          <w:divsChild>
            <w:div w:id="1535187784">
              <w:marLeft w:val="0"/>
              <w:marRight w:val="0"/>
              <w:marTop w:val="0"/>
              <w:marBottom w:val="0"/>
              <w:divBdr>
                <w:top w:val="none" w:sz="0" w:space="0" w:color="auto"/>
                <w:left w:val="none" w:sz="0" w:space="0" w:color="auto"/>
                <w:bottom w:val="none" w:sz="0" w:space="0" w:color="auto"/>
                <w:right w:val="none" w:sz="0" w:space="0" w:color="auto"/>
              </w:divBdr>
              <w:divsChild>
                <w:div w:id="1070542520">
                  <w:marLeft w:val="0"/>
                  <w:marRight w:val="0"/>
                  <w:marTop w:val="0"/>
                  <w:marBottom w:val="0"/>
                  <w:divBdr>
                    <w:top w:val="none" w:sz="0" w:space="0" w:color="auto"/>
                    <w:left w:val="none" w:sz="0" w:space="0" w:color="auto"/>
                    <w:bottom w:val="none" w:sz="0" w:space="0" w:color="auto"/>
                    <w:right w:val="none" w:sz="0" w:space="0" w:color="auto"/>
                  </w:divBdr>
                  <w:divsChild>
                    <w:div w:id="1281256813">
                      <w:marLeft w:val="0"/>
                      <w:marRight w:val="0"/>
                      <w:marTop w:val="0"/>
                      <w:marBottom w:val="0"/>
                      <w:divBdr>
                        <w:top w:val="none" w:sz="0" w:space="0" w:color="auto"/>
                        <w:left w:val="none" w:sz="0" w:space="0" w:color="auto"/>
                        <w:bottom w:val="none" w:sz="0" w:space="0" w:color="auto"/>
                        <w:right w:val="none" w:sz="0" w:space="0" w:color="auto"/>
                      </w:divBdr>
                    </w:div>
                    <w:div w:id="1999570753">
                      <w:marLeft w:val="0"/>
                      <w:marRight w:val="0"/>
                      <w:marTop w:val="0"/>
                      <w:marBottom w:val="0"/>
                      <w:divBdr>
                        <w:top w:val="none" w:sz="0" w:space="0" w:color="auto"/>
                        <w:left w:val="none" w:sz="0" w:space="0" w:color="auto"/>
                        <w:bottom w:val="none" w:sz="0" w:space="0" w:color="auto"/>
                        <w:right w:val="none" w:sz="0" w:space="0" w:color="auto"/>
                      </w:divBdr>
                    </w:div>
                    <w:div w:id="9614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2611">
      <w:bodyDiv w:val="1"/>
      <w:marLeft w:val="0"/>
      <w:marRight w:val="0"/>
      <w:marTop w:val="0"/>
      <w:marBottom w:val="0"/>
      <w:divBdr>
        <w:top w:val="none" w:sz="0" w:space="0" w:color="auto"/>
        <w:left w:val="none" w:sz="0" w:space="0" w:color="auto"/>
        <w:bottom w:val="none" w:sz="0" w:space="0" w:color="auto"/>
        <w:right w:val="none" w:sz="0" w:space="0" w:color="auto"/>
      </w:divBdr>
      <w:divsChild>
        <w:div w:id="1404527866">
          <w:marLeft w:val="0"/>
          <w:marRight w:val="0"/>
          <w:marTop w:val="0"/>
          <w:marBottom w:val="0"/>
          <w:divBdr>
            <w:top w:val="none" w:sz="0" w:space="0" w:color="auto"/>
            <w:left w:val="none" w:sz="0" w:space="0" w:color="auto"/>
            <w:bottom w:val="none" w:sz="0" w:space="0" w:color="auto"/>
            <w:right w:val="none" w:sz="0" w:space="0" w:color="auto"/>
          </w:divBdr>
        </w:div>
      </w:divsChild>
    </w:div>
    <w:div w:id="18313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jimdeloach/" TargetMode="External"/><Relationship Id="rId3" Type="http://schemas.openxmlformats.org/officeDocument/2006/relationships/settings" Target="settings.xml"/><Relationship Id="rId7" Type="http://schemas.openxmlformats.org/officeDocument/2006/relationships/hyperlink" Target="https://cryptoforinnov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regreview.org/2020/10/06/paredes-innovation-securities-regulation/" TargetMode="External"/><Relationship Id="rId5" Type="http://schemas.openxmlformats.org/officeDocument/2006/relationships/hyperlink" Target="https://www.forbes.com/sites/jimdeloa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2021-09-13T22:59:00Z</dcterms:created>
  <dcterms:modified xsi:type="dcterms:W3CDTF">2021-09-13T23:05:00Z</dcterms:modified>
</cp:coreProperties>
</file>