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976" w:rsidRPr="00643976" w:rsidRDefault="00643976" w:rsidP="00643976">
      <w:pPr>
        <w:jc w:val="both"/>
        <w:rPr>
          <w:rFonts w:ascii="Arial" w:hAnsi="Arial" w:cs="Arial"/>
          <w:b/>
          <w:bCs/>
        </w:rPr>
      </w:pPr>
      <w:r w:rsidRPr="00643976">
        <w:rPr>
          <w:rFonts w:ascii="Arial" w:hAnsi="Arial" w:cs="Arial"/>
          <w:b/>
          <w:bCs/>
        </w:rPr>
        <w:t>"Lo que tenemos que hacer para que las finanzas verdes funcionen": discurso de apertura del Sr. Ravi Menon, director gerente de la Autoridad Monetaria de Singapur, en la conferencia digital Investing for Good Asia del Financial Times el 8 de septiembre de 2021</w:t>
      </w:r>
    </w:p>
    <w:p w:rsidR="00643976" w:rsidRDefault="00643976" w:rsidP="00643976">
      <w:pPr>
        <w:jc w:val="both"/>
        <w:rPr>
          <w:rFonts w:ascii="Arial" w:hAnsi="Arial" w:cs="Arial"/>
        </w:rPr>
      </w:pPr>
    </w:p>
    <w:p w:rsidR="00ED7650" w:rsidRPr="00643976" w:rsidRDefault="00643976" w:rsidP="00643976">
      <w:pPr>
        <w:jc w:val="both"/>
        <w:rPr>
          <w:rFonts w:ascii="Arial" w:hAnsi="Arial" w:cs="Arial"/>
        </w:rPr>
      </w:pPr>
      <w:r w:rsidRPr="00643976">
        <w:rPr>
          <w:rFonts w:ascii="Arial" w:hAnsi="Arial" w:cs="Arial"/>
        </w:rPr>
        <w:t>08 de septiembre de 2021</w:t>
      </w:r>
    </w:p>
    <w:p w:rsidR="00643976" w:rsidRPr="00643976" w:rsidRDefault="00643976" w:rsidP="00643976">
      <w:pPr>
        <w:jc w:val="both"/>
        <w:rPr>
          <w:rFonts w:ascii="Arial" w:hAnsi="Arial" w:cs="Arial"/>
        </w:rPr>
      </w:pPr>
    </w:p>
    <w:p w:rsidR="00643976" w:rsidRDefault="00643976" w:rsidP="00643976">
      <w:pPr>
        <w:jc w:val="both"/>
        <w:rPr>
          <w:rFonts w:ascii="Arial" w:hAnsi="Arial" w:cs="Arial"/>
        </w:rPr>
      </w:pPr>
      <w:r w:rsidRPr="00643976">
        <w:rPr>
          <w:rFonts w:ascii="Arial" w:hAnsi="Arial" w:cs="Arial"/>
        </w:rPr>
        <w:t>Buenos días. Primero, permítanme agradecer al Financial Times por la oportunidad de hablar nuevamente en esta conferencia.</w:t>
      </w:r>
    </w:p>
    <w:p w:rsidR="00643976" w:rsidRPr="00643976" w:rsidRDefault="00643976" w:rsidP="00643976">
      <w:pPr>
        <w:jc w:val="both"/>
        <w:rPr>
          <w:rFonts w:ascii="Arial" w:hAnsi="Arial" w:cs="Arial"/>
        </w:rPr>
      </w:pPr>
      <w:r w:rsidRPr="00643976">
        <w:rPr>
          <w:rFonts w:ascii="Arial" w:hAnsi="Arial" w:cs="Arial"/>
        </w:rPr>
        <w:t> </w:t>
      </w:r>
      <w:r w:rsidRPr="00643976">
        <w:rPr>
          <w:rFonts w:ascii="Arial" w:hAnsi="Arial" w:cs="Arial"/>
        </w:rPr>
        <w:br/>
      </w:r>
      <w:r w:rsidRPr="00643976">
        <w:rPr>
          <w:rFonts w:ascii="Arial" w:hAnsi="Arial" w:cs="Arial"/>
        </w:rPr>
        <w:br/>
      </w:r>
      <w:r w:rsidRPr="00643976">
        <w:rPr>
          <w:rFonts w:ascii="Arial" w:hAnsi="Arial" w:cs="Arial"/>
          <w:b/>
          <w:bCs/>
          <w:i/>
          <w:iCs/>
        </w:rPr>
        <w:t>“La Tierra tiene una fecha límite. Convirtámoslo en un salvavidas”.</w:t>
      </w:r>
    </w:p>
    <w:p w:rsidR="00643976" w:rsidRPr="00643976" w:rsidRDefault="00643976" w:rsidP="00643976">
      <w:pPr>
        <w:numPr>
          <w:ilvl w:val="0"/>
          <w:numId w:val="1"/>
        </w:numPr>
        <w:jc w:val="both"/>
        <w:rPr>
          <w:rFonts w:ascii="Arial" w:hAnsi="Arial" w:cs="Arial"/>
        </w:rPr>
      </w:pPr>
      <w:r w:rsidRPr="00643976">
        <w:rPr>
          <w:rFonts w:ascii="Arial" w:hAnsi="Arial" w:cs="Arial"/>
        </w:rPr>
        <w:t>Estas son las palabras del Reloj Climático en Union Square de Nueva York. En lugar de medir la hora del día, este reloj mide el tiempo restante para reducir las emisiones de gases de efecto invernadero y mitigar los efectos catastróficos del cambio climático.</w:t>
      </w:r>
    </w:p>
    <w:p w:rsidR="00643976" w:rsidRPr="00643976" w:rsidRDefault="00643976" w:rsidP="00643976">
      <w:pPr>
        <w:numPr>
          <w:ilvl w:val="0"/>
          <w:numId w:val="1"/>
        </w:numPr>
        <w:jc w:val="both"/>
        <w:rPr>
          <w:rFonts w:ascii="Arial" w:hAnsi="Arial" w:cs="Arial"/>
        </w:rPr>
      </w:pPr>
      <w:r w:rsidRPr="00643976">
        <w:rPr>
          <w:rFonts w:ascii="Arial" w:hAnsi="Arial" w:cs="Arial"/>
        </w:rPr>
        <w:t>Tenemos menos de diez años para reducir las emisiones a casi la mitad y menos de treinta años para llegar a cero neto, a fin de mantener el calentamiento global dentro de 1,5 grados Celsius por encima de los niveles preindustriales. </w:t>
      </w:r>
    </w:p>
    <w:p w:rsidR="00643976" w:rsidRPr="00643976" w:rsidRDefault="00643976" w:rsidP="00643976">
      <w:pPr>
        <w:jc w:val="both"/>
        <w:rPr>
          <w:rFonts w:ascii="Arial" w:hAnsi="Arial" w:cs="Arial"/>
        </w:rPr>
      </w:pPr>
    </w:p>
    <w:p w:rsidR="00643976" w:rsidRPr="00643976" w:rsidRDefault="00643976" w:rsidP="00643976">
      <w:pPr>
        <w:jc w:val="both"/>
        <w:rPr>
          <w:rFonts w:ascii="Arial" w:hAnsi="Arial" w:cs="Arial"/>
        </w:rPr>
      </w:pPr>
      <w:r w:rsidRPr="00643976">
        <w:rPr>
          <w:rFonts w:ascii="Arial" w:hAnsi="Arial" w:cs="Arial"/>
          <w:b/>
          <w:bCs/>
          <w:i/>
          <w:iCs/>
        </w:rPr>
        <w:t>El cambio climático ya está ocurriendo; es rápido, amplio e intensivo.</w:t>
      </w:r>
    </w:p>
    <w:p w:rsidR="00643976" w:rsidRPr="00643976" w:rsidRDefault="00643976" w:rsidP="00643976">
      <w:pPr>
        <w:numPr>
          <w:ilvl w:val="0"/>
          <w:numId w:val="2"/>
        </w:numPr>
        <w:jc w:val="both"/>
        <w:rPr>
          <w:rFonts w:ascii="Arial" w:hAnsi="Arial" w:cs="Arial"/>
        </w:rPr>
      </w:pPr>
      <w:r w:rsidRPr="00643976">
        <w:rPr>
          <w:rFonts w:ascii="Arial" w:hAnsi="Arial" w:cs="Arial"/>
        </w:rPr>
        <w:t>El reciente informe del Panel Intergubernamental de Expertos sobre el Cambio Climático de las Naciones Unidas es aleccionador.</w:t>
      </w:r>
    </w:p>
    <w:p w:rsidR="00643976" w:rsidRPr="00643976" w:rsidRDefault="00643976" w:rsidP="00643976">
      <w:pPr>
        <w:numPr>
          <w:ilvl w:val="0"/>
          <w:numId w:val="2"/>
        </w:numPr>
        <w:jc w:val="both"/>
        <w:rPr>
          <w:rFonts w:ascii="Arial" w:hAnsi="Arial" w:cs="Arial"/>
        </w:rPr>
      </w:pPr>
      <w:r w:rsidRPr="00643976">
        <w:rPr>
          <w:rFonts w:ascii="Arial" w:hAnsi="Arial" w:cs="Arial"/>
        </w:rPr>
        <w:t>El calentamiento global ya ha alcanzado 1,1 grados centígrados por encima de los niveles preindustriales, el más cálido en 125.000 años.</w:t>
      </w:r>
    </w:p>
    <w:p w:rsidR="00643976" w:rsidRDefault="00643976" w:rsidP="00643976">
      <w:pPr>
        <w:numPr>
          <w:ilvl w:val="0"/>
          <w:numId w:val="2"/>
        </w:numPr>
        <w:jc w:val="both"/>
        <w:rPr>
          <w:rFonts w:ascii="Arial" w:hAnsi="Arial" w:cs="Arial"/>
        </w:rPr>
      </w:pPr>
      <w:r w:rsidRPr="00643976">
        <w:rPr>
          <w:rFonts w:ascii="Arial" w:hAnsi="Arial" w:cs="Arial"/>
        </w:rPr>
        <w:t>Con el retraso de cada año en la reducción de las emisiones globales, la tarea se volverá más difícil y costosa.</w:t>
      </w:r>
    </w:p>
    <w:p w:rsidR="00643976" w:rsidRPr="00643976" w:rsidRDefault="00643976" w:rsidP="00643976">
      <w:pPr>
        <w:numPr>
          <w:ilvl w:val="0"/>
          <w:numId w:val="2"/>
        </w:numPr>
        <w:jc w:val="both"/>
        <w:rPr>
          <w:rFonts w:ascii="Arial" w:hAnsi="Arial" w:cs="Arial"/>
        </w:rPr>
      </w:pPr>
    </w:p>
    <w:p w:rsidR="00643976" w:rsidRPr="00643976" w:rsidRDefault="00643976" w:rsidP="00643976">
      <w:pPr>
        <w:jc w:val="both"/>
        <w:rPr>
          <w:rFonts w:ascii="Arial" w:hAnsi="Arial" w:cs="Arial"/>
        </w:rPr>
      </w:pPr>
      <w:r w:rsidRPr="00643976">
        <w:rPr>
          <w:rFonts w:ascii="Arial" w:hAnsi="Arial" w:cs="Arial"/>
          <w:b/>
          <w:bCs/>
        </w:rPr>
        <w:t>LAS FINANZAS VERDES COMO CATALIZADOR DEL CAMBIO</w:t>
      </w:r>
    </w:p>
    <w:p w:rsidR="00643976" w:rsidRPr="00643976" w:rsidRDefault="00643976" w:rsidP="00643976">
      <w:pPr>
        <w:jc w:val="both"/>
        <w:rPr>
          <w:rFonts w:ascii="Arial" w:hAnsi="Arial" w:cs="Arial"/>
        </w:rPr>
      </w:pPr>
      <w:r w:rsidRPr="00643976">
        <w:rPr>
          <w:rFonts w:ascii="Arial" w:hAnsi="Arial" w:cs="Arial"/>
          <w:b/>
          <w:bCs/>
          <w:i/>
          <w:iCs/>
        </w:rPr>
        <w:t>Las finanzas verdes son un factor clave para la transición hacia un futuro sostenible.  </w:t>
      </w:r>
    </w:p>
    <w:p w:rsidR="00643976" w:rsidRPr="00643976" w:rsidRDefault="00643976" w:rsidP="00643976">
      <w:pPr>
        <w:numPr>
          <w:ilvl w:val="0"/>
          <w:numId w:val="3"/>
        </w:numPr>
        <w:jc w:val="both"/>
        <w:rPr>
          <w:rFonts w:ascii="Arial" w:hAnsi="Arial" w:cs="Arial"/>
        </w:rPr>
      </w:pPr>
      <w:r w:rsidRPr="00643976">
        <w:rPr>
          <w:rFonts w:ascii="Arial" w:hAnsi="Arial" w:cs="Arial"/>
        </w:rPr>
        <w:t>La transición a un futuro con bajas emisiones de carbono requerirá cambios fundamentales en todas las industrias. </w:t>
      </w:r>
    </w:p>
    <w:p w:rsidR="00643976" w:rsidRPr="00643976" w:rsidRDefault="00643976" w:rsidP="00643976">
      <w:pPr>
        <w:numPr>
          <w:ilvl w:val="0"/>
          <w:numId w:val="3"/>
        </w:numPr>
        <w:jc w:val="both"/>
        <w:rPr>
          <w:rFonts w:ascii="Arial" w:hAnsi="Arial" w:cs="Arial"/>
        </w:rPr>
      </w:pPr>
      <w:r w:rsidRPr="00643976">
        <w:rPr>
          <w:rFonts w:ascii="Arial" w:hAnsi="Arial" w:cs="Arial"/>
        </w:rPr>
        <w:t>Se necesitan importantes inversiones y financiación para respaldar estos cambios. </w:t>
      </w:r>
    </w:p>
    <w:p w:rsidR="00643976" w:rsidRPr="00643976" w:rsidRDefault="00643976" w:rsidP="00643976">
      <w:pPr>
        <w:numPr>
          <w:ilvl w:val="0"/>
          <w:numId w:val="3"/>
        </w:numPr>
        <w:jc w:val="both"/>
        <w:rPr>
          <w:rFonts w:ascii="Arial" w:hAnsi="Arial" w:cs="Arial"/>
        </w:rPr>
      </w:pPr>
      <w:r w:rsidRPr="00643976">
        <w:rPr>
          <w:rFonts w:ascii="Arial" w:hAnsi="Arial" w:cs="Arial"/>
        </w:rPr>
        <w:lastRenderedPageBreak/>
        <w:t>Según la OCDE, se necesitan aproximadamente 7 billones de dólares estadounidenses en inversiones en infraestructura cada año hasta 2030 para cumplir con los objeti</w:t>
      </w:r>
      <w:r w:rsidR="00EA3132">
        <w:rPr>
          <w:rFonts w:ascii="Arial" w:hAnsi="Arial" w:cs="Arial"/>
        </w:rPr>
        <w:t>vos climáticos y de desarrollo.</w:t>
      </w:r>
      <w:r w:rsidR="00EA3132">
        <w:rPr>
          <w:rStyle w:val="Refdenotaalpie"/>
          <w:rFonts w:ascii="Arial" w:hAnsi="Arial" w:cs="Arial"/>
        </w:rPr>
        <w:footnoteReference w:id="1"/>
      </w:r>
    </w:p>
    <w:p w:rsidR="00643976" w:rsidRPr="00643976" w:rsidRDefault="00643976" w:rsidP="00643976">
      <w:pPr>
        <w:numPr>
          <w:ilvl w:val="0"/>
          <w:numId w:val="3"/>
        </w:numPr>
        <w:jc w:val="both"/>
        <w:rPr>
          <w:rFonts w:ascii="Arial" w:hAnsi="Arial" w:cs="Arial"/>
        </w:rPr>
      </w:pPr>
      <w:r w:rsidRPr="00643976">
        <w:rPr>
          <w:rFonts w:ascii="Arial" w:hAnsi="Arial" w:cs="Arial"/>
        </w:rPr>
        <w:t>El sector financiero puede ser un catalizador del cambio mediante la financiación de actividades de transición y la canalización de capital hacia proyectos y tecnologías respetuosos con el medio ambiente.</w:t>
      </w:r>
    </w:p>
    <w:p w:rsidR="00643976" w:rsidRDefault="00643976" w:rsidP="00643976">
      <w:pPr>
        <w:jc w:val="both"/>
        <w:rPr>
          <w:rFonts w:ascii="Arial" w:hAnsi="Arial" w:cs="Arial"/>
        </w:rPr>
      </w:pPr>
    </w:p>
    <w:p w:rsidR="00643976" w:rsidRPr="00643976" w:rsidRDefault="00643976" w:rsidP="00643976">
      <w:pPr>
        <w:jc w:val="both"/>
        <w:rPr>
          <w:rFonts w:ascii="Arial" w:hAnsi="Arial" w:cs="Arial"/>
        </w:rPr>
      </w:pPr>
      <w:r w:rsidRPr="00643976">
        <w:rPr>
          <w:rFonts w:ascii="Arial" w:hAnsi="Arial" w:cs="Arial"/>
          <w:b/>
          <w:bCs/>
          <w:i/>
          <w:iCs/>
        </w:rPr>
        <w:t>La buena noticia es que el volumen de activos invertidos en proyectos sostenibles está aumentando rápidamente.</w:t>
      </w:r>
    </w:p>
    <w:p w:rsidR="00643976" w:rsidRPr="00643976" w:rsidRDefault="00643976" w:rsidP="00643976">
      <w:pPr>
        <w:numPr>
          <w:ilvl w:val="0"/>
          <w:numId w:val="4"/>
        </w:numPr>
        <w:jc w:val="both"/>
        <w:rPr>
          <w:rFonts w:ascii="Arial" w:hAnsi="Arial" w:cs="Arial"/>
        </w:rPr>
      </w:pPr>
      <w:r w:rsidRPr="00643976">
        <w:rPr>
          <w:rFonts w:ascii="Arial" w:hAnsi="Arial" w:cs="Arial"/>
        </w:rPr>
        <w:t>Aproximadamente una quinta parte de todos los activos en todo el mundo están ahora en fondos que utili</w:t>
      </w:r>
      <w:r w:rsidR="00EA3132">
        <w:rPr>
          <w:rFonts w:ascii="Arial" w:hAnsi="Arial" w:cs="Arial"/>
        </w:rPr>
        <w:t>zan algún tipo de criterios ESG</w:t>
      </w:r>
      <w:r w:rsidRPr="00643976">
        <w:rPr>
          <w:rFonts w:ascii="Arial" w:hAnsi="Arial" w:cs="Arial"/>
        </w:rPr>
        <w:t>.</w:t>
      </w:r>
      <w:r w:rsidR="00EA3132">
        <w:rPr>
          <w:rStyle w:val="Refdenotaalpie"/>
          <w:rFonts w:ascii="Arial" w:hAnsi="Arial" w:cs="Arial"/>
        </w:rPr>
        <w:footnoteReference w:id="2"/>
      </w:r>
    </w:p>
    <w:p w:rsidR="00643976" w:rsidRPr="00643976" w:rsidRDefault="00643976" w:rsidP="00643976">
      <w:pPr>
        <w:numPr>
          <w:ilvl w:val="0"/>
          <w:numId w:val="4"/>
        </w:numPr>
        <w:jc w:val="both"/>
        <w:rPr>
          <w:rFonts w:ascii="Arial" w:hAnsi="Arial" w:cs="Arial"/>
        </w:rPr>
      </w:pPr>
      <w:r w:rsidRPr="00643976">
        <w:rPr>
          <w:rFonts w:ascii="Arial" w:hAnsi="Arial" w:cs="Arial"/>
        </w:rPr>
        <w:t>Los bancos multilaterales están desplegando más capital para respaldar la sostenibilidad.</w:t>
      </w:r>
    </w:p>
    <w:p w:rsidR="00643976" w:rsidRPr="00643976" w:rsidRDefault="00643976" w:rsidP="00643976">
      <w:pPr>
        <w:numPr>
          <w:ilvl w:val="1"/>
          <w:numId w:val="4"/>
        </w:numPr>
        <w:jc w:val="both"/>
        <w:rPr>
          <w:rFonts w:ascii="Arial" w:hAnsi="Arial" w:cs="Arial"/>
        </w:rPr>
      </w:pPr>
      <w:r w:rsidRPr="00643976">
        <w:rPr>
          <w:rFonts w:ascii="Arial" w:hAnsi="Arial" w:cs="Arial"/>
        </w:rPr>
        <w:t>El ADB ha comprometido 80 mil millones de dólares de 2019 a 2030 para combatir el cambio climático.</w:t>
      </w:r>
    </w:p>
    <w:p w:rsidR="00643976" w:rsidRPr="00643976" w:rsidRDefault="00643976" w:rsidP="00643976">
      <w:pPr>
        <w:numPr>
          <w:ilvl w:val="0"/>
          <w:numId w:val="4"/>
        </w:numPr>
        <w:jc w:val="both"/>
        <w:rPr>
          <w:rFonts w:ascii="Arial" w:hAnsi="Arial" w:cs="Arial"/>
        </w:rPr>
      </w:pPr>
      <w:r w:rsidRPr="00643976">
        <w:rPr>
          <w:rFonts w:ascii="Arial" w:hAnsi="Arial" w:cs="Arial"/>
        </w:rPr>
        <w:t>Los bancos centrales también están poniendo su dinero donde está su boca:</w:t>
      </w:r>
    </w:p>
    <w:p w:rsidR="00643976" w:rsidRPr="00643976" w:rsidRDefault="00643976" w:rsidP="00643976">
      <w:pPr>
        <w:numPr>
          <w:ilvl w:val="1"/>
          <w:numId w:val="4"/>
        </w:numPr>
        <w:jc w:val="both"/>
        <w:rPr>
          <w:rFonts w:ascii="Arial" w:hAnsi="Arial" w:cs="Arial"/>
        </w:rPr>
      </w:pPr>
      <w:r w:rsidRPr="00643976">
        <w:rPr>
          <w:rFonts w:ascii="Arial" w:hAnsi="Arial" w:cs="Arial"/>
        </w:rPr>
        <w:t>MAS ha comprometido 1.800 millones de dólares de sus reservas para inversiones relacionadas con el clima.</w:t>
      </w:r>
    </w:p>
    <w:p w:rsidR="00643976" w:rsidRPr="00643976" w:rsidRDefault="00643976" w:rsidP="00643976">
      <w:pPr>
        <w:numPr>
          <w:ilvl w:val="1"/>
          <w:numId w:val="4"/>
        </w:numPr>
        <w:jc w:val="both"/>
        <w:rPr>
          <w:rFonts w:ascii="Arial" w:hAnsi="Arial" w:cs="Arial"/>
        </w:rPr>
      </w:pPr>
      <w:r w:rsidRPr="00643976">
        <w:rPr>
          <w:rFonts w:ascii="Arial" w:hAnsi="Arial" w:cs="Arial"/>
        </w:rPr>
        <w:t>Estos fondos se colocarán con cinco administradores de activos para administrar nuevos mandatos de renta fija y renta variable centrados en el cambio climático y el medio ambiente.</w:t>
      </w:r>
    </w:p>
    <w:p w:rsidR="00643976" w:rsidRDefault="00643976" w:rsidP="00643976">
      <w:pPr>
        <w:jc w:val="both"/>
        <w:rPr>
          <w:rFonts w:ascii="Arial" w:hAnsi="Arial" w:cs="Arial"/>
        </w:rPr>
      </w:pPr>
    </w:p>
    <w:p w:rsidR="00643976" w:rsidRPr="00643976" w:rsidRDefault="00643976" w:rsidP="00643976">
      <w:pPr>
        <w:jc w:val="both"/>
        <w:rPr>
          <w:rFonts w:ascii="Arial" w:hAnsi="Arial" w:cs="Arial"/>
        </w:rPr>
      </w:pPr>
      <w:r w:rsidRPr="00643976">
        <w:rPr>
          <w:rFonts w:ascii="Arial" w:hAnsi="Arial" w:cs="Arial"/>
          <w:b/>
          <w:bCs/>
          <w:i/>
          <w:iCs/>
        </w:rPr>
        <w:t>La mala noticia es que las finanzas verdes no han podido alcanzar la escala requerida.</w:t>
      </w:r>
    </w:p>
    <w:p w:rsidR="00643976" w:rsidRPr="00643976" w:rsidRDefault="00643976" w:rsidP="00643976">
      <w:pPr>
        <w:numPr>
          <w:ilvl w:val="0"/>
          <w:numId w:val="5"/>
        </w:numPr>
        <w:jc w:val="both"/>
        <w:rPr>
          <w:rFonts w:ascii="Arial" w:hAnsi="Arial" w:cs="Arial"/>
        </w:rPr>
      </w:pPr>
      <w:r w:rsidRPr="00643976">
        <w:rPr>
          <w:rFonts w:ascii="Arial" w:hAnsi="Arial" w:cs="Arial"/>
        </w:rPr>
        <w:t>Según la Agencia Internacional de Energía, la inversión global en proyectos de energía debe duplicarse con creces su nivel actual para 2030 a fin de cumplir los objetivos de emisiones netas cero para 2050.</w:t>
      </w:r>
    </w:p>
    <w:p w:rsidR="00643976" w:rsidRPr="00643976" w:rsidRDefault="00643976" w:rsidP="00643976">
      <w:pPr>
        <w:numPr>
          <w:ilvl w:val="0"/>
          <w:numId w:val="5"/>
        </w:numPr>
        <w:jc w:val="both"/>
        <w:rPr>
          <w:rFonts w:ascii="Arial" w:hAnsi="Arial" w:cs="Arial"/>
        </w:rPr>
      </w:pPr>
      <w:r w:rsidRPr="00643976">
        <w:rPr>
          <w:rFonts w:ascii="Arial" w:hAnsi="Arial" w:cs="Arial"/>
        </w:rPr>
        <w:t>Según un estudio del Boston Consulting Group, el volumen de financiación climática tendrá que crecer durante las próximas tres décadas en aproximadamente cinco a ocho veces las cantidades recauda</w:t>
      </w:r>
      <w:r w:rsidR="00EA3132">
        <w:rPr>
          <w:rFonts w:ascii="Arial" w:hAnsi="Arial" w:cs="Arial"/>
        </w:rPr>
        <w:t>das actualmente.</w:t>
      </w:r>
      <w:r w:rsidR="00EA3132">
        <w:rPr>
          <w:rStyle w:val="Refdenotaalpie"/>
          <w:rFonts w:ascii="Arial" w:hAnsi="Arial" w:cs="Arial"/>
        </w:rPr>
        <w:footnoteReference w:id="3"/>
      </w:r>
    </w:p>
    <w:p w:rsidR="00643976" w:rsidRDefault="00643976" w:rsidP="00643976">
      <w:pPr>
        <w:jc w:val="both"/>
        <w:rPr>
          <w:rFonts w:ascii="Arial" w:hAnsi="Arial" w:cs="Arial"/>
        </w:rPr>
      </w:pPr>
    </w:p>
    <w:p w:rsidR="00EA3132" w:rsidRDefault="00EA3132" w:rsidP="00643976">
      <w:pPr>
        <w:jc w:val="both"/>
        <w:rPr>
          <w:rFonts w:ascii="Arial" w:hAnsi="Arial" w:cs="Arial"/>
          <w:b/>
          <w:bCs/>
        </w:rPr>
      </w:pPr>
    </w:p>
    <w:p w:rsidR="00643976" w:rsidRPr="00643976" w:rsidRDefault="00643976" w:rsidP="00643976">
      <w:pPr>
        <w:jc w:val="both"/>
        <w:rPr>
          <w:rFonts w:ascii="Arial" w:hAnsi="Arial" w:cs="Arial"/>
        </w:rPr>
      </w:pPr>
      <w:r w:rsidRPr="00643976">
        <w:rPr>
          <w:rFonts w:ascii="Arial" w:hAnsi="Arial" w:cs="Arial"/>
          <w:b/>
          <w:bCs/>
        </w:rPr>
        <w:lastRenderedPageBreak/>
        <w:t>EL DESAFÍO DE ARMAR UN FONDO DE BONOS ENFOCADO EN VERDE</w:t>
      </w:r>
    </w:p>
    <w:p w:rsidR="00643976" w:rsidRPr="00643976" w:rsidRDefault="00643976" w:rsidP="00643976">
      <w:pPr>
        <w:jc w:val="both"/>
        <w:rPr>
          <w:rFonts w:ascii="Arial" w:hAnsi="Arial" w:cs="Arial"/>
        </w:rPr>
      </w:pPr>
      <w:r w:rsidRPr="00643976">
        <w:rPr>
          <w:rFonts w:ascii="Arial" w:hAnsi="Arial" w:cs="Arial"/>
        </w:rPr>
        <w:t>¿Por qué ha sido difícil ampliar las finanzas verdes?</w:t>
      </w:r>
    </w:p>
    <w:p w:rsidR="00643976" w:rsidRPr="00643976" w:rsidRDefault="00643976" w:rsidP="00643976">
      <w:pPr>
        <w:jc w:val="both"/>
        <w:rPr>
          <w:rFonts w:ascii="Arial" w:hAnsi="Arial" w:cs="Arial"/>
        </w:rPr>
      </w:pPr>
      <w:r w:rsidRPr="00643976">
        <w:rPr>
          <w:rFonts w:ascii="Arial" w:hAnsi="Arial" w:cs="Arial"/>
          <w:b/>
          <w:bCs/>
          <w:i/>
          <w:iCs/>
        </w:rPr>
        <w:t>Tomemos, por ejemplo, un administrador de activos que busca establecer un fondo de bonos centrado en el medio ambiente.</w:t>
      </w:r>
    </w:p>
    <w:p w:rsidR="00643976" w:rsidRPr="00643976" w:rsidRDefault="00643976" w:rsidP="00643976">
      <w:pPr>
        <w:jc w:val="both"/>
        <w:rPr>
          <w:rFonts w:ascii="Arial" w:hAnsi="Arial" w:cs="Arial"/>
        </w:rPr>
      </w:pPr>
      <w:r w:rsidRPr="00643976">
        <w:rPr>
          <w:rFonts w:ascii="Arial" w:hAnsi="Arial" w:cs="Arial"/>
          <w:b/>
          <w:bCs/>
          <w:i/>
          <w:iCs/>
        </w:rPr>
        <w:t>Al construir la cartera, el administrador de activos debe verificar que el emisor de cada uno de los bonos subyacentes sea capaz de:</w:t>
      </w:r>
    </w:p>
    <w:p w:rsidR="00643976" w:rsidRPr="00643976" w:rsidRDefault="00643976" w:rsidP="00643976">
      <w:pPr>
        <w:numPr>
          <w:ilvl w:val="0"/>
          <w:numId w:val="6"/>
        </w:numPr>
        <w:jc w:val="both"/>
        <w:rPr>
          <w:rFonts w:ascii="Arial" w:hAnsi="Arial" w:cs="Arial"/>
        </w:rPr>
      </w:pPr>
      <w:r w:rsidRPr="00643976">
        <w:rPr>
          <w:rFonts w:ascii="Arial" w:hAnsi="Arial" w:cs="Arial"/>
        </w:rPr>
        <w:t>asegurarse de que las ganancias de los bonos se destinen claramente a proyectos que sean ecológicos;</w:t>
      </w:r>
    </w:p>
    <w:p w:rsidR="00643976" w:rsidRPr="00643976" w:rsidRDefault="00643976" w:rsidP="00643976">
      <w:pPr>
        <w:numPr>
          <w:ilvl w:val="0"/>
          <w:numId w:val="6"/>
        </w:numPr>
        <w:jc w:val="both"/>
        <w:rPr>
          <w:rFonts w:ascii="Arial" w:hAnsi="Arial" w:cs="Arial"/>
        </w:rPr>
      </w:pPr>
      <w:r w:rsidRPr="00643976">
        <w:rPr>
          <w:rFonts w:ascii="Arial" w:hAnsi="Arial" w:cs="Arial"/>
        </w:rPr>
        <w:t>evaluar los riesgos relacionados con el clima y los beneficios de estos proyectos; y</w:t>
      </w:r>
    </w:p>
    <w:p w:rsidR="00643976" w:rsidRPr="00643976" w:rsidRDefault="00643976" w:rsidP="00643976">
      <w:pPr>
        <w:numPr>
          <w:ilvl w:val="0"/>
          <w:numId w:val="6"/>
        </w:numPr>
        <w:jc w:val="both"/>
        <w:rPr>
          <w:rFonts w:ascii="Arial" w:hAnsi="Arial" w:cs="Arial"/>
        </w:rPr>
      </w:pPr>
      <w:r w:rsidRPr="00643976">
        <w:rPr>
          <w:rFonts w:ascii="Arial" w:hAnsi="Arial" w:cs="Arial"/>
        </w:rPr>
        <w:t>medir y reportar el impacto ambiental esperado de los proyectos.</w:t>
      </w:r>
    </w:p>
    <w:p w:rsidR="00643976" w:rsidRDefault="00643976" w:rsidP="00643976">
      <w:pPr>
        <w:jc w:val="both"/>
        <w:rPr>
          <w:rFonts w:ascii="Arial" w:hAnsi="Arial" w:cs="Arial"/>
        </w:rPr>
      </w:pPr>
    </w:p>
    <w:p w:rsidR="00643976" w:rsidRPr="00643976" w:rsidRDefault="00643976" w:rsidP="00643976">
      <w:pPr>
        <w:jc w:val="both"/>
        <w:rPr>
          <w:rFonts w:ascii="Arial" w:hAnsi="Arial" w:cs="Arial"/>
        </w:rPr>
      </w:pPr>
      <w:r w:rsidRPr="00643976">
        <w:rPr>
          <w:rFonts w:ascii="Arial" w:hAnsi="Arial" w:cs="Arial"/>
          <w:b/>
          <w:bCs/>
          <w:i/>
          <w:iCs/>
        </w:rPr>
        <w:t>El administrador de activos también debe evaluar las credenciales ecológicas de cada emisor; si se trata de:</w:t>
      </w:r>
    </w:p>
    <w:p w:rsidR="00643976" w:rsidRPr="00643976" w:rsidRDefault="00643976" w:rsidP="00643976">
      <w:pPr>
        <w:numPr>
          <w:ilvl w:val="0"/>
          <w:numId w:val="7"/>
        </w:numPr>
        <w:jc w:val="both"/>
        <w:rPr>
          <w:rFonts w:ascii="Arial" w:hAnsi="Arial" w:cs="Arial"/>
        </w:rPr>
      </w:pPr>
      <w:r w:rsidRPr="00643976">
        <w:rPr>
          <w:rFonts w:ascii="Arial" w:hAnsi="Arial" w:cs="Arial"/>
        </w:rPr>
        <w:t>expuestos a riesgos materiales físicos y de transición derivados del cambio climático;</w:t>
      </w:r>
    </w:p>
    <w:p w:rsidR="00643976" w:rsidRPr="00643976" w:rsidRDefault="00643976" w:rsidP="00643976">
      <w:pPr>
        <w:numPr>
          <w:ilvl w:val="0"/>
          <w:numId w:val="7"/>
        </w:numPr>
        <w:jc w:val="both"/>
        <w:rPr>
          <w:rFonts w:ascii="Arial" w:hAnsi="Arial" w:cs="Arial"/>
        </w:rPr>
      </w:pPr>
      <w:r w:rsidRPr="00643976">
        <w:rPr>
          <w:rFonts w:ascii="Arial" w:hAnsi="Arial" w:cs="Arial"/>
        </w:rPr>
        <w:t>tiene otras operaciones que pueden generar impactos ambientales negativos; y</w:t>
      </w:r>
    </w:p>
    <w:p w:rsidR="00643976" w:rsidRPr="00643976" w:rsidRDefault="00643976" w:rsidP="00643976">
      <w:pPr>
        <w:numPr>
          <w:ilvl w:val="0"/>
          <w:numId w:val="7"/>
        </w:numPr>
        <w:jc w:val="both"/>
        <w:rPr>
          <w:rFonts w:ascii="Arial" w:hAnsi="Arial" w:cs="Arial"/>
        </w:rPr>
      </w:pPr>
      <w:r w:rsidRPr="00643976">
        <w:rPr>
          <w:rFonts w:ascii="Arial" w:hAnsi="Arial" w:cs="Arial"/>
        </w:rPr>
        <w:t>tiene una estrategia holística de transición climática con objetivos e hitos claramente definidos supervisados ​​por un marco de gobernanza sólido.</w:t>
      </w:r>
    </w:p>
    <w:p w:rsidR="00EA3132" w:rsidRDefault="00EA3132" w:rsidP="00643976">
      <w:pPr>
        <w:jc w:val="both"/>
        <w:rPr>
          <w:rFonts w:ascii="Arial" w:hAnsi="Arial" w:cs="Arial"/>
          <w:b/>
          <w:bCs/>
          <w:i/>
          <w:iCs/>
        </w:rPr>
      </w:pPr>
    </w:p>
    <w:p w:rsidR="00643976" w:rsidRPr="00643976" w:rsidRDefault="00643976" w:rsidP="00643976">
      <w:pPr>
        <w:jc w:val="both"/>
        <w:rPr>
          <w:rFonts w:ascii="Arial" w:hAnsi="Arial" w:cs="Arial"/>
        </w:rPr>
      </w:pPr>
      <w:r w:rsidRPr="00643976">
        <w:rPr>
          <w:rFonts w:ascii="Arial" w:hAnsi="Arial" w:cs="Arial"/>
          <w:b/>
          <w:bCs/>
          <w:i/>
          <w:iCs/>
        </w:rPr>
        <w:t>El administrador de activos también deberá evaluar, monitorear y divulgar la alineación de la cartera con sus objetivos de sostenibilidad. </w:t>
      </w:r>
    </w:p>
    <w:p w:rsidR="00643976" w:rsidRPr="00643976" w:rsidRDefault="00643976" w:rsidP="00643976">
      <w:pPr>
        <w:numPr>
          <w:ilvl w:val="0"/>
          <w:numId w:val="8"/>
        </w:numPr>
        <w:jc w:val="both"/>
        <w:rPr>
          <w:rFonts w:ascii="Arial" w:hAnsi="Arial" w:cs="Arial"/>
        </w:rPr>
      </w:pPr>
      <w:r w:rsidRPr="00643976">
        <w:rPr>
          <w:rFonts w:ascii="Arial" w:hAnsi="Arial" w:cs="Arial"/>
        </w:rPr>
        <w:t>La métrica más directa para calcular y divulgar es la huella de carbono del fondo. </w:t>
      </w:r>
    </w:p>
    <w:p w:rsidR="00643976" w:rsidRPr="00643976" w:rsidRDefault="00643976" w:rsidP="00643976">
      <w:pPr>
        <w:numPr>
          <w:ilvl w:val="0"/>
          <w:numId w:val="8"/>
        </w:numPr>
        <w:jc w:val="both"/>
        <w:rPr>
          <w:rFonts w:ascii="Arial" w:hAnsi="Arial" w:cs="Arial"/>
        </w:rPr>
      </w:pPr>
      <w:r w:rsidRPr="00643976">
        <w:rPr>
          <w:rFonts w:ascii="Arial" w:hAnsi="Arial" w:cs="Arial"/>
        </w:rPr>
        <w:t>Pero los inversores también quieren conocer la trayectoria futura del carbono o las emisiones evitadas del fondo. Esto no es fácil dada la falta de divulgaciones estandarizadas por parte de las empresas. </w:t>
      </w:r>
    </w:p>
    <w:p w:rsidR="00643976" w:rsidRPr="00643976" w:rsidRDefault="00643976" w:rsidP="00643976">
      <w:pPr>
        <w:numPr>
          <w:ilvl w:val="0"/>
          <w:numId w:val="8"/>
        </w:numPr>
        <w:jc w:val="both"/>
        <w:rPr>
          <w:rFonts w:ascii="Arial" w:hAnsi="Arial" w:cs="Arial"/>
        </w:rPr>
      </w:pPr>
      <w:r w:rsidRPr="00643976">
        <w:rPr>
          <w:rFonts w:ascii="Arial" w:hAnsi="Arial" w:cs="Arial"/>
        </w:rPr>
        <w:t>El problema se ve agravado por la falta de estándares globales claros para medir los ahorros de las emisiones evitadas. </w:t>
      </w:r>
    </w:p>
    <w:p w:rsidR="00643976" w:rsidRDefault="00643976" w:rsidP="00643976">
      <w:pPr>
        <w:numPr>
          <w:ilvl w:val="0"/>
          <w:numId w:val="8"/>
        </w:numPr>
        <w:jc w:val="both"/>
        <w:rPr>
          <w:rFonts w:ascii="Arial" w:hAnsi="Arial" w:cs="Arial"/>
        </w:rPr>
      </w:pPr>
      <w:r w:rsidRPr="00643976">
        <w:rPr>
          <w:rFonts w:ascii="Arial" w:hAnsi="Arial" w:cs="Arial"/>
        </w:rPr>
        <w:t>Por último, las estimaciones de las vías de emisión futuras dependen en gran medida de las suposiciones realizadas para los escenarios climáticos, los desarrollos sectoriales y los efectos de la interacción humana.</w:t>
      </w:r>
    </w:p>
    <w:p w:rsidR="00643976" w:rsidRDefault="00643976" w:rsidP="00643976">
      <w:pPr>
        <w:jc w:val="both"/>
        <w:rPr>
          <w:rFonts w:ascii="Arial" w:hAnsi="Arial" w:cs="Arial"/>
        </w:rPr>
      </w:pPr>
    </w:p>
    <w:p w:rsidR="00EA3132" w:rsidRDefault="00EA3132" w:rsidP="00643976">
      <w:pPr>
        <w:jc w:val="both"/>
        <w:rPr>
          <w:rFonts w:ascii="Arial" w:hAnsi="Arial" w:cs="Arial"/>
          <w:b/>
          <w:bCs/>
        </w:rPr>
      </w:pPr>
    </w:p>
    <w:p w:rsidR="00EA3132" w:rsidRDefault="00EA3132" w:rsidP="00643976">
      <w:pPr>
        <w:jc w:val="both"/>
        <w:rPr>
          <w:rFonts w:ascii="Arial" w:hAnsi="Arial" w:cs="Arial"/>
          <w:b/>
          <w:bCs/>
        </w:rPr>
      </w:pPr>
    </w:p>
    <w:p w:rsidR="00EA3132" w:rsidRDefault="00EA3132" w:rsidP="00643976">
      <w:pPr>
        <w:jc w:val="both"/>
        <w:rPr>
          <w:rFonts w:ascii="Arial" w:hAnsi="Arial" w:cs="Arial"/>
          <w:b/>
          <w:bCs/>
        </w:rPr>
      </w:pPr>
    </w:p>
    <w:p w:rsidR="00643976" w:rsidRPr="00643976" w:rsidRDefault="00EA3132" w:rsidP="00643976">
      <w:pPr>
        <w:jc w:val="both"/>
        <w:rPr>
          <w:rFonts w:ascii="Arial" w:hAnsi="Arial" w:cs="Arial"/>
        </w:rPr>
      </w:pPr>
      <w:r>
        <w:rPr>
          <w:rFonts w:ascii="Arial" w:hAnsi="Arial" w:cs="Arial"/>
          <w:b/>
          <w:bCs/>
        </w:rPr>
        <w:lastRenderedPageBreak/>
        <w:t>L</w:t>
      </w:r>
      <w:r w:rsidR="00643976" w:rsidRPr="00643976">
        <w:rPr>
          <w:rFonts w:ascii="Arial" w:hAnsi="Arial" w:cs="Arial"/>
          <w:b/>
          <w:bCs/>
        </w:rPr>
        <w:t>AS TRES "D" A RESOLVER: DATOS, DEFINICIÓN, DIVULGACIÓN</w:t>
      </w:r>
    </w:p>
    <w:p w:rsidR="00643976" w:rsidRPr="00643976" w:rsidRDefault="00643976" w:rsidP="00643976">
      <w:pPr>
        <w:jc w:val="both"/>
        <w:rPr>
          <w:rFonts w:ascii="Arial" w:hAnsi="Arial" w:cs="Arial"/>
        </w:rPr>
      </w:pPr>
      <w:r w:rsidRPr="00643976">
        <w:rPr>
          <w:rFonts w:ascii="Arial" w:hAnsi="Arial" w:cs="Arial"/>
          <w:b/>
          <w:bCs/>
          <w:i/>
          <w:iCs/>
        </w:rPr>
        <w:t>Para que las finanzas verdes funcionen de manera eficaz, debemos resolver las tres "D": datos, definición y divulgación. </w:t>
      </w:r>
      <w:r w:rsidRPr="00643976">
        <w:rPr>
          <w:rFonts w:ascii="Arial" w:hAnsi="Arial" w:cs="Arial"/>
        </w:rPr>
        <w:t>Debemos:</w:t>
      </w:r>
    </w:p>
    <w:p w:rsidR="00643976" w:rsidRPr="00643976" w:rsidRDefault="00643976" w:rsidP="00643976">
      <w:pPr>
        <w:numPr>
          <w:ilvl w:val="0"/>
          <w:numId w:val="9"/>
        </w:numPr>
        <w:jc w:val="both"/>
        <w:rPr>
          <w:rFonts w:ascii="Arial" w:hAnsi="Arial" w:cs="Arial"/>
        </w:rPr>
      </w:pPr>
      <w:r w:rsidRPr="00643976">
        <w:rPr>
          <w:rFonts w:ascii="Arial" w:hAnsi="Arial" w:cs="Arial"/>
        </w:rPr>
        <w:t>mejorar la calidad, disponibilidad y comparabilidad de los datos;</w:t>
      </w:r>
    </w:p>
    <w:p w:rsidR="00643976" w:rsidRPr="00643976" w:rsidRDefault="00643976" w:rsidP="00643976">
      <w:pPr>
        <w:numPr>
          <w:ilvl w:val="0"/>
          <w:numId w:val="9"/>
        </w:numPr>
        <w:jc w:val="both"/>
        <w:rPr>
          <w:rFonts w:ascii="Arial" w:hAnsi="Arial" w:cs="Arial"/>
        </w:rPr>
      </w:pPr>
      <w:r w:rsidRPr="00643976">
        <w:rPr>
          <w:rFonts w:ascii="Arial" w:hAnsi="Arial" w:cs="Arial"/>
        </w:rPr>
        <w:t>desarrollar definiciones o taxonomías compatibles para actividades verdes y de transición; y</w:t>
      </w:r>
    </w:p>
    <w:p w:rsidR="00643976" w:rsidRPr="00643976" w:rsidRDefault="00643976" w:rsidP="00643976">
      <w:pPr>
        <w:numPr>
          <w:ilvl w:val="0"/>
          <w:numId w:val="9"/>
        </w:numPr>
        <w:jc w:val="both"/>
        <w:rPr>
          <w:rFonts w:ascii="Arial" w:hAnsi="Arial" w:cs="Arial"/>
        </w:rPr>
      </w:pPr>
      <w:r w:rsidRPr="00643976">
        <w:rPr>
          <w:rFonts w:ascii="Arial" w:hAnsi="Arial" w:cs="Arial"/>
        </w:rPr>
        <w:t>Implementar un conjunto consistente de estándares globales para divulgaciones e informes.</w:t>
      </w:r>
    </w:p>
    <w:p w:rsidR="00643976" w:rsidRPr="00643976" w:rsidRDefault="00643976" w:rsidP="00643976">
      <w:pPr>
        <w:jc w:val="both"/>
        <w:rPr>
          <w:rFonts w:ascii="Arial" w:hAnsi="Arial" w:cs="Arial"/>
        </w:rPr>
      </w:pPr>
      <w:r w:rsidRPr="00643976">
        <w:rPr>
          <w:rFonts w:ascii="Arial" w:hAnsi="Arial" w:cs="Arial"/>
          <w:b/>
          <w:bCs/>
          <w:i/>
          <w:iCs/>
        </w:rPr>
        <w:t>Datos confiables y comparables</w:t>
      </w:r>
    </w:p>
    <w:p w:rsidR="00643976" w:rsidRPr="00643976" w:rsidRDefault="00643976" w:rsidP="00643976">
      <w:pPr>
        <w:jc w:val="both"/>
        <w:rPr>
          <w:rFonts w:ascii="Arial" w:hAnsi="Arial" w:cs="Arial"/>
        </w:rPr>
      </w:pPr>
      <w:r w:rsidRPr="00643976">
        <w:rPr>
          <w:rFonts w:ascii="Arial" w:hAnsi="Arial" w:cs="Arial"/>
          <w:b/>
          <w:bCs/>
          <w:i/>
          <w:iCs/>
        </w:rPr>
        <w:t>Para evaluar la exposición de las empresas a los riesgos físicos y de transición, y para valorar adecuadamente los préstamos o las inversiones sostenibles, los prestamistas e inversores necesitan datos fiables y comparables.</w:t>
      </w:r>
    </w:p>
    <w:p w:rsidR="00643976" w:rsidRPr="00643976" w:rsidRDefault="00643976" w:rsidP="00643976">
      <w:pPr>
        <w:numPr>
          <w:ilvl w:val="0"/>
          <w:numId w:val="10"/>
        </w:numPr>
        <w:jc w:val="both"/>
        <w:rPr>
          <w:rFonts w:ascii="Arial" w:hAnsi="Arial" w:cs="Arial"/>
        </w:rPr>
      </w:pPr>
      <w:r w:rsidRPr="00643976">
        <w:rPr>
          <w:rFonts w:ascii="Arial" w:hAnsi="Arial" w:cs="Arial"/>
        </w:rPr>
        <w:t>Algunos de los datos clave relacionados con el clima que se requieren incluyen:</w:t>
      </w:r>
    </w:p>
    <w:p w:rsidR="00643976" w:rsidRPr="00643976" w:rsidRDefault="00643976" w:rsidP="00643976">
      <w:pPr>
        <w:numPr>
          <w:ilvl w:val="1"/>
          <w:numId w:val="10"/>
        </w:numPr>
        <w:jc w:val="both"/>
        <w:rPr>
          <w:rFonts w:ascii="Arial" w:hAnsi="Arial" w:cs="Arial"/>
        </w:rPr>
      </w:pPr>
      <w:r w:rsidRPr="00643976">
        <w:rPr>
          <w:rFonts w:ascii="Arial" w:hAnsi="Arial" w:cs="Arial"/>
        </w:rPr>
        <w:t>las trayectorias de emisiones futuras del prestatario o emisor y si están encaminadas hacia un camino sostenible alineado con París; y</w:t>
      </w:r>
    </w:p>
    <w:p w:rsidR="00643976" w:rsidRPr="00643976" w:rsidRDefault="00643976" w:rsidP="00643976">
      <w:pPr>
        <w:numPr>
          <w:ilvl w:val="1"/>
          <w:numId w:val="10"/>
        </w:numPr>
        <w:jc w:val="both"/>
        <w:rPr>
          <w:rFonts w:ascii="Arial" w:hAnsi="Arial" w:cs="Arial"/>
        </w:rPr>
      </w:pPr>
      <w:r w:rsidRPr="00643976">
        <w:rPr>
          <w:rFonts w:ascii="Arial" w:hAnsi="Arial" w:cs="Arial"/>
        </w:rPr>
        <w:t>exhaustivas emisiones de Alcance 3, que nos ayudan a comprender las emisiones del ciclo de vida a lo largo de las cadenas de valor de las empresas.</w:t>
      </w:r>
    </w:p>
    <w:p w:rsidR="00643976" w:rsidRPr="00643976" w:rsidRDefault="00643976" w:rsidP="00643976">
      <w:pPr>
        <w:jc w:val="both"/>
        <w:rPr>
          <w:rFonts w:ascii="Arial" w:hAnsi="Arial" w:cs="Arial"/>
        </w:rPr>
      </w:pPr>
      <w:r w:rsidRPr="00643976">
        <w:rPr>
          <w:rFonts w:ascii="Arial" w:hAnsi="Arial" w:cs="Arial"/>
          <w:b/>
          <w:bCs/>
          <w:i/>
          <w:iCs/>
        </w:rPr>
        <w:t>Pero la gran mayoría de las empresas no proporcionan dicha información, incluso aquellas que han establecido objetivos de reducción de emisiones.</w:t>
      </w:r>
    </w:p>
    <w:p w:rsidR="00643976" w:rsidRPr="00643976" w:rsidRDefault="00643976" w:rsidP="00643976">
      <w:pPr>
        <w:numPr>
          <w:ilvl w:val="0"/>
          <w:numId w:val="11"/>
        </w:numPr>
        <w:jc w:val="both"/>
        <w:rPr>
          <w:rFonts w:ascii="Arial" w:hAnsi="Arial" w:cs="Arial"/>
        </w:rPr>
      </w:pPr>
      <w:r w:rsidRPr="00643976">
        <w:rPr>
          <w:rFonts w:ascii="Arial" w:hAnsi="Arial" w:cs="Arial"/>
        </w:rPr>
        <w:t>El proceso de adquisición de datos de sostenibilidad sigue siendo manual, engorroso y costoso.</w:t>
      </w:r>
    </w:p>
    <w:p w:rsidR="00643976" w:rsidRPr="00643976" w:rsidRDefault="00643976" w:rsidP="00643976">
      <w:pPr>
        <w:numPr>
          <w:ilvl w:val="0"/>
          <w:numId w:val="11"/>
        </w:numPr>
        <w:jc w:val="both"/>
        <w:rPr>
          <w:rFonts w:ascii="Arial" w:hAnsi="Arial" w:cs="Arial"/>
        </w:rPr>
      </w:pPr>
      <w:r w:rsidRPr="00643976">
        <w:rPr>
          <w:rFonts w:ascii="Arial" w:hAnsi="Arial" w:cs="Arial"/>
        </w:rPr>
        <w:t>También existe una falta de transparencia en el proceso de verificación y notificación de dichos datos.</w:t>
      </w:r>
    </w:p>
    <w:p w:rsidR="00643976" w:rsidRPr="00643976" w:rsidRDefault="00643976" w:rsidP="00643976">
      <w:pPr>
        <w:jc w:val="both"/>
        <w:rPr>
          <w:rFonts w:ascii="Arial" w:hAnsi="Arial" w:cs="Arial"/>
        </w:rPr>
      </w:pPr>
      <w:r w:rsidRPr="00643976">
        <w:rPr>
          <w:rFonts w:ascii="Arial" w:hAnsi="Arial" w:cs="Arial"/>
          <w:b/>
          <w:bCs/>
          <w:i/>
          <w:iCs/>
        </w:rPr>
        <w:t>En el lado positivo, existen esfuerzos concertados a nivel mundial para resolver el problema de los datos.</w:t>
      </w:r>
    </w:p>
    <w:p w:rsidR="00643976" w:rsidRPr="00643976" w:rsidRDefault="00643976" w:rsidP="00643976">
      <w:pPr>
        <w:numPr>
          <w:ilvl w:val="0"/>
          <w:numId w:val="12"/>
        </w:numPr>
        <w:jc w:val="both"/>
        <w:rPr>
          <w:rFonts w:ascii="Arial" w:hAnsi="Arial" w:cs="Arial"/>
        </w:rPr>
      </w:pPr>
      <w:r w:rsidRPr="00643976">
        <w:rPr>
          <w:rFonts w:ascii="Arial" w:hAnsi="Arial" w:cs="Arial"/>
        </w:rPr>
        <w:t>El FMI, el FSB, la OCDE y la NGFS, o Network for Greening the Financial System, están trabajando activamente para abordar las lagunas de datos en las finanzas verdes. </w:t>
      </w:r>
    </w:p>
    <w:p w:rsidR="00643976" w:rsidRPr="00643976" w:rsidRDefault="00643976" w:rsidP="00643976">
      <w:pPr>
        <w:numPr>
          <w:ilvl w:val="0"/>
          <w:numId w:val="12"/>
        </w:numPr>
        <w:jc w:val="both"/>
        <w:rPr>
          <w:rFonts w:ascii="Arial" w:hAnsi="Arial" w:cs="Arial"/>
        </w:rPr>
      </w:pPr>
      <w:r w:rsidRPr="00643976">
        <w:rPr>
          <w:rFonts w:ascii="Arial" w:hAnsi="Arial" w:cs="Arial"/>
        </w:rPr>
        <w:t>El NGFS ha adoptado un enfoque específico al centrarse en casos de uso específicos y métricas asociadas. También está examinando el concepto de repositorios disponibles públicamente como una forma de señalar a los usuarios los datos existentes relacionados con el clima y ayudarlos a acceder a fuentes de datos relevantes.</w:t>
      </w:r>
    </w:p>
    <w:p w:rsidR="00643976" w:rsidRPr="00643976" w:rsidRDefault="00643976" w:rsidP="00643976">
      <w:pPr>
        <w:numPr>
          <w:ilvl w:val="0"/>
          <w:numId w:val="12"/>
        </w:numPr>
        <w:jc w:val="both"/>
        <w:rPr>
          <w:rFonts w:ascii="Arial" w:hAnsi="Arial" w:cs="Arial"/>
        </w:rPr>
      </w:pPr>
      <w:r w:rsidRPr="00643976">
        <w:rPr>
          <w:rFonts w:ascii="Arial" w:hAnsi="Arial" w:cs="Arial"/>
        </w:rPr>
        <w:t>El FMI ha creado un tablero de indicadores de cambio climático que reúne los datos relacionados con el clima necesarios para el análisis de políticas macroeconómicas y financieras.</w:t>
      </w:r>
    </w:p>
    <w:p w:rsidR="00643976" w:rsidRPr="00643976" w:rsidRDefault="00643976" w:rsidP="00643976">
      <w:pPr>
        <w:jc w:val="both"/>
        <w:rPr>
          <w:rFonts w:ascii="Arial" w:hAnsi="Arial" w:cs="Arial"/>
        </w:rPr>
      </w:pPr>
      <w:r w:rsidRPr="00643976">
        <w:rPr>
          <w:rFonts w:ascii="Arial" w:hAnsi="Arial" w:cs="Arial"/>
          <w:b/>
          <w:bCs/>
          <w:i/>
          <w:iCs/>
        </w:rPr>
        <w:lastRenderedPageBreak/>
        <w:t>La tecnología puede cambiar las reglas del juego a la hora de abordar algunos de los desafíos relacionados con los datos.</w:t>
      </w:r>
    </w:p>
    <w:p w:rsidR="00643976" w:rsidRPr="00643976" w:rsidRDefault="00643976" w:rsidP="00643976">
      <w:pPr>
        <w:numPr>
          <w:ilvl w:val="0"/>
          <w:numId w:val="13"/>
        </w:numPr>
        <w:jc w:val="both"/>
        <w:rPr>
          <w:rFonts w:ascii="Arial" w:hAnsi="Arial" w:cs="Arial"/>
        </w:rPr>
      </w:pPr>
      <w:r w:rsidRPr="00643976">
        <w:rPr>
          <w:rFonts w:ascii="Arial" w:hAnsi="Arial" w:cs="Arial"/>
        </w:rPr>
        <w:t>Ofrece la posibilidad de capturar datos de una manera más conectada y eficiente.</w:t>
      </w:r>
    </w:p>
    <w:p w:rsidR="00643976" w:rsidRPr="00643976" w:rsidRDefault="00643976" w:rsidP="00643976">
      <w:pPr>
        <w:numPr>
          <w:ilvl w:val="0"/>
          <w:numId w:val="13"/>
        </w:numPr>
        <w:jc w:val="both"/>
        <w:rPr>
          <w:rFonts w:ascii="Arial" w:hAnsi="Arial" w:cs="Arial"/>
        </w:rPr>
      </w:pPr>
      <w:r w:rsidRPr="00643976">
        <w:rPr>
          <w:rFonts w:ascii="Arial" w:hAnsi="Arial" w:cs="Arial"/>
        </w:rPr>
        <w:t>Algunos ejemplos:</w:t>
      </w:r>
    </w:p>
    <w:p w:rsidR="00643976" w:rsidRPr="00643976" w:rsidRDefault="00643976" w:rsidP="00643976">
      <w:pPr>
        <w:numPr>
          <w:ilvl w:val="1"/>
          <w:numId w:val="13"/>
        </w:numPr>
        <w:jc w:val="both"/>
        <w:rPr>
          <w:rFonts w:ascii="Arial" w:hAnsi="Arial" w:cs="Arial"/>
        </w:rPr>
      </w:pPr>
      <w:r w:rsidRPr="00643976">
        <w:rPr>
          <w:rFonts w:ascii="Arial" w:hAnsi="Arial" w:cs="Arial"/>
        </w:rPr>
        <w:t>Interfaces de programación de aplicaciones, o API, para conectarse directamente a los sistemas de infraestructura y recuperar datos relevantes de consumo de energía y medioambientales;</w:t>
      </w:r>
    </w:p>
    <w:p w:rsidR="00643976" w:rsidRPr="00643976" w:rsidRDefault="00643976" w:rsidP="00643976">
      <w:pPr>
        <w:numPr>
          <w:ilvl w:val="1"/>
          <w:numId w:val="13"/>
        </w:numPr>
        <w:jc w:val="both"/>
        <w:rPr>
          <w:rFonts w:ascii="Arial" w:hAnsi="Arial" w:cs="Arial"/>
        </w:rPr>
      </w:pPr>
      <w:r w:rsidRPr="00643976">
        <w:rPr>
          <w:rFonts w:ascii="Arial" w:hAnsi="Arial" w:cs="Arial"/>
        </w:rPr>
        <w:t>Internet de las cosas, o IoT, dispositivos y sensores para medir las emisiones de carbono y los niveles de contaminación directamente en la fuente y en tiempo real;</w:t>
      </w:r>
    </w:p>
    <w:p w:rsidR="00643976" w:rsidRPr="00643976" w:rsidRDefault="00643976" w:rsidP="00643976">
      <w:pPr>
        <w:numPr>
          <w:ilvl w:val="1"/>
          <w:numId w:val="13"/>
        </w:numPr>
        <w:jc w:val="both"/>
        <w:rPr>
          <w:rFonts w:ascii="Arial" w:hAnsi="Arial" w:cs="Arial"/>
        </w:rPr>
      </w:pPr>
      <w:r w:rsidRPr="00643976">
        <w:rPr>
          <w:rFonts w:ascii="Arial" w:hAnsi="Arial" w:cs="Arial"/>
        </w:rPr>
        <w:t>plataformas basadas en blockchain para garantizar la procedencia de las certificaciones ESG; y</w:t>
      </w:r>
    </w:p>
    <w:p w:rsidR="00643976" w:rsidRPr="00643976" w:rsidRDefault="00643976" w:rsidP="00643976">
      <w:pPr>
        <w:numPr>
          <w:ilvl w:val="1"/>
          <w:numId w:val="13"/>
        </w:numPr>
        <w:jc w:val="both"/>
        <w:rPr>
          <w:rFonts w:ascii="Arial" w:hAnsi="Arial" w:cs="Arial"/>
        </w:rPr>
      </w:pPr>
      <w:r w:rsidRPr="00643976">
        <w:rPr>
          <w:rFonts w:ascii="Arial" w:hAnsi="Arial" w:cs="Arial"/>
        </w:rPr>
        <w:t>procesamiento de lenguaje natural para analizar informes para destilar y analizar información relevante relacionada con la sostenibilidad.</w:t>
      </w:r>
    </w:p>
    <w:p w:rsidR="00EA3132" w:rsidRDefault="00EA3132" w:rsidP="00EA3132">
      <w:pPr>
        <w:jc w:val="both"/>
        <w:rPr>
          <w:rFonts w:ascii="Arial" w:hAnsi="Arial" w:cs="Arial"/>
          <w:b/>
          <w:bCs/>
        </w:rPr>
      </w:pPr>
    </w:p>
    <w:p w:rsidR="00EA3132" w:rsidRPr="00EA3132" w:rsidRDefault="00EA3132" w:rsidP="00EA3132">
      <w:pPr>
        <w:jc w:val="both"/>
        <w:rPr>
          <w:rFonts w:ascii="Arial" w:hAnsi="Arial" w:cs="Arial"/>
        </w:rPr>
      </w:pPr>
      <w:r w:rsidRPr="00EA3132">
        <w:rPr>
          <w:rFonts w:ascii="Arial" w:hAnsi="Arial" w:cs="Arial"/>
          <w:b/>
          <w:bCs/>
        </w:rPr>
        <w:t>MAS lanzó recientemente el Proyecto Greenprint, que tiene como objetivo aprovechar la tecnología y los datos para respaldar el ecosistema de finanzas verdes. </w:t>
      </w:r>
      <w:r w:rsidRPr="00EA3132">
        <w:rPr>
          <w:rFonts w:ascii="Arial" w:hAnsi="Arial" w:cs="Arial"/>
        </w:rPr>
        <w:t>MAS está trabajando con la industria financiera para establecer plataformas de datos para:</w:t>
      </w:r>
    </w:p>
    <w:p w:rsidR="00EA3132" w:rsidRPr="00EA3132" w:rsidRDefault="00EA3132" w:rsidP="00EA3132">
      <w:pPr>
        <w:numPr>
          <w:ilvl w:val="0"/>
          <w:numId w:val="14"/>
        </w:numPr>
        <w:jc w:val="both"/>
        <w:rPr>
          <w:rFonts w:ascii="Arial" w:hAnsi="Arial" w:cs="Arial"/>
        </w:rPr>
      </w:pPr>
      <w:r w:rsidRPr="00EA3132">
        <w:rPr>
          <w:rFonts w:ascii="Arial" w:hAnsi="Arial" w:cs="Arial"/>
        </w:rPr>
        <w:t>movilizar capital para proyectos ecológicos en sectores seleccionados como la construcción, la agricultura y el marítimo;</w:t>
      </w:r>
    </w:p>
    <w:p w:rsidR="00EA3132" w:rsidRPr="00EA3132" w:rsidRDefault="00EA3132" w:rsidP="00EA3132">
      <w:pPr>
        <w:numPr>
          <w:ilvl w:val="0"/>
          <w:numId w:val="14"/>
        </w:numPr>
        <w:jc w:val="both"/>
        <w:rPr>
          <w:rFonts w:ascii="Arial" w:hAnsi="Arial" w:cs="Arial"/>
        </w:rPr>
      </w:pPr>
      <w:r w:rsidRPr="00EA3132">
        <w:rPr>
          <w:rFonts w:ascii="Arial" w:hAnsi="Arial" w:cs="Arial"/>
        </w:rPr>
        <w:t>facilitar la adquisición y certificación de datos relevantes para el clima de estos proyectos;</w:t>
      </w:r>
    </w:p>
    <w:p w:rsidR="00EA3132" w:rsidRPr="00EA3132" w:rsidRDefault="00EA3132" w:rsidP="00EA3132">
      <w:pPr>
        <w:numPr>
          <w:ilvl w:val="0"/>
          <w:numId w:val="14"/>
        </w:numPr>
        <w:jc w:val="both"/>
        <w:rPr>
          <w:rFonts w:ascii="Arial" w:hAnsi="Arial" w:cs="Arial"/>
        </w:rPr>
      </w:pPr>
      <w:r w:rsidRPr="00EA3132">
        <w:rPr>
          <w:rFonts w:ascii="Arial" w:hAnsi="Arial" w:cs="Arial"/>
        </w:rPr>
        <w:t>monitorear sus compromisos de reducción de emisiones; y</w:t>
      </w:r>
    </w:p>
    <w:p w:rsidR="00EA3132" w:rsidRPr="00EA3132" w:rsidRDefault="00EA3132" w:rsidP="00EA3132">
      <w:pPr>
        <w:numPr>
          <w:ilvl w:val="0"/>
          <w:numId w:val="14"/>
        </w:numPr>
        <w:jc w:val="both"/>
        <w:rPr>
          <w:rFonts w:ascii="Arial" w:hAnsi="Arial" w:cs="Arial"/>
        </w:rPr>
      </w:pPr>
      <w:r w:rsidRPr="00EA3132">
        <w:rPr>
          <w:rFonts w:ascii="Arial" w:hAnsi="Arial" w:cs="Arial"/>
        </w:rPr>
        <w:t>cuantificar el impacto de los esfuerzos de mitigación de los proyectos.</w:t>
      </w:r>
    </w:p>
    <w:p w:rsidR="00EA3132" w:rsidRDefault="00EA3132" w:rsidP="00EA3132">
      <w:pPr>
        <w:jc w:val="both"/>
        <w:rPr>
          <w:rFonts w:ascii="Arial" w:hAnsi="Arial" w:cs="Arial"/>
          <w:b/>
          <w:bCs/>
          <w:i/>
          <w:iCs/>
        </w:rPr>
      </w:pPr>
    </w:p>
    <w:p w:rsidR="00EA3132" w:rsidRPr="00EA3132" w:rsidRDefault="00EA3132" w:rsidP="00EA3132">
      <w:pPr>
        <w:jc w:val="both"/>
        <w:rPr>
          <w:rFonts w:ascii="Arial" w:hAnsi="Arial" w:cs="Arial"/>
        </w:rPr>
      </w:pPr>
      <w:r w:rsidRPr="00EA3132">
        <w:rPr>
          <w:rFonts w:ascii="Arial" w:hAnsi="Arial" w:cs="Arial"/>
          <w:b/>
          <w:bCs/>
          <w:i/>
          <w:iCs/>
        </w:rPr>
        <w:t>Definiciones o taxonomías compatibles</w:t>
      </w:r>
    </w:p>
    <w:p w:rsidR="00EA3132" w:rsidRPr="00EA3132" w:rsidRDefault="00EA3132" w:rsidP="00EA3132">
      <w:pPr>
        <w:jc w:val="both"/>
        <w:rPr>
          <w:rFonts w:ascii="Arial" w:hAnsi="Arial" w:cs="Arial"/>
        </w:rPr>
      </w:pPr>
      <w:r w:rsidRPr="00EA3132">
        <w:rPr>
          <w:rFonts w:ascii="Arial" w:hAnsi="Arial" w:cs="Arial"/>
          <w:b/>
          <w:bCs/>
          <w:i/>
          <w:iCs/>
        </w:rPr>
        <w:t>Para desbloquear las finanzas sostenibles, necesitamos definiciones o taxonomías comunes para las actividades que contribuyen a los objetivos climáticos.</w:t>
      </w:r>
    </w:p>
    <w:p w:rsidR="00EA3132" w:rsidRPr="00EA3132" w:rsidRDefault="00EA3132" w:rsidP="00EA3132">
      <w:pPr>
        <w:numPr>
          <w:ilvl w:val="0"/>
          <w:numId w:val="15"/>
        </w:numPr>
        <w:jc w:val="both"/>
        <w:rPr>
          <w:rFonts w:ascii="Arial" w:hAnsi="Arial" w:cs="Arial"/>
        </w:rPr>
      </w:pPr>
      <w:r w:rsidRPr="00EA3132">
        <w:rPr>
          <w:rFonts w:ascii="Arial" w:hAnsi="Arial" w:cs="Arial"/>
        </w:rPr>
        <w:t>Es poco probable que tengamos una taxonomía global única.</w:t>
      </w:r>
    </w:p>
    <w:p w:rsidR="00EA3132" w:rsidRPr="00EA3132" w:rsidRDefault="00EA3132" w:rsidP="00EA3132">
      <w:pPr>
        <w:numPr>
          <w:ilvl w:val="0"/>
          <w:numId w:val="15"/>
        </w:numPr>
        <w:jc w:val="both"/>
        <w:rPr>
          <w:rFonts w:ascii="Arial" w:hAnsi="Arial" w:cs="Arial"/>
        </w:rPr>
      </w:pPr>
      <w:r w:rsidRPr="00EA3132">
        <w:rPr>
          <w:rFonts w:ascii="Arial" w:hAnsi="Arial" w:cs="Arial"/>
        </w:rPr>
        <w:t>Pero a medida que más jurisdicciones desarrollen sus propias taxonomías, debemos asegurarnos de que sean compatibles o interoperables.</w:t>
      </w:r>
    </w:p>
    <w:p w:rsidR="00EA3132" w:rsidRPr="00EA3132" w:rsidRDefault="00EA3132" w:rsidP="00EA3132">
      <w:pPr>
        <w:numPr>
          <w:ilvl w:val="0"/>
          <w:numId w:val="15"/>
        </w:numPr>
        <w:jc w:val="both"/>
        <w:rPr>
          <w:rFonts w:ascii="Arial" w:hAnsi="Arial" w:cs="Arial"/>
        </w:rPr>
      </w:pPr>
      <w:r w:rsidRPr="00EA3132">
        <w:rPr>
          <w:rFonts w:ascii="Arial" w:hAnsi="Arial" w:cs="Arial"/>
        </w:rPr>
        <w:t>De lo contrario, los flujos de financiación verde transfronteriza se verán gravemente limitados.</w:t>
      </w:r>
    </w:p>
    <w:p w:rsidR="00EA3132" w:rsidRDefault="00EA3132" w:rsidP="00EA3132">
      <w:pPr>
        <w:jc w:val="both"/>
        <w:rPr>
          <w:rFonts w:ascii="Arial" w:hAnsi="Arial" w:cs="Arial"/>
          <w:b/>
          <w:bCs/>
          <w:i/>
          <w:iCs/>
        </w:rPr>
      </w:pPr>
    </w:p>
    <w:p w:rsidR="00EA3132" w:rsidRPr="00EA3132" w:rsidRDefault="00EA3132" w:rsidP="00EA3132">
      <w:pPr>
        <w:jc w:val="both"/>
        <w:rPr>
          <w:rFonts w:ascii="Arial" w:hAnsi="Arial" w:cs="Arial"/>
        </w:rPr>
      </w:pPr>
      <w:r w:rsidRPr="00EA3132">
        <w:rPr>
          <w:rFonts w:ascii="Arial" w:hAnsi="Arial" w:cs="Arial"/>
          <w:b/>
          <w:bCs/>
          <w:i/>
          <w:iCs/>
        </w:rPr>
        <w:lastRenderedPageBreak/>
        <w:t>En particular, existe la oportunidad de desarrollar definiciones claras de qué actividades deben considerarse actividades de transición.</w:t>
      </w:r>
    </w:p>
    <w:p w:rsidR="00EA3132" w:rsidRPr="00EA3132" w:rsidRDefault="00EA3132" w:rsidP="00EA3132">
      <w:pPr>
        <w:numPr>
          <w:ilvl w:val="0"/>
          <w:numId w:val="16"/>
        </w:numPr>
        <w:jc w:val="both"/>
        <w:rPr>
          <w:rFonts w:ascii="Arial" w:hAnsi="Arial" w:cs="Arial"/>
        </w:rPr>
      </w:pPr>
      <w:r w:rsidRPr="00EA3132">
        <w:rPr>
          <w:rFonts w:ascii="Arial" w:hAnsi="Arial" w:cs="Arial"/>
        </w:rPr>
        <w:t>Esto apoyará a las economías que se encuentran en diferentes etapas en el camino hacia el cero neto.</w:t>
      </w:r>
    </w:p>
    <w:p w:rsidR="00EA3132" w:rsidRPr="00EA3132" w:rsidRDefault="00EA3132" w:rsidP="00EA3132">
      <w:pPr>
        <w:numPr>
          <w:ilvl w:val="0"/>
          <w:numId w:val="16"/>
        </w:numPr>
        <w:jc w:val="both"/>
        <w:rPr>
          <w:rFonts w:ascii="Arial" w:hAnsi="Arial" w:cs="Arial"/>
        </w:rPr>
      </w:pPr>
      <w:r w:rsidRPr="00EA3132">
        <w:rPr>
          <w:rFonts w:ascii="Arial" w:hAnsi="Arial" w:cs="Arial"/>
        </w:rPr>
        <w:t>La movilización de fondos para actividades de transición moverá la aguja de la acción climática, especialmente en Asia, donde muchos sectores todavía son intensivos en emisiones y existe la necesidad de apoyar el desarrollo sostenible.</w:t>
      </w:r>
    </w:p>
    <w:p w:rsidR="00EA3132" w:rsidRDefault="00EA3132" w:rsidP="00EA3132">
      <w:pPr>
        <w:jc w:val="both"/>
        <w:rPr>
          <w:rFonts w:ascii="Arial" w:hAnsi="Arial" w:cs="Arial"/>
          <w:b/>
          <w:bCs/>
          <w:i/>
          <w:iCs/>
        </w:rPr>
      </w:pPr>
    </w:p>
    <w:p w:rsidR="00EA3132" w:rsidRPr="00EA3132" w:rsidRDefault="00EA3132" w:rsidP="00EA3132">
      <w:pPr>
        <w:jc w:val="both"/>
        <w:rPr>
          <w:rFonts w:ascii="Arial" w:hAnsi="Arial" w:cs="Arial"/>
        </w:rPr>
      </w:pPr>
      <w:r w:rsidRPr="00EA3132">
        <w:rPr>
          <w:rFonts w:ascii="Arial" w:hAnsi="Arial" w:cs="Arial"/>
          <w:b/>
          <w:bCs/>
          <w:i/>
          <w:iCs/>
        </w:rPr>
        <w:t>En Singapur, el Grupo de Trabajo de la Industria de Finanzas Verdes convocado por MAS está desarrollando su taxonomía propuesta para actividades verdes y de transición.</w:t>
      </w:r>
    </w:p>
    <w:p w:rsidR="00EA3132" w:rsidRPr="00EA3132" w:rsidRDefault="00EA3132" w:rsidP="00EA3132">
      <w:pPr>
        <w:numPr>
          <w:ilvl w:val="0"/>
          <w:numId w:val="17"/>
        </w:numPr>
        <w:jc w:val="both"/>
        <w:rPr>
          <w:rFonts w:ascii="Arial" w:hAnsi="Arial" w:cs="Arial"/>
        </w:rPr>
      </w:pPr>
      <w:r w:rsidRPr="00EA3132">
        <w:rPr>
          <w:rFonts w:ascii="Arial" w:hAnsi="Arial" w:cs="Arial"/>
        </w:rPr>
        <w:t>El grupo de trabajo ha emitido para consulta un sistema de "semáforo" propuesto para clasificar las actividades sostenibles como verdes, las actividades de transición como amarillas y las actividades no sostenibles como rojas.</w:t>
      </w:r>
    </w:p>
    <w:p w:rsidR="00EA3132" w:rsidRPr="00EA3132" w:rsidRDefault="00EA3132" w:rsidP="00EA3132">
      <w:pPr>
        <w:numPr>
          <w:ilvl w:val="0"/>
          <w:numId w:val="17"/>
        </w:numPr>
        <w:jc w:val="both"/>
        <w:rPr>
          <w:rFonts w:ascii="Arial" w:hAnsi="Arial" w:cs="Arial"/>
        </w:rPr>
      </w:pPr>
      <w:r w:rsidRPr="00EA3132">
        <w:rPr>
          <w:rFonts w:ascii="Arial" w:hAnsi="Arial" w:cs="Arial"/>
        </w:rPr>
        <w:t>Ahora está trabajando para desarrollar criterios más granulares, incluidas métricas y umbrales, para ayudar a poner en funcionamiento el sistema de clasificación. </w:t>
      </w:r>
    </w:p>
    <w:p w:rsidR="00643976" w:rsidRDefault="00643976" w:rsidP="00643976">
      <w:pPr>
        <w:jc w:val="both"/>
        <w:rPr>
          <w:rFonts w:ascii="Arial" w:hAnsi="Arial" w:cs="Arial"/>
        </w:rPr>
      </w:pPr>
    </w:p>
    <w:p w:rsidR="00EA3132" w:rsidRPr="00EA3132" w:rsidRDefault="00EA3132" w:rsidP="00EA3132">
      <w:pPr>
        <w:jc w:val="both"/>
        <w:rPr>
          <w:rFonts w:ascii="Arial" w:hAnsi="Arial" w:cs="Arial"/>
        </w:rPr>
      </w:pPr>
      <w:r w:rsidRPr="00EA3132">
        <w:rPr>
          <w:rFonts w:ascii="Arial" w:hAnsi="Arial" w:cs="Arial"/>
          <w:b/>
          <w:bCs/>
          <w:i/>
          <w:iCs/>
        </w:rPr>
        <w:t>A nivel internacional, se están realizando esfuerzos para lograr una mayor compatibilidad entre taxonomías.</w:t>
      </w:r>
    </w:p>
    <w:p w:rsidR="00EA3132" w:rsidRPr="00EA3132" w:rsidRDefault="00EA3132" w:rsidP="00EA3132">
      <w:pPr>
        <w:numPr>
          <w:ilvl w:val="0"/>
          <w:numId w:val="18"/>
        </w:numPr>
        <w:jc w:val="both"/>
        <w:rPr>
          <w:rFonts w:ascii="Arial" w:hAnsi="Arial" w:cs="Arial"/>
        </w:rPr>
      </w:pPr>
      <w:r w:rsidRPr="00EA3132">
        <w:rPr>
          <w:rFonts w:ascii="Arial" w:hAnsi="Arial" w:cs="Arial"/>
        </w:rPr>
        <w:t>MAS está trabajando con sus contrapartes en la región para desarrollar una taxonomía de la ASEAN para las finanzas sostenibles que coordina los esfuerzos en los sectores de banca, seguros y mercados de capitales.</w:t>
      </w:r>
    </w:p>
    <w:p w:rsidR="00EA3132" w:rsidRPr="00EA3132" w:rsidRDefault="00EA3132" w:rsidP="00EA3132">
      <w:pPr>
        <w:numPr>
          <w:ilvl w:val="0"/>
          <w:numId w:val="18"/>
        </w:numPr>
        <w:jc w:val="both"/>
        <w:rPr>
          <w:rFonts w:ascii="Arial" w:hAnsi="Arial" w:cs="Arial"/>
        </w:rPr>
      </w:pPr>
      <w:r w:rsidRPr="00EA3132">
        <w:rPr>
          <w:rFonts w:ascii="Arial" w:hAnsi="Arial" w:cs="Arial"/>
        </w:rPr>
        <w:t>MAS está contribuyendo al trabajo de la Plataforma Internacional sobre Finanzas Sostenibles para desarrollar una “taxonomía de terreno común” que mejorará la transparencia al resaltar los puntos en común entre las diferentes taxonomías existentes.</w:t>
      </w:r>
    </w:p>
    <w:p w:rsidR="00EA3132" w:rsidRPr="00EA3132" w:rsidRDefault="00EA3132" w:rsidP="00EA3132">
      <w:pPr>
        <w:numPr>
          <w:ilvl w:val="0"/>
          <w:numId w:val="18"/>
        </w:numPr>
        <w:jc w:val="both"/>
        <w:rPr>
          <w:rFonts w:ascii="Arial" w:hAnsi="Arial" w:cs="Arial"/>
        </w:rPr>
      </w:pPr>
      <w:r w:rsidRPr="00EA3132">
        <w:rPr>
          <w:rFonts w:ascii="Arial" w:hAnsi="Arial" w:cs="Arial"/>
        </w:rPr>
        <w:t>El Grupo de Trabajo de Finanzas Sostenibles del G20, que está copresidido por EE. UU. Y China, está buscando mejorar la coordinación de las taxonomías entre países y mercados.</w:t>
      </w:r>
    </w:p>
    <w:p w:rsidR="00EA3132" w:rsidRPr="00EA3132" w:rsidRDefault="00EA3132" w:rsidP="00EA3132">
      <w:pPr>
        <w:numPr>
          <w:ilvl w:val="1"/>
          <w:numId w:val="18"/>
        </w:numPr>
        <w:jc w:val="both"/>
        <w:rPr>
          <w:rFonts w:ascii="Arial" w:hAnsi="Arial" w:cs="Arial"/>
        </w:rPr>
      </w:pPr>
      <w:r w:rsidRPr="00EA3132">
        <w:rPr>
          <w:rFonts w:ascii="Arial" w:hAnsi="Arial" w:cs="Arial"/>
        </w:rPr>
        <w:t>Por ejemplo, alienta a los países que están desarrollando sus propias taxonomías a utilizar sistemas de clasificación industrial reconocidos internacionalmente para mejorar la interoperabilidad.</w:t>
      </w:r>
    </w:p>
    <w:p w:rsidR="00EA3132" w:rsidRDefault="00EA3132" w:rsidP="00EA3132">
      <w:pPr>
        <w:jc w:val="both"/>
        <w:rPr>
          <w:rFonts w:ascii="Arial" w:hAnsi="Arial" w:cs="Arial"/>
          <w:b/>
          <w:bCs/>
          <w:i/>
          <w:iCs/>
        </w:rPr>
      </w:pPr>
    </w:p>
    <w:p w:rsidR="00EA3132" w:rsidRDefault="00EA3132" w:rsidP="00EA3132">
      <w:pPr>
        <w:jc w:val="both"/>
        <w:rPr>
          <w:rFonts w:ascii="Arial" w:hAnsi="Arial" w:cs="Arial"/>
          <w:b/>
          <w:bCs/>
          <w:i/>
          <w:iCs/>
        </w:rPr>
      </w:pPr>
    </w:p>
    <w:p w:rsidR="00EA3132" w:rsidRDefault="00EA3132" w:rsidP="00EA3132">
      <w:pPr>
        <w:jc w:val="both"/>
        <w:rPr>
          <w:rFonts w:ascii="Arial" w:hAnsi="Arial" w:cs="Arial"/>
          <w:b/>
          <w:bCs/>
          <w:i/>
          <w:iCs/>
        </w:rPr>
      </w:pPr>
    </w:p>
    <w:p w:rsidR="00EA3132" w:rsidRDefault="00EA3132" w:rsidP="00EA3132">
      <w:pPr>
        <w:jc w:val="both"/>
        <w:rPr>
          <w:rFonts w:ascii="Arial" w:hAnsi="Arial" w:cs="Arial"/>
          <w:b/>
          <w:bCs/>
          <w:i/>
          <w:iCs/>
        </w:rPr>
      </w:pPr>
    </w:p>
    <w:p w:rsidR="00EA3132" w:rsidRDefault="00EA3132" w:rsidP="00EA3132">
      <w:pPr>
        <w:jc w:val="both"/>
        <w:rPr>
          <w:rFonts w:ascii="Arial" w:hAnsi="Arial" w:cs="Arial"/>
          <w:b/>
          <w:bCs/>
          <w:i/>
          <w:iCs/>
        </w:rPr>
      </w:pPr>
    </w:p>
    <w:p w:rsidR="00EA3132" w:rsidRPr="00EA3132" w:rsidRDefault="00EA3132" w:rsidP="00EA3132">
      <w:pPr>
        <w:jc w:val="both"/>
        <w:rPr>
          <w:rFonts w:ascii="Arial" w:hAnsi="Arial" w:cs="Arial"/>
        </w:rPr>
      </w:pPr>
      <w:r w:rsidRPr="00EA3132">
        <w:rPr>
          <w:rFonts w:ascii="Arial" w:hAnsi="Arial" w:cs="Arial"/>
          <w:b/>
          <w:bCs/>
          <w:i/>
          <w:iCs/>
        </w:rPr>
        <w:lastRenderedPageBreak/>
        <w:t>Divulgaciones e informes consistentes</w:t>
      </w:r>
    </w:p>
    <w:p w:rsidR="00EA3132" w:rsidRPr="00EA3132" w:rsidRDefault="00EA3132" w:rsidP="00EA3132">
      <w:pPr>
        <w:jc w:val="both"/>
        <w:rPr>
          <w:rFonts w:ascii="Arial" w:hAnsi="Arial" w:cs="Arial"/>
        </w:rPr>
      </w:pPr>
      <w:r w:rsidRPr="00EA3132">
        <w:rPr>
          <w:rFonts w:ascii="Arial" w:hAnsi="Arial" w:cs="Arial"/>
          <w:b/>
          <w:bCs/>
          <w:i/>
          <w:iCs/>
        </w:rPr>
        <w:t>Existe una necesidad apremiante de converger en un conjunto de normas coherentes de divulgación e información relacionadas con el clima para las empresas.</w:t>
      </w:r>
    </w:p>
    <w:p w:rsidR="00EA3132" w:rsidRPr="00EA3132" w:rsidRDefault="00EA3132" w:rsidP="00EA3132">
      <w:pPr>
        <w:numPr>
          <w:ilvl w:val="0"/>
          <w:numId w:val="19"/>
        </w:numPr>
        <w:jc w:val="both"/>
        <w:rPr>
          <w:rFonts w:ascii="Arial" w:hAnsi="Arial" w:cs="Arial"/>
        </w:rPr>
      </w:pPr>
      <w:r w:rsidRPr="00EA3132">
        <w:rPr>
          <w:rFonts w:ascii="Arial" w:hAnsi="Arial" w:cs="Arial"/>
        </w:rPr>
        <w:t>A nivel mundial, existen más de 200 marcos, estándares y otras formas de orientación sobre informes de sostenibilidad y divulgaciones relacionadas con el clima.</w:t>
      </w:r>
    </w:p>
    <w:p w:rsidR="00EA3132" w:rsidRPr="00EA3132" w:rsidRDefault="00EA3132" w:rsidP="00EA3132">
      <w:pPr>
        <w:numPr>
          <w:ilvl w:val="0"/>
          <w:numId w:val="19"/>
        </w:numPr>
        <w:jc w:val="both"/>
        <w:rPr>
          <w:rFonts w:ascii="Arial" w:hAnsi="Arial" w:cs="Arial"/>
        </w:rPr>
      </w:pPr>
      <w:r w:rsidRPr="00EA3132">
        <w:rPr>
          <w:rFonts w:ascii="Arial" w:hAnsi="Arial" w:cs="Arial"/>
        </w:rPr>
        <w:t>Esto ha resultado en informes selectivos y revelaciones inconsistentes que no son comparables.</w:t>
      </w:r>
    </w:p>
    <w:p w:rsidR="00EA3132" w:rsidRPr="00EA3132" w:rsidRDefault="00EA3132" w:rsidP="00EA3132">
      <w:pPr>
        <w:numPr>
          <w:ilvl w:val="1"/>
          <w:numId w:val="19"/>
        </w:numPr>
        <w:jc w:val="both"/>
        <w:rPr>
          <w:rFonts w:ascii="Arial" w:hAnsi="Arial" w:cs="Arial"/>
        </w:rPr>
      </w:pPr>
      <w:r w:rsidRPr="00EA3132">
        <w:rPr>
          <w:rFonts w:ascii="Arial" w:hAnsi="Arial" w:cs="Arial"/>
        </w:rPr>
        <w:t>Por ejemplo, algunas empresas informan una reducción absoluta de las emisiones de gases de efecto invernadero, mientras que otras informan métricas de reducción de la intensidad del carbono.</w:t>
      </w:r>
    </w:p>
    <w:p w:rsidR="00EA3132" w:rsidRPr="00EA3132" w:rsidRDefault="00EA3132" w:rsidP="00EA3132">
      <w:pPr>
        <w:numPr>
          <w:ilvl w:val="1"/>
          <w:numId w:val="19"/>
        </w:numPr>
        <w:jc w:val="both"/>
        <w:rPr>
          <w:rFonts w:ascii="Arial" w:hAnsi="Arial" w:cs="Arial"/>
        </w:rPr>
      </w:pPr>
      <w:r w:rsidRPr="00EA3132">
        <w:rPr>
          <w:rFonts w:ascii="Arial" w:hAnsi="Arial" w:cs="Arial"/>
        </w:rPr>
        <w:t>Algunas empresas informan reducciones año tras año, mientras que otras informan reducciones durante varios años.</w:t>
      </w:r>
    </w:p>
    <w:p w:rsidR="00EA3132" w:rsidRDefault="00EA3132" w:rsidP="00EA3132">
      <w:pPr>
        <w:jc w:val="both"/>
        <w:rPr>
          <w:rFonts w:ascii="Arial" w:hAnsi="Arial" w:cs="Arial"/>
          <w:b/>
          <w:bCs/>
          <w:i/>
          <w:iCs/>
        </w:rPr>
      </w:pPr>
    </w:p>
    <w:p w:rsidR="00EA3132" w:rsidRPr="00EA3132" w:rsidRDefault="00EA3132" w:rsidP="00EA3132">
      <w:pPr>
        <w:jc w:val="both"/>
        <w:rPr>
          <w:rFonts w:ascii="Arial" w:hAnsi="Arial" w:cs="Arial"/>
        </w:rPr>
      </w:pPr>
      <w:r w:rsidRPr="00EA3132">
        <w:rPr>
          <w:rFonts w:ascii="Arial" w:hAnsi="Arial" w:cs="Arial"/>
          <w:b/>
          <w:bCs/>
          <w:i/>
          <w:iCs/>
        </w:rPr>
        <w:t>Estamos viendo signos prometedores de convergencia en un estándar global de informes de sostenibilidad de referencia.</w:t>
      </w:r>
    </w:p>
    <w:p w:rsidR="00EA3132" w:rsidRPr="00EA3132" w:rsidRDefault="00EA3132" w:rsidP="00EA3132">
      <w:pPr>
        <w:numPr>
          <w:ilvl w:val="0"/>
          <w:numId w:val="20"/>
        </w:numPr>
        <w:jc w:val="both"/>
        <w:rPr>
          <w:rFonts w:ascii="Arial" w:hAnsi="Arial" w:cs="Arial"/>
        </w:rPr>
      </w:pPr>
      <w:r w:rsidRPr="00EA3132">
        <w:rPr>
          <w:rFonts w:ascii="Arial" w:hAnsi="Arial" w:cs="Arial"/>
        </w:rPr>
        <w:t>La Fundación de Normas Internacionales de Información Financiera (IFRS) busca establecer una Junta de Normas Internacionales de Sostenibilidad (ISSB) para desarrollar esta norma global. Los países del G7 y del G20 han acogido con satisfacción el programa de trabajo de las NIIF.</w:t>
      </w:r>
    </w:p>
    <w:p w:rsidR="00EA3132" w:rsidRPr="00EA3132" w:rsidRDefault="00EA3132" w:rsidP="00EA3132">
      <w:pPr>
        <w:numPr>
          <w:ilvl w:val="0"/>
          <w:numId w:val="20"/>
        </w:numPr>
        <w:jc w:val="both"/>
        <w:rPr>
          <w:rFonts w:ascii="Arial" w:hAnsi="Arial" w:cs="Arial"/>
        </w:rPr>
      </w:pPr>
      <w:r w:rsidRPr="00EA3132">
        <w:rPr>
          <w:rFonts w:ascii="Arial" w:hAnsi="Arial" w:cs="Arial"/>
        </w:rPr>
        <w:t>El esfuerzo de las NIIF se basará en las recomendaciones del Grupo de Trabajo sobre Divulgaciones Financieras Relacionadas con el Clima (TCFD), que han ganado una amplia aceptación internacional.</w:t>
      </w:r>
    </w:p>
    <w:p w:rsidR="00EA3132" w:rsidRDefault="00EA3132" w:rsidP="00EA3132">
      <w:pPr>
        <w:jc w:val="both"/>
        <w:rPr>
          <w:rFonts w:ascii="Arial" w:hAnsi="Arial" w:cs="Arial"/>
          <w:b/>
          <w:bCs/>
          <w:i/>
          <w:iCs/>
        </w:rPr>
      </w:pPr>
    </w:p>
    <w:p w:rsidR="00EA3132" w:rsidRPr="00EA3132" w:rsidRDefault="00EA3132" w:rsidP="00EA3132">
      <w:pPr>
        <w:jc w:val="both"/>
        <w:rPr>
          <w:rFonts w:ascii="Arial" w:hAnsi="Arial" w:cs="Arial"/>
        </w:rPr>
      </w:pPr>
      <w:r w:rsidRPr="00EA3132">
        <w:rPr>
          <w:rFonts w:ascii="Arial" w:hAnsi="Arial" w:cs="Arial"/>
          <w:b/>
          <w:bCs/>
          <w:i/>
          <w:iCs/>
        </w:rPr>
        <w:t>En Singapur, MAS y SGX están estableciendo hojas de ruta para las divulgaciones financieras obligatorias relacionadas con el clima por parte de las instituciones financieras y las entidades que cotizan en bolsa, respectivamente.</w:t>
      </w:r>
    </w:p>
    <w:p w:rsidR="00EA3132" w:rsidRPr="00EA3132" w:rsidRDefault="00EA3132" w:rsidP="00EA3132">
      <w:pPr>
        <w:numPr>
          <w:ilvl w:val="0"/>
          <w:numId w:val="21"/>
        </w:numPr>
        <w:jc w:val="both"/>
        <w:rPr>
          <w:rFonts w:ascii="Arial" w:hAnsi="Arial" w:cs="Arial"/>
        </w:rPr>
      </w:pPr>
      <w:r w:rsidRPr="00EA3132">
        <w:rPr>
          <w:rFonts w:ascii="Arial" w:hAnsi="Arial" w:cs="Arial"/>
        </w:rPr>
        <w:t>SGX ha emitido para consulta una hoja de ruta propuesta para introducir divulgaciones relacionadas con el clima obligatorias de conformidad con las recomendaciones del TCFD para las entidades que cotizan en bolsa, comenzando con los sectores más expuestos a los riesgos relacionados con el clima.</w:t>
      </w:r>
    </w:p>
    <w:p w:rsidR="00EA3132" w:rsidRPr="00EA3132" w:rsidRDefault="00EA3132" w:rsidP="00EA3132">
      <w:pPr>
        <w:numPr>
          <w:ilvl w:val="0"/>
          <w:numId w:val="21"/>
        </w:numPr>
        <w:jc w:val="both"/>
        <w:rPr>
          <w:rFonts w:ascii="Arial" w:hAnsi="Arial" w:cs="Arial"/>
        </w:rPr>
      </w:pPr>
      <w:r w:rsidRPr="00EA3132">
        <w:rPr>
          <w:rFonts w:ascii="Arial" w:hAnsi="Arial" w:cs="Arial"/>
        </w:rPr>
        <w:t>MAS consultará a la industria a finales de este año sobre las divulgaciones obligatorias relacionadas con el clima por parte de las instituciones financieras. Si bien se espera que todos los bancos, aseguradoras y administradores de activos realicen divulgaciones relacionadas con el clima a partir de 2022, la consulta de MAS se centrará en cómo hacer la transición de estas expectativas a requisitos obligatorios.</w:t>
      </w:r>
    </w:p>
    <w:p w:rsidR="00EA3132" w:rsidRDefault="00EA3132" w:rsidP="00EA3132">
      <w:pPr>
        <w:jc w:val="both"/>
        <w:rPr>
          <w:rFonts w:ascii="Arial" w:hAnsi="Arial" w:cs="Arial"/>
          <w:b/>
          <w:bCs/>
          <w:i/>
          <w:iCs/>
        </w:rPr>
      </w:pPr>
    </w:p>
    <w:p w:rsidR="00EA3132" w:rsidRPr="00EA3132" w:rsidRDefault="00EA3132" w:rsidP="00EA3132">
      <w:pPr>
        <w:jc w:val="both"/>
        <w:rPr>
          <w:rFonts w:ascii="Arial" w:hAnsi="Arial" w:cs="Arial"/>
        </w:rPr>
      </w:pPr>
      <w:r w:rsidRPr="00EA3132">
        <w:rPr>
          <w:rFonts w:ascii="Arial" w:hAnsi="Arial" w:cs="Arial"/>
          <w:b/>
          <w:bCs/>
          <w:i/>
          <w:iCs/>
        </w:rPr>
        <w:lastRenderedPageBreak/>
        <w:t>Otra área donde hay espacio para una mayor consistencia y confiabilidad de las divulgaciones es a nivel de producto financiero.</w:t>
      </w:r>
    </w:p>
    <w:p w:rsidR="00EA3132" w:rsidRPr="00EA3132" w:rsidRDefault="00EA3132" w:rsidP="00EA3132">
      <w:pPr>
        <w:numPr>
          <w:ilvl w:val="0"/>
          <w:numId w:val="22"/>
        </w:numPr>
        <w:jc w:val="both"/>
        <w:rPr>
          <w:rFonts w:ascii="Arial" w:hAnsi="Arial" w:cs="Arial"/>
        </w:rPr>
      </w:pPr>
      <w:r w:rsidRPr="00EA3132">
        <w:rPr>
          <w:rFonts w:ascii="Arial" w:hAnsi="Arial" w:cs="Arial"/>
        </w:rPr>
        <w:t>Hace dos años, el Wall Street Journal informó que ocho de cada diez de los mayores fondos "sostenibles" de Estados Unidos están invertidos en compañías petroleras.</w:t>
      </w:r>
    </w:p>
    <w:p w:rsidR="00EA3132" w:rsidRPr="00EA3132" w:rsidRDefault="00EA3132" w:rsidP="00EA3132">
      <w:pPr>
        <w:numPr>
          <w:ilvl w:val="0"/>
          <w:numId w:val="22"/>
        </w:numPr>
        <w:jc w:val="both"/>
        <w:rPr>
          <w:rFonts w:ascii="Arial" w:hAnsi="Arial" w:cs="Arial"/>
        </w:rPr>
      </w:pPr>
      <w:r w:rsidRPr="00EA3132">
        <w:rPr>
          <w:rFonts w:ascii="Arial" w:hAnsi="Arial" w:cs="Arial"/>
        </w:rPr>
        <w:t>Necesitamos asegurarnos de que a medida que las inversiones verdes se vuelvan más comunes, existan estrictos requisitos de divulgación.</w:t>
      </w:r>
    </w:p>
    <w:p w:rsidR="00EA3132" w:rsidRDefault="00EA3132" w:rsidP="00EA3132">
      <w:pPr>
        <w:jc w:val="both"/>
        <w:rPr>
          <w:rFonts w:ascii="Arial" w:hAnsi="Arial" w:cs="Arial"/>
          <w:b/>
          <w:bCs/>
          <w:i/>
          <w:iCs/>
        </w:rPr>
      </w:pPr>
    </w:p>
    <w:p w:rsidR="00EA3132" w:rsidRPr="00EA3132" w:rsidRDefault="00EA3132" w:rsidP="00EA3132">
      <w:pPr>
        <w:jc w:val="both"/>
        <w:rPr>
          <w:rFonts w:ascii="Arial" w:hAnsi="Arial" w:cs="Arial"/>
        </w:rPr>
      </w:pPr>
      <w:r w:rsidRPr="00EA3132">
        <w:rPr>
          <w:rFonts w:ascii="Arial" w:hAnsi="Arial" w:cs="Arial"/>
          <w:b/>
          <w:bCs/>
          <w:i/>
          <w:iCs/>
        </w:rPr>
        <w:t>MAS establecerá a principios del próximo año sus expectativas regulatorias sobre los estándares de divulgación que deben cumplir los fondos minoristas en Singapur con un objetivo de inversión ESG.</w:t>
      </w:r>
    </w:p>
    <w:p w:rsidR="00EA3132" w:rsidRPr="00EA3132" w:rsidRDefault="00EA3132" w:rsidP="00EA3132">
      <w:pPr>
        <w:numPr>
          <w:ilvl w:val="0"/>
          <w:numId w:val="23"/>
        </w:numPr>
        <w:jc w:val="both"/>
        <w:rPr>
          <w:rFonts w:ascii="Arial" w:hAnsi="Arial" w:cs="Arial"/>
        </w:rPr>
      </w:pPr>
      <w:r w:rsidRPr="00EA3132">
        <w:rPr>
          <w:rFonts w:ascii="Arial" w:hAnsi="Arial" w:cs="Arial"/>
        </w:rPr>
        <w:t>Con la divulgación mejorada en vigor, los inversores podrán comprender mejor los criterios que utiliza un fondo ESG para seleccionar sus inversiones.</w:t>
      </w:r>
    </w:p>
    <w:p w:rsidR="00EA3132" w:rsidRPr="00EA3132" w:rsidRDefault="00EA3132" w:rsidP="00EA3132">
      <w:pPr>
        <w:numPr>
          <w:ilvl w:val="0"/>
          <w:numId w:val="23"/>
        </w:numPr>
        <w:jc w:val="both"/>
        <w:rPr>
          <w:rFonts w:ascii="Arial" w:hAnsi="Arial" w:cs="Arial"/>
        </w:rPr>
      </w:pPr>
      <w:r w:rsidRPr="00EA3132">
        <w:rPr>
          <w:rFonts w:ascii="Arial" w:hAnsi="Arial" w:cs="Arial"/>
        </w:rPr>
        <w:t>Los inversores también obtendrán de un único documento de oferta más información sobre el proceso de inversión del fondo, así como los riesgos y limitaciones asociados con la estrategia ESG del fondo.</w:t>
      </w:r>
    </w:p>
    <w:p w:rsidR="00EA3132" w:rsidRPr="00EA3132" w:rsidRDefault="00EA3132" w:rsidP="00EA3132">
      <w:pPr>
        <w:numPr>
          <w:ilvl w:val="0"/>
          <w:numId w:val="23"/>
        </w:numPr>
        <w:jc w:val="both"/>
        <w:rPr>
          <w:rFonts w:ascii="Arial" w:hAnsi="Arial" w:cs="Arial"/>
        </w:rPr>
      </w:pPr>
      <w:r w:rsidRPr="00EA3132">
        <w:rPr>
          <w:rFonts w:ascii="Arial" w:hAnsi="Arial" w:cs="Arial"/>
        </w:rPr>
        <w:t>Los inversores también recibirán actualizaciones periódicas sobre si se ha cumplido el objetivo de inversión de un fondo ESG.</w:t>
      </w:r>
    </w:p>
    <w:p w:rsidR="00EA3132" w:rsidRDefault="00EA3132" w:rsidP="00EA3132">
      <w:pPr>
        <w:jc w:val="both"/>
        <w:rPr>
          <w:rFonts w:ascii="Arial" w:hAnsi="Arial" w:cs="Arial"/>
          <w:b/>
          <w:bCs/>
          <w:i/>
          <w:iCs/>
        </w:rPr>
      </w:pPr>
    </w:p>
    <w:p w:rsidR="00EA3132" w:rsidRPr="00EA3132" w:rsidRDefault="00EA3132" w:rsidP="00EA3132">
      <w:pPr>
        <w:jc w:val="both"/>
        <w:rPr>
          <w:rFonts w:ascii="Arial" w:hAnsi="Arial" w:cs="Arial"/>
        </w:rPr>
      </w:pPr>
      <w:r w:rsidRPr="00EA3132">
        <w:rPr>
          <w:rFonts w:ascii="Arial" w:hAnsi="Arial" w:cs="Arial"/>
          <w:b/>
          <w:bCs/>
          <w:i/>
          <w:iCs/>
        </w:rPr>
        <w:t>Conocimiento y desarrollo de capacidades</w:t>
      </w:r>
    </w:p>
    <w:p w:rsidR="00EA3132" w:rsidRPr="00EA3132" w:rsidRDefault="00EA3132" w:rsidP="00EA3132">
      <w:pPr>
        <w:jc w:val="both"/>
        <w:rPr>
          <w:rFonts w:ascii="Arial" w:hAnsi="Arial" w:cs="Arial"/>
        </w:rPr>
      </w:pPr>
      <w:r w:rsidRPr="00EA3132">
        <w:rPr>
          <w:rFonts w:ascii="Arial" w:hAnsi="Arial" w:cs="Arial"/>
          <w:b/>
          <w:bCs/>
          <w:i/>
          <w:iCs/>
        </w:rPr>
        <w:t>Más allá de los datos, las definiciones y las divulgaciones, necesitamos desarrollar capacidades y experiencia sólidas para respaldar las finanzas verdes.</w:t>
      </w:r>
    </w:p>
    <w:p w:rsidR="00EA3132" w:rsidRPr="00EA3132" w:rsidRDefault="00EA3132" w:rsidP="00EA3132">
      <w:pPr>
        <w:numPr>
          <w:ilvl w:val="0"/>
          <w:numId w:val="24"/>
        </w:numPr>
        <w:jc w:val="both"/>
        <w:rPr>
          <w:rFonts w:ascii="Arial" w:hAnsi="Arial" w:cs="Arial"/>
        </w:rPr>
      </w:pPr>
      <w:r w:rsidRPr="00EA3132">
        <w:rPr>
          <w:rFonts w:ascii="Arial" w:hAnsi="Arial" w:cs="Arial"/>
        </w:rPr>
        <w:t>En Singapur, vemos que más instituciones financieras y grandes corporaciones integran la sostenibilidad en sus estrategias y procesos.</w:t>
      </w:r>
    </w:p>
    <w:p w:rsidR="00EA3132" w:rsidRPr="00EA3132" w:rsidRDefault="00EA3132" w:rsidP="00EA3132">
      <w:pPr>
        <w:numPr>
          <w:ilvl w:val="0"/>
          <w:numId w:val="24"/>
        </w:numPr>
        <w:jc w:val="both"/>
        <w:rPr>
          <w:rFonts w:ascii="Arial" w:hAnsi="Arial" w:cs="Arial"/>
        </w:rPr>
      </w:pPr>
      <w:r w:rsidRPr="00EA3132">
        <w:rPr>
          <w:rFonts w:ascii="Arial" w:hAnsi="Arial" w:cs="Arial"/>
        </w:rPr>
        <w:t>Se necesita experiencia especializada para:</w:t>
      </w:r>
    </w:p>
    <w:p w:rsidR="00EA3132" w:rsidRPr="00EA3132" w:rsidRDefault="00EA3132" w:rsidP="00EA3132">
      <w:pPr>
        <w:numPr>
          <w:ilvl w:val="1"/>
          <w:numId w:val="24"/>
        </w:numPr>
        <w:jc w:val="both"/>
        <w:rPr>
          <w:rFonts w:ascii="Arial" w:hAnsi="Arial" w:cs="Arial"/>
        </w:rPr>
      </w:pPr>
      <w:r w:rsidRPr="00EA3132">
        <w:rPr>
          <w:rFonts w:ascii="Arial" w:hAnsi="Arial" w:cs="Arial"/>
        </w:rPr>
        <w:t>cuantificar los beneficios y costos ambientales de nuevos proyectos;</w:t>
      </w:r>
    </w:p>
    <w:p w:rsidR="00EA3132" w:rsidRPr="00EA3132" w:rsidRDefault="00EA3132" w:rsidP="00EA3132">
      <w:pPr>
        <w:numPr>
          <w:ilvl w:val="1"/>
          <w:numId w:val="24"/>
        </w:numPr>
        <w:jc w:val="both"/>
        <w:rPr>
          <w:rFonts w:ascii="Arial" w:hAnsi="Arial" w:cs="Arial"/>
        </w:rPr>
      </w:pPr>
      <w:r w:rsidRPr="00EA3132">
        <w:rPr>
          <w:rFonts w:ascii="Arial" w:hAnsi="Arial" w:cs="Arial"/>
        </w:rPr>
        <w:t>estimar cómo los costos ambientales podrían traducirse en futuros riesgos de incumplimiento; y</w:t>
      </w:r>
    </w:p>
    <w:p w:rsidR="00EA3132" w:rsidRPr="00EA3132" w:rsidRDefault="00EA3132" w:rsidP="00EA3132">
      <w:pPr>
        <w:numPr>
          <w:ilvl w:val="1"/>
          <w:numId w:val="24"/>
        </w:numPr>
        <w:jc w:val="both"/>
        <w:rPr>
          <w:rFonts w:ascii="Arial" w:hAnsi="Arial" w:cs="Arial"/>
        </w:rPr>
      </w:pPr>
      <w:r w:rsidRPr="00EA3132">
        <w:rPr>
          <w:rFonts w:ascii="Arial" w:hAnsi="Arial" w:cs="Arial"/>
        </w:rPr>
        <w:t>Desarrollar herramientas para reportar las métricas de sostenibilidad de varios proyectos y líneas de negocio.</w:t>
      </w:r>
    </w:p>
    <w:p w:rsidR="00EA3132" w:rsidRDefault="00EA3132" w:rsidP="00EA3132">
      <w:pPr>
        <w:jc w:val="both"/>
        <w:rPr>
          <w:rFonts w:ascii="Arial" w:hAnsi="Arial" w:cs="Arial"/>
          <w:b/>
          <w:bCs/>
          <w:i/>
          <w:iCs/>
        </w:rPr>
      </w:pPr>
    </w:p>
    <w:p w:rsidR="00EA3132" w:rsidRPr="00EA3132" w:rsidRDefault="00EA3132" w:rsidP="00EA3132">
      <w:pPr>
        <w:jc w:val="both"/>
        <w:rPr>
          <w:rFonts w:ascii="Arial" w:hAnsi="Arial" w:cs="Arial"/>
        </w:rPr>
      </w:pPr>
      <w:r w:rsidRPr="00EA3132">
        <w:rPr>
          <w:rFonts w:ascii="Arial" w:hAnsi="Arial" w:cs="Arial"/>
          <w:b/>
          <w:bCs/>
          <w:i/>
          <w:iCs/>
        </w:rPr>
        <w:t>Para apoyar esta acumulación de conocimientos y habilidades, MAS ha estado trabajando para anclar centros de excelencia para la capacitación e investigación sobre finanzas verdes con un enfoque asiático.</w:t>
      </w:r>
    </w:p>
    <w:p w:rsidR="00EA3132" w:rsidRPr="00EA3132" w:rsidRDefault="00EA3132" w:rsidP="00EA3132">
      <w:pPr>
        <w:numPr>
          <w:ilvl w:val="0"/>
          <w:numId w:val="25"/>
        </w:numPr>
        <w:jc w:val="both"/>
        <w:rPr>
          <w:rFonts w:ascii="Arial" w:hAnsi="Arial" w:cs="Arial"/>
        </w:rPr>
      </w:pPr>
      <w:r w:rsidRPr="00EA3132">
        <w:rPr>
          <w:rFonts w:ascii="Arial" w:hAnsi="Arial" w:cs="Arial"/>
        </w:rPr>
        <w:t>Ya tenemos dos de esos centros con sede aquí: el Singapore Green Finance Centre y el Sustainable Finance Institute Asia.</w:t>
      </w:r>
    </w:p>
    <w:p w:rsidR="00EA3132" w:rsidRPr="00EA3132" w:rsidRDefault="00EA3132" w:rsidP="00EA3132">
      <w:pPr>
        <w:numPr>
          <w:ilvl w:val="0"/>
          <w:numId w:val="25"/>
        </w:numPr>
        <w:jc w:val="both"/>
        <w:rPr>
          <w:rFonts w:ascii="Arial" w:hAnsi="Arial" w:cs="Arial"/>
        </w:rPr>
      </w:pPr>
      <w:r w:rsidRPr="00EA3132">
        <w:rPr>
          <w:rFonts w:ascii="Arial" w:hAnsi="Arial" w:cs="Arial"/>
        </w:rPr>
        <w:t>Pronto tendremos un tercer centro de excelencia.</w:t>
      </w:r>
    </w:p>
    <w:p w:rsidR="00EA3132" w:rsidRPr="00EA3132" w:rsidRDefault="00EA3132" w:rsidP="00EA3132">
      <w:pPr>
        <w:jc w:val="both"/>
        <w:rPr>
          <w:rFonts w:ascii="Arial" w:hAnsi="Arial" w:cs="Arial"/>
        </w:rPr>
      </w:pPr>
      <w:r w:rsidRPr="00EA3132">
        <w:rPr>
          <w:rFonts w:ascii="Arial" w:hAnsi="Arial" w:cs="Arial"/>
          <w:b/>
          <w:bCs/>
          <w:i/>
          <w:iCs/>
        </w:rPr>
        <w:lastRenderedPageBreak/>
        <w:t>La Universidad Nacional de Singapur establecerá a finales de este año el Instituto de Finanzas Sostenibles y Verdes, o SGFIN.</w:t>
      </w:r>
    </w:p>
    <w:p w:rsidR="00EA3132" w:rsidRPr="00EA3132" w:rsidRDefault="00EA3132" w:rsidP="00EA3132">
      <w:pPr>
        <w:numPr>
          <w:ilvl w:val="0"/>
          <w:numId w:val="26"/>
        </w:numPr>
        <w:jc w:val="both"/>
        <w:rPr>
          <w:rFonts w:ascii="Arial" w:hAnsi="Arial" w:cs="Arial"/>
        </w:rPr>
      </w:pPr>
      <w:r w:rsidRPr="00EA3132">
        <w:rPr>
          <w:rFonts w:ascii="Arial" w:hAnsi="Arial" w:cs="Arial"/>
        </w:rPr>
        <w:t>SGFIN ayudará a preparar una línea de talento y liderazgo en finanzas sostenibles y verdes en todo el espectro profesional.</w:t>
      </w:r>
    </w:p>
    <w:p w:rsidR="00EA3132" w:rsidRPr="00EA3132" w:rsidRDefault="00EA3132" w:rsidP="00EA3132">
      <w:pPr>
        <w:numPr>
          <w:ilvl w:val="0"/>
          <w:numId w:val="26"/>
        </w:numPr>
        <w:jc w:val="both"/>
        <w:rPr>
          <w:rFonts w:ascii="Arial" w:hAnsi="Arial" w:cs="Arial"/>
        </w:rPr>
      </w:pPr>
      <w:r w:rsidRPr="00EA3132">
        <w:rPr>
          <w:rFonts w:ascii="Arial" w:hAnsi="Arial" w:cs="Arial"/>
        </w:rPr>
        <w:t>Ayudará a equipar a las empresas con el conocimiento multidisciplinario necesario para integrar consideraciones de sostenibilidad en sus estrategias comerciales y decisiones de inversión, y cuantificar su desempeño ambiental y social.</w:t>
      </w:r>
    </w:p>
    <w:p w:rsidR="00EA3132" w:rsidRDefault="00EA3132" w:rsidP="00EA3132">
      <w:pPr>
        <w:jc w:val="both"/>
        <w:rPr>
          <w:rFonts w:ascii="Arial" w:hAnsi="Arial" w:cs="Arial"/>
          <w:b/>
          <w:bCs/>
          <w:i/>
          <w:iCs/>
        </w:rPr>
      </w:pPr>
    </w:p>
    <w:p w:rsidR="00EA3132" w:rsidRPr="00EA3132" w:rsidRDefault="00EA3132" w:rsidP="00EA3132">
      <w:pPr>
        <w:jc w:val="both"/>
        <w:rPr>
          <w:rFonts w:ascii="Arial" w:hAnsi="Arial" w:cs="Arial"/>
        </w:rPr>
      </w:pPr>
      <w:r w:rsidRPr="00EA3132">
        <w:rPr>
          <w:rFonts w:ascii="Arial" w:hAnsi="Arial" w:cs="Arial"/>
          <w:b/>
          <w:bCs/>
          <w:i/>
          <w:iCs/>
        </w:rPr>
        <w:t>Un enfoque de investigación clave de SGFIN es desarrollar un marco de evaluación y medición de impacto y sostenibilidad.</w:t>
      </w:r>
    </w:p>
    <w:p w:rsidR="00EA3132" w:rsidRPr="00EA3132" w:rsidRDefault="00EA3132" w:rsidP="00EA3132">
      <w:pPr>
        <w:numPr>
          <w:ilvl w:val="0"/>
          <w:numId w:val="27"/>
        </w:numPr>
        <w:jc w:val="both"/>
        <w:rPr>
          <w:rFonts w:ascii="Arial" w:hAnsi="Arial" w:cs="Arial"/>
        </w:rPr>
      </w:pPr>
      <w:r w:rsidRPr="00EA3132">
        <w:rPr>
          <w:rFonts w:ascii="Arial" w:hAnsi="Arial" w:cs="Arial"/>
        </w:rPr>
        <w:t>El marco buscará determinar el valor monetario del desempeño ambiental y social de las empresas.</w:t>
      </w:r>
    </w:p>
    <w:p w:rsidR="00EA3132" w:rsidRPr="00EA3132" w:rsidRDefault="00EA3132" w:rsidP="00EA3132">
      <w:pPr>
        <w:numPr>
          <w:ilvl w:val="0"/>
          <w:numId w:val="27"/>
        </w:numPr>
        <w:jc w:val="both"/>
        <w:rPr>
          <w:rFonts w:ascii="Arial" w:hAnsi="Arial" w:cs="Arial"/>
        </w:rPr>
      </w:pPr>
      <w:r w:rsidRPr="00EA3132">
        <w:rPr>
          <w:rFonts w:ascii="Arial" w:hAnsi="Arial" w:cs="Arial"/>
        </w:rPr>
        <w:t>Su objetivo es abordar la falta de datos ESG uniformes y estandarizados en Asia mediante la utilización de herramientas de aprendizaje automático avanzadas y estadísticas modernas para capturar datos ambientales y sociales sobre empresas asiáticas.</w:t>
      </w:r>
    </w:p>
    <w:p w:rsidR="00EA3132" w:rsidRDefault="00EA3132" w:rsidP="00EA3132">
      <w:pPr>
        <w:jc w:val="both"/>
        <w:rPr>
          <w:rFonts w:ascii="Arial" w:hAnsi="Arial" w:cs="Arial"/>
          <w:b/>
          <w:bCs/>
          <w:i/>
          <w:iCs/>
        </w:rPr>
      </w:pPr>
    </w:p>
    <w:p w:rsidR="00EA3132" w:rsidRPr="00EA3132" w:rsidRDefault="00EA3132" w:rsidP="00EA3132">
      <w:pPr>
        <w:jc w:val="both"/>
        <w:rPr>
          <w:rFonts w:ascii="Arial" w:hAnsi="Arial" w:cs="Arial"/>
        </w:rPr>
      </w:pPr>
      <w:r w:rsidRPr="00EA3132">
        <w:rPr>
          <w:rFonts w:ascii="Arial" w:hAnsi="Arial" w:cs="Arial"/>
          <w:b/>
          <w:bCs/>
          <w:i/>
          <w:iCs/>
        </w:rPr>
        <w:t>Los tres centros de excelencia en finanzas verdes de Singapur se complementarán entre sí.</w:t>
      </w:r>
    </w:p>
    <w:p w:rsidR="00EA3132" w:rsidRPr="00EA3132" w:rsidRDefault="00EA3132" w:rsidP="00EA3132">
      <w:pPr>
        <w:numPr>
          <w:ilvl w:val="0"/>
          <w:numId w:val="28"/>
        </w:numPr>
        <w:jc w:val="both"/>
        <w:rPr>
          <w:rFonts w:ascii="Arial" w:hAnsi="Arial" w:cs="Arial"/>
        </w:rPr>
      </w:pPr>
      <w:r w:rsidRPr="00EA3132">
        <w:rPr>
          <w:rFonts w:ascii="Arial" w:hAnsi="Arial" w:cs="Arial"/>
        </w:rPr>
        <w:t>El Sustainable Finance Institute Asia apoyará el desarrollo de capacidades para formular e implementar políticas sólidas de finanzas sostenibles en Asia.</w:t>
      </w:r>
    </w:p>
    <w:p w:rsidR="00EA3132" w:rsidRPr="00EA3132" w:rsidRDefault="00EA3132" w:rsidP="00EA3132">
      <w:pPr>
        <w:numPr>
          <w:ilvl w:val="0"/>
          <w:numId w:val="28"/>
        </w:numPr>
        <w:jc w:val="both"/>
        <w:rPr>
          <w:rFonts w:ascii="Arial" w:hAnsi="Arial" w:cs="Arial"/>
        </w:rPr>
      </w:pPr>
      <w:r w:rsidRPr="00EA3132">
        <w:rPr>
          <w:rFonts w:ascii="Arial" w:hAnsi="Arial" w:cs="Arial"/>
        </w:rPr>
        <w:t>El Centro de Finanzas Verdes de Singapur apoyará la investigación aplicada centrada en catalizar las soluciones de financiamiento verde de la industria.</w:t>
      </w:r>
    </w:p>
    <w:p w:rsidR="00EA3132" w:rsidRPr="00EA3132" w:rsidRDefault="00EA3132" w:rsidP="00EA3132">
      <w:pPr>
        <w:numPr>
          <w:ilvl w:val="0"/>
          <w:numId w:val="28"/>
        </w:numPr>
        <w:jc w:val="both"/>
        <w:rPr>
          <w:rFonts w:ascii="Arial" w:hAnsi="Arial" w:cs="Arial"/>
        </w:rPr>
      </w:pPr>
      <w:r w:rsidRPr="00EA3132">
        <w:rPr>
          <w:rFonts w:ascii="Arial" w:hAnsi="Arial" w:cs="Arial"/>
        </w:rPr>
        <w:t>El nuevo Instituto de Finanzas Sostenibles y Verdes reunirá experiencia en múltiples disciplinas para identificar cómo las finanzas pueden promover la sostenibilidad en diferentes actividades económicas.</w:t>
      </w:r>
    </w:p>
    <w:p w:rsidR="00EA3132" w:rsidRPr="00EA3132" w:rsidRDefault="00EA3132" w:rsidP="00EA3132">
      <w:pPr>
        <w:numPr>
          <w:ilvl w:val="0"/>
          <w:numId w:val="28"/>
        </w:numPr>
        <w:jc w:val="both"/>
        <w:rPr>
          <w:rFonts w:ascii="Arial" w:hAnsi="Arial" w:cs="Arial"/>
        </w:rPr>
      </w:pPr>
      <w:r w:rsidRPr="00EA3132">
        <w:rPr>
          <w:rFonts w:ascii="Arial" w:hAnsi="Arial" w:cs="Arial"/>
        </w:rPr>
        <w:t>La creciente profundidad y diversidad de la investigación en finanzas sostenibles proporcionará lastre al creciente estatus de Singapur como un centro líder de finanzas verdes.</w:t>
      </w:r>
    </w:p>
    <w:p w:rsidR="00EA3132" w:rsidRDefault="00EA3132" w:rsidP="00643976">
      <w:pPr>
        <w:jc w:val="both"/>
        <w:rPr>
          <w:rFonts w:ascii="Arial" w:hAnsi="Arial" w:cs="Arial"/>
        </w:rPr>
      </w:pPr>
    </w:p>
    <w:p w:rsidR="00EA3132" w:rsidRDefault="00EA3132" w:rsidP="00EA3132">
      <w:pPr>
        <w:jc w:val="both"/>
        <w:rPr>
          <w:rFonts w:ascii="Arial" w:hAnsi="Arial" w:cs="Arial"/>
          <w:b/>
          <w:bCs/>
        </w:rPr>
      </w:pPr>
    </w:p>
    <w:p w:rsidR="00EA3132" w:rsidRDefault="00EA3132" w:rsidP="00EA3132">
      <w:pPr>
        <w:jc w:val="both"/>
        <w:rPr>
          <w:rFonts w:ascii="Arial" w:hAnsi="Arial" w:cs="Arial"/>
          <w:b/>
          <w:bCs/>
        </w:rPr>
      </w:pPr>
    </w:p>
    <w:p w:rsidR="00EA3132" w:rsidRDefault="00EA3132" w:rsidP="00EA3132">
      <w:pPr>
        <w:jc w:val="both"/>
        <w:rPr>
          <w:rFonts w:ascii="Arial" w:hAnsi="Arial" w:cs="Arial"/>
          <w:b/>
          <w:bCs/>
        </w:rPr>
      </w:pPr>
    </w:p>
    <w:p w:rsidR="00EA3132" w:rsidRDefault="00EA3132" w:rsidP="00EA3132">
      <w:pPr>
        <w:jc w:val="both"/>
        <w:rPr>
          <w:rFonts w:ascii="Arial" w:hAnsi="Arial" w:cs="Arial"/>
          <w:b/>
          <w:bCs/>
        </w:rPr>
      </w:pPr>
    </w:p>
    <w:p w:rsidR="00EA3132" w:rsidRDefault="00EA3132" w:rsidP="00EA3132">
      <w:pPr>
        <w:jc w:val="both"/>
        <w:rPr>
          <w:rFonts w:ascii="Arial" w:hAnsi="Arial" w:cs="Arial"/>
          <w:b/>
          <w:bCs/>
        </w:rPr>
      </w:pPr>
    </w:p>
    <w:p w:rsidR="00EA3132" w:rsidRDefault="00EA3132" w:rsidP="00EA3132">
      <w:pPr>
        <w:jc w:val="both"/>
        <w:rPr>
          <w:rFonts w:ascii="Arial" w:hAnsi="Arial" w:cs="Arial"/>
          <w:b/>
          <w:bCs/>
        </w:rPr>
      </w:pPr>
    </w:p>
    <w:p w:rsidR="00EA3132" w:rsidRPr="00EA3132" w:rsidRDefault="00EA3132" w:rsidP="00EA3132">
      <w:pPr>
        <w:jc w:val="both"/>
        <w:rPr>
          <w:rFonts w:ascii="Arial" w:hAnsi="Arial" w:cs="Arial"/>
        </w:rPr>
      </w:pPr>
      <w:r w:rsidRPr="00EA3132">
        <w:rPr>
          <w:rFonts w:ascii="Arial" w:hAnsi="Arial" w:cs="Arial"/>
          <w:b/>
          <w:bCs/>
        </w:rPr>
        <w:lastRenderedPageBreak/>
        <w:t>CONCLUSIÓN</w:t>
      </w:r>
    </w:p>
    <w:p w:rsidR="00EA3132" w:rsidRPr="00EA3132" w:rsidRDefault="00EA3132" w:rsidP="00EA3132">
      <w:pPr>
        <w:jc w:val="both"/>
        <w:rPr>
          <w:rFonts w:ascii="Arial" w:hAnsi="Arial" w:cs="Arial"/>
        </w:rPr>
      </w:pPr>
      <w:r w:rsidRPr="00EA3132">
        <w:rPr>
          <w:rFonts w:ascii="Arial" w:hAnsi="Arial" w:cs="Arial"/>
        </w:rPr>
        <w:t>El reloj climático corre...</w:t>
      </w:r>
    </w:p>
    <w:p w:rsidR="00EA3132" w:rsidRPr="00EA3132" w:rsidRDefault="00EA3132" w:rsidP="00EA3132">
      <w:pPr>
        <w:jc w:val="both"/>
        <w:rPr>
          <w:rFonts w:ascii="Arial" w:hAnsi="Arial" w:cs="Arial"/>
        </w:rPr>
      </w:pPr>
      <w:r w:rsidRPr="00EA3132">
        <w:rPr>
          <w:rFonts w:ascii="Arial" w:hAnsi="Arial" w:cs="Arial"/>
        </w:rPr>
        <w:t>Los próximos años serán fundamentales para garantizar que el sistema financiero esté equipado para facilitar la transición global necesaria para lograr los objetivos climáticos que 195 países suscribieron en París en 2015.</w:t>
      </w:r>
    </w:p>
    <w:p w:rsidR="00EA3132" w:rsidRDefault="00EA3132" w:rsidP="00EA3132">
      <w:pPr>
        <w:jc w:val="both"/>
        <w:rPr>
          <w:rFonts w:ascii="Arial" w:hAnsi="Arial" w:cs="Arial"/>
        </w:rPr>
      </w:pPr>
      <w:r w:rsidRPr="00EA3132">
        <w:rPr>
          <w:rFonts w:ascii="Arial" w:hAnsi="Arial" w:cs="Arial"/>
        </w:rPr>
        <w:t>Hagamos nuestra parte - como reguladores, emisores de estándares, inversionistas, administradores de activos y proveedores de servicios financieros - en la ecologización del sistema financiero global.</w:t>
      </w:r>
    </w:p>
    <w:p w:rsidR="007F1810" w:rsidRDefault="007F1810" w:rsidP="00EA3132">
      <w:pPr>
        <w:jc w:val="both"/>
        <w:rPr>
          <w:rFonts w:ascii="Arial" w:hAnsi="Arial" w:cs="Arial"/>
        </w:rPr>
      </w:pPr>
    </w:p>
    <w:p w:rsidR="007F1810" w:rsidRDefault="007F1810" w:rsidP="00EA3132">
      <w:pPr>
        <w:jc w:val="both"/>
        <w:rPr>
          <w:rFonts w:ascii="Arial" w:hAnsi="Arial" w:cs="Arial"/>
        </w:rPr>
      </w:pPr>
    </w:p>
    <w:p w:rsidR="007F1810" w:rsidRDefault="007F1810" w:rsidP="00EA3132">
      <w:pPr>
        <w:jc w:val="both"/>
        <w:rPr>
          <w:rFonts w:ascii="Arial" w:hAnsi="Arial" w:cs="Arial"/>
        </w:rPr>
      </w:pPr>
      <w:r>
        <w:rPr>
          <w:rFonts w:ascii="Arial" w:hAnsi="Arial" w:cs="Arial"/>
        </w:rPr>
        <w:t xml:space="preserve">Publicado originalmente en:  </w:t>
      </w:r>
      <w:hyperlink r:id="rId8" w:history="1">
        <w:r w:rsidRPr="00B058DE">
          <w:rPr>
            <w:rStyle w:val="Hipervnculo"/>
            <w:rFonts w:ascii="Arial" w:hAnsi="Arial" w:cs="Arial"/>
          </w:rPr>
          <w:t>https://www.mas.gov.sg/news/speeches/2021/what-we-need-to-do-to-make-green-finance-work#1</w:t>
        </w:r>
      </w:hyperlink>
    </w:p>
    <w:p w:rsidR="007F1810" w:rsidRDefault="007F1810" w:rsidP="00EA3132">
      <w:pPr>
        <w:jc w:val="both"/>
        <w:rPr>
          <w:rFonts w:ascii="Arial" w:hAnsi="Arial" w:cs="Arial"/>
        </w:rPr>
      </w:pPr>
    </w:p>
    <w:p w:rsidR="007F1810" w:rsidRDefault="007F1810" w:rsidP="00EA3132">
      <w:pPr>
        <w:jc w:val="both"/>
        <w:rPr>
          <w:rFonts w:ascii="Arial" w:hAnsi="Arial" w:cs="Arial"/>
        </w:rPr>
      </w:pPr>
      <w:bookmarkStart w:id="0" w:name="_GoBack"/>
      <w:bookmarkEnd w:id="0"/>
    </w:p>
    <w:p w:rsidR="00EA3132" w:rsidRDefault="00EA3132" w:rsidP="00EA3132">
      <w:pPr>
        <w:jc w:val="both"/>
        <w:rPr>
          <w:rFonts w:ascii="Arial" w:hAnsi="Arial" w:cs="Arial"/>
        </w:rPr>
      </w:pPr>
    </w:p>
    <w:p w:rsidR="00EA3132" w:rsidRPr="00EA3132" w:rsidRDefault="00EA3132" w:rsidP="00EA3132">
      <w:pPr>
        <w:jc w:val="both"/>
        <w:rPr>
          <w:rFonts w:ascii="Arial" w:hAnsi="Arial" w:cs="Arial"/>
        </w:rPr>
      </w:pPr>
    </w:p>
    <w:p w:rsidR="00EA3132" w:rsidRDefault="00EA3132" w:rsidP="00643976">
      <w:pPr>
        <w:jc w:val="both"/>
        <w:rPr>
          <w:rFonts w:ascii="Arial" w:hAnsi="Arial" w:cs="Arial"/>
        </w:rPr>
      </w:pPr>
    </w:p>
    <w:p w:rsidR="00643976" w:rsidRPr="00643976" w:rsidRDefault="00643976" w:rsidP="00643976">
      <w:pPr>
        <w:jc w:val="both"/>
        <w:rPr>
          <w:rFonts w:ascii="Arial" w:hAnsi="Arial" w:cs="Arial"/>
        </w:rPr>
      </w:pPr>
    </w:p>
    <w:p w:rsidR="00643976" w:rsidRPr="00643976" w:rsidRDefault="00643976" w:rsidP="00643976">
      <w:pPr>
        <w:jc w:val="both"/>
        <w:rPr>
          <w:rFonts w:ascii="Arial" w:hAnsi="Arial" w:cs="Arial"/>
        </w:rPr>
      </w:pPr>
    </w:p>
    <w:p w:rsidR="00643976" w:rsidRPr="00643976" w:rsidRDefault="00643976" w:rsidP="00643976">
      <w:pPr>
        <w:jc w:val="both"/>
        <w:rPr>
          <w:rFonts w:ascii="Arial" w:hAnsi="Arial" w:cs="Arial"/>
        </w:rPr>
      </w:pPr>
    </w:p>
    <w:sectPr w:rsidR="00643976" w:rsidRPr="0064397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D94" w:rsidRDefault="00BC3D94" w:rsidP="00EA3132">
      <w:pPr>
        <w:spacing w:after="0" w:line="240" w:lineRule="auto"/>
      </w:pPr>
      <w:r>
        <w:separator/>
      </w:r>
    </w:p>
  </w:endnote>
  <w:endnote w:type="continuationSeparator" w:id="0">
    <w:p w:rsidR="00BC3D94" w:rsidRDefault="00BC3D94" w:rsidP="00EA3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D94" w:rsidRDefault="00BC3D94" w:rsidP="00EA3132">
      <w:pPr>
        <w:spacing w:after="0" w:line="240" w:lineRule="auto"/>
      </w:pPr>
      <w:r>
        <w:separator/>
      </w:r>
    </w:p>
  </w:footnote>
  <w:footnote w:type="continuationSeparator" w:id="0">
    <w:p w:rsidR="00BC3D94" w:rsidRDefault="00BC3D94" w:rsidP="00EA3132">
      <w:pPr>
        <w:spacing w:after="0" w:line="240" w:lineRule="auto"/>
      </w:pPr>
      <w:r>
        <w:continuationSeparator/>
      </w:r>
    </w:p>
  </w:footnote>
  <w:footnote w:id="1">
    <w:p w:rsidR="00EA3132" w:rsidRDefault="00EA3132">
      <w:pPr>
        <w:pStyle w:val="Textonotapie"/>
      </w:pPr>
      <w:r>
        <w:rPr>
          <w:rStyle w:val="Refdenotaalpie"/>
        </w:rPr>
        <w:footnoteRef/>
      </w:r>
      <w:r>
        <w:t xml:space="preserve"> </w:t>
      </w:r>
      <w:r w:rsidRPr="00EA3132">
        <w:t>OCDE, 2018, Financiamiento de futuros climáticos: repensar la infraestructura</w:t>
      </w:r>
    </w:p>
    <w:p w:rsidR="00EA3132" w:rsidRDefault="00EA3132">
      <w:pPr>
        <w:pStyle w:val="Textonotapie"/>
      </w:pPr>
    </w:p>
  </w:footnote>
  <w:footnote w:id="2">
    <w:p w:rsidR="00EA3132" w:rsidRDefault="00EA3132">
      <w:pPr>
        <w:pStyle w:val="Textonotapie"/>
      </w:pPr>
      <w:r>
        <w:rPr>
          <w:rStyle w:val="Refdenotaalpie"/>
        </w:rPr>
        <w:footnoteRef/>
      </w:r>
      <w:r>
        <w:t xml:space="preserve"> </w:t>
      </w:r>
      <w:r w:rsidRPr="00EA3132">
        <w:t>KPMG, 2020, Catalyst for Change: Desarrollos financieros sostenibles en Asia Pacífico</w:t>
      </w:r>
    </w:p>
    <w:p w:rsidR="00EA3132" w:rsidRDefault="00EA3132">
      <w:pPr>
        <w:pStyle w:val="Textonotapie"/>
      </w:pPr>
    </w:p>
  </w:footnote>
  <w:footnote w:id="3">
    <w:p w:rsidR="00EA3132" w:rsidRPr="00EA3132" w:rsidRDefault="00EA3132">
      <w:pPr>
        <w:pStyle w:val="Textonotapie"/>
        <w:rPr>
          <w:lang w:val="en-US"/>
        </w:rPr>
      </w:pPr>
      <w:r>
        <w:rPr>
          <w:rStyle w:val="Refdenotaalpie"/>
        </w:rPr>
        <w:footnoteRef/>
      </w:r>
      <w:r w:rsidRPr="00EA3132">
        <w:rPr>
          <w:lang w:val="en-US"/>
        </w:rPr>
        <w:t xml:space="preserve"> Boston Consulting Group y Global Financial Markets Association, 2020, Climate Finance Market and the Real Economy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D0CE9"/>
    <w:multiLevelType w:val="multilevel"/>
    <w:tmpl w:val="D804A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AF59F9"/>
    <w:multiLevelType w:val="multilevel"/>
    <w:tmpl w:val="D81C5F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DE76CB"/>
    <w:multiLevelType w:val="multilevel"/>
    <w:tmpl w:val="2152C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680885"/>
    <w:multiLevelType w:val="multilevel"/>
    <w:tmpl w:val="0428D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213BAE"/>
    <w:multiLevelType w:val="multilevel"/>
    <w:tmpl w:val="834097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AA1BD5"/>
    <w:multiLevelType w:val="multilevel"/>
    <w:tmpl w:val="C0A4E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401B60"/>
    <w:multiLevelType w:val="multilevel"/>
    <w:tmpl w:val="C85E76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3F3F9A"/>
    <w:multiLevelType w:val="multilevel"/>
    <w:tmpl w:val="658C4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581173"/>
    <w:multiLevelType w:val="multilevel"/>
    <w:tmpl w:val="17348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B31199"/>
    <w:multiLevelType w:val="multilevel"/>
    <w:tmpl w:val="A4D29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12160DC"/>
    <w:multiLevelType w:val="multilevel"/>
    <w:tmpl w:val="5E848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8A7AF4"/>
    <w:multiLevelType w:val="multilevel"/>
    <w:tmpl w:val="4796C1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DF16B6"/>
    <w:multiLevelType w:val="multilevel"/>
    <w:tmpl w:val="03901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4286C44"/>
    <w:multiLevelType w:val="multilevel"/>
    <w:tmpl w:val="64F80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AA13D07"/>
    <w:multiLevelType w:val="multilevel"/>
    <w:tmpl w:val="07D24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DD70536"/>
    <w:multiLevelType w:val="multilevel"/>
    <w:tmpl w:val="0FE4E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1EB7621"/>
    <w:multiLevelType w:val="multilevel"/>
    <w:tmpl w:val="27F2E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B3F47A2"/>
    <w:multiLevelType w:val="multilevel"/>
    <w:tmpl w:val="8B98D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C29689D"/>
    <w:multiLevelType w:val="multilevel"/>
    <w:tmpl w:val="550AD2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CFE3FA3"/>
    <w:multiLevelType w:val="multilevel"/>
    <w:tmpl w:val="3C366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D1D75CA"/>
    <w:multiLevelType w:val="multilevel"/>
    <w:tmpl w:val="4F781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9CA45B8"/>
    <w:multiLevelType w:val="multilevel"/>
    <w:tmpl w:val="B0927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BAE48C0"/>
    <w:multiLevelType w:val="multilevel"/>
    <w:tmpl w:val="46709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2BF5E07"/>
    <w:multiLevelType w:val="multilevel"/>
    <w:tmpl w:val="EEA4C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560230A"/>
    <w:multiLevelType w:val="multilevel"/>
    <w:tmpl w:val="D97C2B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5AB044B"/>
    <w:multiLevelType w:val="multilevel"/>
    <w:tmpl w:val="D050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68937DE"/>
    <w:multiLevelType w:val="multilevel"/>
    <w:tmpl w:val="17C43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93E03AA"/>
    <w:multiLevelType w:val="multilevel"/>
    <w:tmpl w:val="89AE5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21"/>
  </w:num>
  <w:num w:numId="3">
    <w:abstractNumId w:val="20"/>
  </w:num>
  <w:num w:numId="4">
    <w:abstractNumId w:val="6"/>
  </w:num>
  <w:num w:numId="5">
    <w:abstractNumId w:val="16"/>
  </w:num>
  <w:num w:numId="6">
    <w:abstractNumId w:val="0"/>
  </w:num>
  <w:num w:numId="7">
    <w:abstractNumId w:val="22"/>
  </w:num>
  <w:num w:numId="8">
    <w:abstractNumId w:val="12"/>
  </w:num>
  <w:num w:numId="9">
    <w:abstractNumId w:val="26"/>
  </w:num>
  <w:num w:numId="10">
    <w:abstractNumId w:val="11"/>
  </w:num>
  <w:num w:numId="11">
    <w:abstractNumId w:val="23"/>
  </w:num>
  <w:num w:numId="12">
    <w:abstractNumId w:val="15"/>
  </w:num>
  <w:num w:numId="13">
    <w:abstractNumId w:val="1"/>
  </w:num>
  <w:num w:numId="14">
    <w:abstractNumId w:val="8"/>
  </w:num>
  <w:num w:numId="15">
    <w:abstractNumId w:val="27"/>
  </w:num>
  <w:num w:numId="16">
    <w:abstractNumId w:val="13"/>
  </w:num>
  <w:num w:numId="17">
    <w:abstractNumId w:val="17"/>
  </w:num>
  <w:num w:numId="18">
    <w:abstractNumId w:val="18"/>
  </w:num>
  <w:num w:numId="19">
    <w:abstractNumId w:val="24"/>
  </w:num>
  <w:num w:numId="20">
    <w:abstractNumId w:val="14"/>
  </w:num>
  <w:num w:numId="21">
    <w:abstractNumId w:val="5"/>
  </w:num>
  <w:num w:numId="22">
    <w:abstractNumId w:val="25"/>
  </w:num>
  <w:num w:numId="23">
    <w:abstractNumId w:val="19"/>
  </w:num>
  <w:num w:numId="24">
    <w:abstractNumId w:val="4"/>
  </w:num>
  <w:num w:numId="25">
    <w:abstractNumId w:val="7"/>
  </w:num>
  <w:num w:numId="26">
    <w:abstractNumId w:val="3"/>
  </w:num>
  <w:num w:numId="27">
    <w:abstractNumId w:val="9"/>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76"/>
    <w:rsid w:val="000F4B68"/>
    <w:rsid w:val="001739B4"/>
    <w:rsid w:val="003B63A5"/>
    <w:rsid w:val="00643976"/>
    <w:rsid w:val="007F1810"/>
    <w:rsid w:val="00BC3D94"/>
    <w:rsid w:val="00EA31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C8A57-3180-421E-8530-348D13189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43976"/>
    <w:rPr>
      <w:color w:val="0563C1" w:themeColor="hyperlink"/>
      <w:u w:val="single"/>
    </w:rPr>
  </w:style>
  <w:style w:type="paragraph" w:styleId="Textonotapie">
    <w:name w:val="footnote text"/>
    <w:basedOn w:val="Normal"/>
    <w:link w:val="TextonotapieCar"/>
    <w:uiPriority w:val="99"/>
    <w:semiHidden/>
    <w:unhideWhenUsed/>
    <w:rsid w:val="00EA313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3132"/>
    <w:rPr>
      <w:sz w:val="20"/>
      <w:szCs w:val="20"/>
    </w:rPr>
  </w:style>
  <w:style w:type="character" w:styleId="Refdenotaalpie">
    <w:name w:val="footnote reference"/>
    <w:basedOn w:val="Fuentedeprrafopredeter"/>
    <w:uiPriority w:val="99"/>
    <w:semiHidden/>
    <w:unhideWhenUsed/>
    <w:rsid w:val="00EA31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97647">
      <w:bodyDiv w:val="1"/>
      <w:marLeft w:val="0"/>
      <w:marRight w:val="0"/>
      <w:marTop w:val="0"/>
      <w:marBottom w:val="0"/>
      <w:divBdr>
        <w:top w:val="none" w:sz="0" w:space="0" w:color="auto"/>
        <w:left w:val="none" w:sz="0" w:space="0" w:color="auto"/>
        <w:bottom w:val="none" w:sz="0" w:space="0" w:color="auto"/>
        <w:right w:val="none" w:sz="0" w:space="0" w:color="auto"/>
      </w:divBdr>
    </w:div>
    <w:div w:id="205800803">
      <w:bodyDiv w:val="1"/>
      <w:marLeft w:val="0"/>
      <w:marRight w:val="0"/>
      <w:marTop w:val="0"/>
      <w:marBottom w:val="0"/>
      <w:divBdr>
        <w:top w:val="none" w:sz="0" w:space="0" w:color="auto"/>
        <w:left w:val="none" w:sz="0" w:space="0" w:color="auto"/>
        <w:bottom w:val="none" w:sz="0" w:space="0" w:color="auto"/>
        <w:right w:val="none" w:sz="0" w:space="0" w:color="auto"/>
      </w:divBdr>
    </w:div>
    <w:div w:id="371077412">
      <w:bodyDiv w:val="1"/>
      <w:marLeft w:val="0"/>
      <w:marRight w:val="0"/>
      <w:marTop w:val="0"/>
      <w:marBottom w:val="0"/>
      <w:divBdr>
        <w:top w:val="none" w:sz="0" w:space="0" w:color="auto"/>
        <w:left w:val="none" w:sz="0" w:space="0" w:color="auto"/>
        <w:bottom w:val="none" w:sz="0" w:space="0" w:color="auto"/>
        <w:right w:val="none" w:sz="0" w:space="0" w:color="auto"/>
      </w:divBdr>
    </w:div>
    <w:div w:id="420221999">
      <w:bodyDiv w:val="1"/>
      <w:marLeft w:val="0"/>
      <w:marRight w:val="0"/>
      <w:marTop w:val="0"/>
      <w:marBottom w:val="0"/>
      <w:divBdr>
        <w:top w:val="none" w:sz="0" w:space="0" w:color="auto"/>
        <w:left w:val="none" w:sz="0" w:space="0" w:color="auto"/>
        <w:bottom w:val="none" w:sz="0" w:space="0" w:color="auto"/>
        <w:right w:val="none" w:sz="0" w:space="0" w:color="auto"/>
      </w:divBdr>
    </w:div>
    <w:div w:id="573514580">
      <w:bodyDiv w:val="1"/>
      <w:marLeft w:val="0"/>
      <w:marRight w:val="0"/>
      <w:marTop w:val="0"/>
      <w:marBottom w:val="0"/>
      <w:divBdr>
        <w:top w:val="none" w:sz="0" w:space="0" w:color="auto"/>
        <w:left w:val="none" w:sz="0" w:space="0" w:color="auto"/>
        <w:bottom w:val="none" w:sz="0" w:space="0" w:color="auto"/>
        <w:right w:val="none" w:sz="0" w:space="0" w:color="auto"/>
      </w:divBdr>
    </w:div>
    <w:div w:id="618727718">
      <w:bodyDiv w:val="1"/>
      <w:marLeft w:val="0"/>
      <w:marRight w:val="0"/>
      <w:marTop w:val="0"/>
      <w:marBottom w:val="0"/>
      <w:divBdr>
        <w:top w:val="none" w:sz="0" w:space="0" w:color="auto"/>
        <w:left w:val="none" w:sz="0" w:space="0" w:color="auto"/>
        <w:bottom w:val="none" w:sz="0" w:space="0" w:color="auto"/>
        <w:right w:val="none" w:sz="0" w:space="0" w:color="auto"/>
      </w:divBdr>
    </w:div>
    <w:div w:id="637958313">
      <w:bodyDiv w:val="1"/>
      <w:marLeft w:val="0"/>
      <w:marRight w:val="0"/>
      <w:marTop w:val="0"/>
      <w:marBottom w:val="0"/>
      <w:divBdr>
        <w:top w:val="none" w:sz="0" w:space="0" w:color="auto"/>
        <w:left w:val="none" w:sz="0" w:space="0" w:color="auto"/>
        <w:bottom w:val="none" w:sz="0" w:space="0" w:color="auto"/>
        <w:right w:val="none" w:sz="0" w:space="0" w:color="auto"/>
      </w:divBdr>
    </w:div>
    <w:div w:id="798033900">
      <w:bodyDiv w:val="1"/>
      <w:marLeft w:val="0"/>
      <w:marRight w:val="0"/>
      <w:marTop w:val="0"/>
      <w:marBottom w:val="0"/>
      <w:divBdr>
        <w:top w:val="none" w:sz="0" w:space="0" w:color="auto"/>
        <w:left w:val="none" w:sz="0" w:space="0" w:color="auto"/>
        <w:bottom w:val="none" w:sz="0" w:space="0" w:color="auto"/>
        <w:right w:val="none" w:sz="0" w:space="0" w:color="auto"/>
      </w:divBdr>
    </w:div>
    <w:div w:id="1088235496">
      <w:bodyDiv w:val="1"/>
      <w:marLeft w:val="0"/>
      <w:marRight w:val="0"/>
      <w:marTop w:val="0"/>
      <w:marBottom w:val="0"/>
      <w:divBdr>
        <w:top w:val="none" w:sz="0" w:space="0" w:color="auto"/>
        <w:left w:val="none" w:sz="0" w:space="0" w:color="auto"/>
        <w:bottom w:val="none" w:sz="0" w:space="0" w:color="auto"/>
        <w:right w:val="none" w:sz="0" w:space="0" w:color="auto"/>
      </w:divBdr>
    </w:div>
    <w:div w:id="1298489806">
      <w:bodyDiv w:val="1"/>
      <w:marLeft w:val="0"/>
      <w:marRight w:val="0"/>
      <w:marTop w:val="0"/>
      <w:marBottom w:val="0"/>
      <w:divBdr>
        <w:top w:val="none" w:sz="0" w:space="0" w:color="auto"/>
        <w:left w:val="none" w:sz="0" w:space="0" w:color="auto"/>
        <w:bottom w:val="none" w:sz="0" w:space="0" w:color="auto"/>
        <w:right w:val="none" w:sz="0" w:space="0" w:color="auto"/>
      </w:divBdr>
    </w:div>
    <w:div w:id="1327510965">
      <w:bodyDiv w:val="1"/>
      <w:marLeft w:val="0"/>
      <w:marRight w:val="0"/>
      <w:marTop w:val="0"/>
      <w:marBottom w:val="0"/>
      <w:divBdr>
        <w:top w:val="none" w:sz="0" w:space="0" w:color="auto"/>
        <w:left w:val="none" w:sz="0" w:space="0" w:color="auto"/>
        <w:bottom w:val="none" w:sz="0" w:space="0" w:color="auto"/>
        <w:right w:val="none" w:sz="0" w:space="0" w:color="auto"/>
      </w:divBdr>
    </w:div>
    <w:div w:id="1506558379">
      <w:bodyDiv w:val="1"/>
      <w:marLeft w:val="0"/>
      <w:marRight w:val="0"/>
      <w:marTop w:val="0"/>
      <w:marBottom w:val="0"/>
      <w:divBdr>
        <w:top w:val="none" w:sz="0" w:space="0" w:color="auto"/>
        <w:left w:val="none" w:sz="0" w:space="0" w:color="auto"/>
        <w:bottom w:val="none" w:sz="0" w:space="0" w:color="auto"/>
        <w:right w:val="none" w:sz="0" w:space="0" w:color="auto"/>
      </w:divBdr>
    </w:div>
    <w:div w:id="1567690218">
      <w:bodyDiv w:val="1"/>
      <w:marLeft w:val="0"/>
      <w:marRight w:val="0"/>
      <w:marTop w:val="0"/>
      <w:marBottom w:val="0"/>
      <w:divBdr>
        <w:top w:val="none" w:sz="0" w:space="0" w:color="auto"/>
        <w:left w:val="none" w:sz="0" w:space="0" w:color="auto"/>
        <w:bottom w:val="none" w:sz="0" w:space="0" w:color="auto"/>
        <w:right w:val="none" w:sz="0" w:space="0" w:color="auto"/>
      </w:divBdr>
    </w:div>
    <w:div w:id="1608468151">
      <w:bodyDiv w:val="1"/>
      <w:marLeft w:val="0"/>
      <w:marRight w:val="0"/>
      <w:marTop w:val="0"/>
      <w:marBottom w:val="0"/>
      <w:divBdr>
        <w:top w:val="none" w:sz="0" w:space="0" w:color="auto"/>
        <w:left w:val="none" w:sz="0" w:space="0" w:color="auto"/>
        <w:bottom w:val="none" w:sz="0" w:space="0" w:color="auto"/>
        <w:right w:val="none" w:sz="0" w:space="0" w:color="auto"/>
      </w:divBdr>
    </w:div>
    <w:div w:id="1749426329">
      <w:bodyDiv w:val="1"/>
      <w:marLeft w:val="0"/>
      <w:marRight w:val="0"/>
      <w:marTop w:val="0"/>
      <w:marBottom w:val="0"/>
      <w:divBdr>
        <w:top w:val="none" w:sz="0" w:space="0" w:color="auto"/>
        <w:left w:val="none" w:sz="0" w:space="0" w:color="auto"/>
        <w:bottom w:val="none" w:sz="0" w:space="0" w:color="auto"/>
        <w:right w:val="none" w:sz="0" w:space="0" w:color="auto"/>
      </w:divBdr>
    </w:div>
    <w:div w:id="1880704396">
      <w:bodyDiv w:val="1"/>
      <w:marLeft w:val="0"/>
      <w:marRight w:val="0"/>
      <w:marTop w:val="0"/>
      <w:marBottom w:val="0"/>
      <w:divBdr>
        <w:top w:val="none" w:sz="0" w:space="0" w:color="auto"/>
        <w:left w:val="none" w:sz="0" w:space="0" w:color="auto"/>
        <w:bottom w:val="none" w:sz="0" w:space="0" w:color="auto"/>
        <w:right w:val="none" w:sz="0" w:space="0" w:color="auto"/>
      </w:divBdr>
    </w:div>
    <w:div w:id="192676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gov.sg/news/speeches/2021/what-we-need-to-do-to-make-green-finance-work#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F889D-826C-4F81-B7A5-E8B5F0B8B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2796</Words>
  <Characters>15380</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3</cp:revision>
  <dcterms:created xsi:type="dcterms:W3CDTF">2021-10-13T20:30:00Z</dcterms:created>
  <dcterms:modified xsi:type="dcterms:W3CDTF">2021-10-13T20:51:00Z</dcterms:modified>
</cp:coreProperties>
</file>