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00" w:rsidRDefault="00FB5F00" w:rsidP="00FB5F00">
      <w:pPr>
        <w:jc w:val="both"/>
        <w:rPr>
          <w:rFonts w:ascii="Arial" w:hAnsi="Arial" w:cs="Arial"/>
          <w:b/>
          <w:bCs/>
        </w:rPr>
      </w:pPr>
      <w:r>
        <w:rPr>
          <w:rFonts w:ascii="Arial" w:hAnsi="Arial" w:cs="Arial"/>
          <w:b/>
          <w:bCs/>
        </w:rPr>
        <w:t xml:space="preserve">Noticias de </w:t>
      </w:r>
      <w:proofErr w:type="spellStart"/>
      <w:r>
        <w:rPr>
          <w:rFonts w:ascii="Arial" w:hAnsi="Arial" w:cs="Arial"/>
          <w:b/>
          <w:bCs/>
        </w:rPr>
        <w:t>Value</w:t>
      </w:r>
      <w:proofErr w:type="spellEnd"/>
      <w:r>
        <w:rPr>
          <w:rFonts w:ascii="Arial" w:hAnsi="Arial" w:cs="Arial"/>
          <w:b/>
          <w:bCs/>
        </w:rPr>
        <w:t xml:space="preserve"> </w:t>
      </w:r>
      <w:proofErr w:type="spellStart"/>
      <w:r>
        <w:rPr>
          <w:rFonts w:ascii="Arial" w:hAnsi="Arial" w:cs="Arial"/>
          <w:b/>
          <w:bCs/>
        </w:rPr>
        <w:t>Reporting</w:t>
      </w:r>
      <w:proofErr w:type="spellEnd"/>
      <w:r>
        <w:rPr>
          <w:rFonts w:ascii="Arial" w:hAnsi="Arial" w:cs="Arial"/>
          <w:b/>
          <w:bCs/>
        </w:rPr>
        <w:t xml:space="preserve"> </w:t>
      </w:r>
      <w:proofErr w:type="spellStart"/>
      <w:r>
        <w:rPr>
          <w:rFonts w:ascii="Arial" w:hAnsi="Arial" w:cs="Arial"/>
          <w:b/>
          <w:bCs/>
        </w:rPr>
        <w:t>Foundation</w:t>
      </w:r>
      <w:proofErr w:type="spellEnd"/>
    </w:p>
    <w:p w:rsidR="00FB5F00" w:rsidRDefault="00FB5F00" w:rsidP="00FB5F00">
      <w:pPr>
        <w:jc w:val="both"/>
        <w:rPr>
          <w:rFonts w:ascii="Arial" w:hAnsi="Arial" w:cs="Arial"/>
          <w:bCs/>
        </w:rPr>
      </w:pPr>
    </w:p>
    <w:p w:rsidR="00FB5F00" w:rsidRPr="00FB5F00" w:rsidRDefault="00FB5F00" w:rsidP="00FB5F00">
      <w:pPr>
        <w:jc w:val="both"/>
        <w:rPr>
          <w:rFonts w:ascii="Arial" w:hAnsi="Arial" w:cs="Arial"/>
          <w:bCs/>
        </w:rPr>
      </w:pPr>
      <w:r w:rsidRPr="00FB5F00">
        <w:rPr>
          <w:rFonts w:ascii="Arial" w:hAnsi="Arial" w:cs="Arial"/>
          <w:bCs/>
        </w:rPr>
        <w:t>16 de junio de 2021</w:t>
      </w:r>
      <w:bookmarkStart w:id="0" w:name="_GoBack"/>
      <w:bookmarkEnd w:id="0"/>
    </w:p>
    <w:p w:rsidR="00FB5F00" w:rsidRPr="00FB5F00" w:rsidRDefault="00FB5F00" w:rsidP="00FB5F00">
      <w:pPr>
        <w:jc w:val="both"/>
        <w:rPr>
          <w:rFonts w:ascii="Arial" w:hAnsi="Arial" w:cs="Arial"/>
          <w:bCs/>
        </w:rPr>
      </w:pPr>
      <w:r w:rsidRPr="00FB5F00">
        <w:rPr>
          <w:rFonts w:ascii="Arial" w:hAnsi="Arial" w:cs="Arial"/>
          <w:b/>
          <w:bCs/>
        </w:rPr>
        <w:br/>
      </w:r>
      <w:r w:rsidRPr="00FB5F00">
        <w:rPr>
          <w:rFonts w:ascii="Arial" w:hAnsi="Arial" w:cs="Arial"/>
          <w:bCs/>
        </w:rPr>
        <w:t>Palabras de bienvenida del director ejecutivo</w:t>
      </w:r>
    </w:p>
    <w:p w:rsidR="00FB5F00" w:rsidRDefault="00FB5F00" w:rsidP="00FB5F00">
      <w:pPr>
        <w:jc w:val="both"/>
        <w:rPr>
          <w:rFonts w:ascii="Arial" w:hAnsi="Arial" w:cs="Arial"/>
          <w:b/>
          <w:bCs/>
        </w:rPr>
      </w:pPr>
    </w:p>
    <w:p w:rsidR="00FB5F00" w:rsidRPr="00FB5F00" w:rsidRDefault="00FB5F00" w:rsidP="00FB5F00">
      <w:pPr>
        <w:jc w:val="both"/>
        <w:rPr>
          <w:rFonts w:ascii="Arial" w:hAnsi="Arial" w:cs="Arial"/>
        </w:rPr>
      </w:pPr>
      <w:r w:rsidRPr="00FB5F00">
        <w:rPr>
          <w:rFonts w:ascii="Arial" w:hAnsi="Arial" w:cs="Arial"/>
          <w:b/>
          <w:bCs/>
        </w:rPr>
        <w:t xml:space="preserve">Por Janine </w:t>
      </w:r>
      <w:proofErr w:type="spellStart"/>
      <w:r w:rsidRPr="00FB5F00">
        <w:rPr>
          <w:rFonts w:ascii="Arial" w:hAnsi="Arial" w:cs="Arial"/>
          <w:b/>
          <w:bCs/>
        </w:rPr>
        <w:t>Guillot</w:t>
      </w:r>
      <w:proofErr w:type="spellEnd"/>
    </w:p>
    <w:p w:rsidR="00FB5F00" w:rsidRPr="00FB5F00" w:rsidRDefault="00FB5F00" w:rsidP="00FB5F00">
      <w:pPr>
        <w:jc w:val="both"/>
        <w:rPr>
          <w:rFonts w:ascii="Arial" w:hAnsi="Arial" w:cs="Arial"/>
        </w:rPr>
      </w:pPr>
      <w:r w:rsidRPr="00FB5F00">
        <w:rPr>
          <w:rFonts w:ascii="Arial" w:hAnsi="Arial" w:cs="Arial"/>
        </w:rPr>
        <w:t xml:space="preserve">La semana pasada anunciamos la fusión del IIRC y SASB en </w:t>
      </w:r>
      <w:proofErr w:type="spellStart"/>
      <w:r w:rsidRPr="00FB5F00">
        <w:rPr>
          <w:rFonts w:ascii="Arial" w:hAnsi="Arial" w:cs="Arial"/>
        </w:rPr>
        <w:t>Value</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w:t>
      </w:r>
      <w:proofErr w:type="spellStart"/>
      <w:r w:rsidRPr="00FB5F00">
        <w:rPr>
          <w:rFonts w:ascii="Arial" w:hAnsi="Arial" w:cs="Arial"/>
        </w:rPr>
        <w:t>Foundation</w:t>
      </w:r>
      <w:proofErr w:type="spellEnd"/>
      <w:r w:rsidRPr="00FB5F00">
        <w:rPr>
          <w:rFonts w:ascii="Arial" w:hAnsi="Arial" w:cs="Arial"/>
        </w:rPr>
        <w:t xml:space="preserve">, una organización que estoy encantado de liderar como CEO. Me gustaría compartir más sobre el propósito de </w:t>
      </w:r>
      <w:proofErr w:type="spellStart"/>
      <w:r w:rsidRPr="00FB5F00">
        <w:rPr>
          <w:rFonts w:ascii="Arial" w:hAnsi="Arial" w:cs="Arial"/>
        </w:rPr>
        <w:t>Value</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w:t>
      </w:r>
      <w:proofErr w:type="spellStart"/>
      <w:r w:rsidRPr="00FB5F00">
        <w:rPr>
          <w:rFonts w:ascii="Arial" w:hAnsi="Arial" w:cs="Arial"/>
        </w:rPr>
        <w:t>Foundation</w:t>
      </w:r>
      <w:proofErr w:type="spellEnd"/>
      <w:r w:rsidRPr="00FB5F00">
        <w:rPr>
          <w:rFonts w:ascii="Arial" w:hAnsi="Arial" w:cs="Arial"/>
        </w:rPr>
        <w:t xml:space="preserve"> y cómo la Fundación encaja en el panorama global de informes corporativos.</w:t>
      </w:r>
    </w:p>
    <w:p w:rsidR="00FB5F00" w:rsidRPr="00FB5F00" w:rsidRDefault="00FB5F00" w:rsidP="00FB5F00">
      <w:pPr>
        <w:jc w:val="both"/>
        <w:rPr>
          <w:rFonts w:ascii="Arial" w:hAnsi="Arial" w:cs="Arial"/>
        </w:rPr>
      </w:pPr>
      <w:r w:rsidRPr="00FB5F00">
        <w:rPr>
          <w:rFonts w:ascii="Arial" w:hAnsi="Arial" w:cs="Arial"/>
        </w:rPr>
        <w:t>Este es un año trascendental para el avance de los informes corporativos integrales, con múltiples fuerzas líderes mundiales dando pasos importantes hacia adelante.</w:t>
      </w:r>
    </w:p>
    <w:p w:rsidR="00FB5F00" w:rsidRPr="00FB5F00" w:rsidRDefault="00FB5F00" w:rsidP="00FB5F00">
      <w:pPr>
        <w:jc w:val="both"/>
        <w:rPr>
          <w:rFonts w:ascii="Arial" w:hAnsi="Arial" w:cs="Arial"/>
        </w:rPr>
      </w:pPr>
      <w:r w:rsidRPr="00FB5F00">
        <w:rPr>
          <w:rFonts w:ascii="Arial" w:hAnsi="Arial" w:cs="Arial"/>
        </w:rPr>
        <w:t>Permítanme comenzar contándoles por qué el IIRC y SASB decidieron fusionarse. Las empresas y los inversores llevan mucho tiempo pidiendo más claridad y simplicidad en el panorama de los informes corporativos. Nuestra fusión es una respuesta directa a este llamado. Al combinar nuestras herramientas, recursos y relaciones, la fusión también nos posiciona mejor para apoyar a organismos clave como la Fundación IFRS — y continuar trabajando con nuestros colegas en todo el mundo — para impulsar el progreso hacia un sistema de informes corporativos más coherente e integral.</w:t>
      </w:r>
    </w:p>
    <w:p w:rsidR="00FB5F00" w:rsidRPr="00FB5F00" w:rsidRDefault="00FB5F00" w:rsidP="00FB5F00">
      <w:pPr>
        <w:jc w:val="both"/>
        <w:rPr>
          <w:rFonts w:ascii="Arial" w:hAnsi="Arial" w:cs="Arial"/>
        </w:rPr>
      </w:pPr>
      <w:r w:rsidRPr="00FB5F00">
        <w:rPr>
          <w:rFonts w:ascii="Arial" w:hAnsi="Arial" w:cs="Arial"/>
        </w:rPr>
        <w:t xml:space="preserve">La </w:t>
      </w:r>
      <w:proofErr w:type="spellStart"/>
      <w:r w:rsidRPr="00FB5F00">
        <w:rPr>
          <w:rFonts w:ascii="Arial" w:hAnsi="Arial" w:cs="Arial"/>
        </w:rPr>
        <w:t>Value</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w:t>
      </w:r>
      <w:proofErr w:type="spellStart"/>
      <w:r w:rsidRPr="00FB5F00">
        <w:rPr>
          <w:rFonts w:ascii="Arial" w:hAnsi="Arial" w:cs="Arial"/>
        </w:rPr>
        <w:t>Foundation</w:t>
      </w:r>
      <w:proofErr w:type="spellEnd"/>
      <w:r w:rsidRPr="00FB5F00">
        <w:rPr>
          <w:rFonts w:ascii="Arial" w:hAnsi="Arial" w:cs="Arial"/>
        </w:rPr>
        <w:t xml:space="preserve"> operará como una organización global con una estrategia unificada. Nuestro objetivo es ayudar a las empresas y los inversores a desarrollar una comprensión compartida de los impulsores del valor empresarial y cómo se crea, conserva o erosiona el valor con el tiempo. Apoyamos la toma de decisiones de negocios e inversores con tres recursos clave: Principios de pensamiento integrado, Marco de informes integrado y Estándares SASB. Estas herramientas, ya adoptadas en más de 70 países, comprenden la infraestructura de mercado del siglo XXI que nuestro mundo necesita al facilitar que las empresas comuniquen la estrategia a largo plazo y brinden una visión integral del desempeño corporativo a los inversionistas y otros proveedores de capital.</w:t>
      </w:r>
    </w:p>
    <w:p w:rsidR="00FB5F00" w:rsidRPr="00FB5F00" w:rsidRDefault="00FB5F00" w:rsidP="00FB5F00">
      <w:pPr>
        <w:jc w:val="both"/>
        <w:rPr>
          <w:rFonts w:ascii="Arial" w:hAnsi="Arial" w:cs="Arial"/>
        </w:rPr>
      </w:pPr>
      <w:r w:rsidRPr="00FB5F00">
        <w:rPr>
          <w:rFonts w:ascii="Arial" w:hAnsi="Arial" w:cs="Arial"/>
        </w:rPr>
        <w:t xml:space="preserve">El </w:t>
      </w:r>
      <w:proofErr w:type="spellStart"/>
      <w:r w:rsidRPr="00FB5F00">
        <w:rPr>
          <w:rFonts w:ascii="Arial" w:hAnsi="Arial" w:cs="Arial"/>
        </w:rPr>
        <w:t>Integrated</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Framework y los estándares SASB ya son herramientas complementarias, y muchas empresas ya las utilizan juntas. El Marco Integrado de Informes proporciona una guía basada en principios para el contenido del informe, mientras que los Estándares SASB proporcionan métricas y temas de divulgación específicos de la industria para su uso en un informe integrado. Ya existe una estrecha alineación entre los capitales del </w:t>
      </w:r>
      <w:proofErr w:type="spellStart"/>
      <w:r w:rsidRPr="00FB5F00">
        <w:rPr>
          <w:rFonts w:ascii="Arial" w:hAnsi="Arial" w:cs="Arial"/>
        </w:rPr>
        <w:t>Integrated</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Framework y las dimensiones de sostenibilidad de SASB y, con el tiempo, tenemos la intención de armonizarlas por completo. Esto facilitará a las empresas el uso conjunto del Marco de informes integrado y los Estándares SASB.</w:t>
      </w:r>
    </w:p>
    <w:p w:rsidR="00FB5F00" w:rsidRPr="00FB5F00" w:rsidRDefault="00FB5F00" w:rsidP="00FB5F00">
      <w:pPr>
        <w:jc w:val="both"/>
        <w:rPr>
          <w:rFonts w:ascii="Arial" w:hAnsi="Arial" w:cs="Arial"/>
        </w:rPr>
      </w:pPr>
      <w:r w:rsidRPr="00FB5F00">
        <w:rPr>
          <w:rFonts w:ascii="Arial" w:hAnsi="Arial" w:cs="Arial"/>
        </w:rPr>
        <w:t xml:space="preserve">Ahora, permítanme hablar sobre cómo operará la </w:t>
      </w:r>
      <w:proofErr w:type="spellStart"/>
      <w:r w:rsidRPr="00FB5F00">
        <w:rPr>
          <w:rFonts w:ascii="Arial" w:hAnsi="Arial" w:cs="Arial"/>
        </w:rPr>
        <w:t>Value</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w:t>
      </w:r>
      <w:proofErr w:type="spellStart"/>
      <w:r w:rsidRPr="00FB5F00">
        <w:rPr>
          <w:rFonts w:ascii="Arial" w:hAnsi="Arial" w:cs="Arial"/>
        </w:rPr>
        <w:t>Foundation</w:t>
      </w:r>
      <w:proofErr w:type="spellEnd"/>
      <w:r w:rsidRPr="00FB5F00">
        <w:rPr>
          <w:rFonts w:ascii="Arial" w:hAnsi="Arial" w:cs="Arial"/>
        </w:rPr>
        <w:t xml:space="preserve"> dentro del panorama global de informes. Como mencioné, este es un año trascendental para promover la divulgación de la sostenibilidad.</w:t>
      </w:r>
    </w:p>
    <w:p w:rsidR="00FB5F00" w:rsidRPr="00FB5F00" w:rsidRDefault="00FB5F00" w:rsidP="00FB5F00">
      <w:pPr>
        <w:jc w:val="both"/>
        <w:rPr>
          <w:rFonts w:ascii="Arial" w:hAnsi="Arial" w:cs="Arial"/>
        </w:rPr>
      </w:pPr>
      <w:r w:rsidRPr="00FB5F00">
        <w:rPr>
          <w:rFonts w:ascii="Arial" w:hAnsi="Arial" w:cs="Arial"/>
        </w:rPr>
        <w:lastRenderedPageBreak/>
        <w:t xml:space="preserve">La Fundación IFRS ha anunciado planes preliminares para desarrollar un Consejo de Normas Internacionales de Sostenibilidad, también conocido como ISSB. Creemos que la Fundación IFRS está en una posición única para establecer legitimidad en torno a los estándares de divulgación de sostenibilidad para los mercados de capitales globales, tal como lo hizo para los informes financieros. La </w:t>
      </w:r>
      <w:proofErr w:type="spellStart"/>
      <w:r w:rsidRPr="00FB5F00">
        <w:rPr>
          <w:rFonts w:ascii="Arial" w:hAnsi="Arial" w:cs="Arial"/>
        </w:rPr>
        <w:t>Value</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w:t>
      </w:r>
      <w:proofErr w:type="spellStart"/>
      <w:r w:rsidRPr="00FB5F00">
        <w:rPr>
          <w:rFonts w:ascii="Arial" w:hAnsi="Arial" w:cs="Arial"/>
        </w:rPr>
        <w:t>Foundation</w:t>
      </w:r>
      <w:proofErr w:type="spellEnd"/>
      <w:r w:rsidRPr="00FB5F00">
        <w:rPr>
          <w:rFonts w:ascii="Arial" w:hAnsi="Arial" w:cs="Arial"/>
        </w:rPr>
        <w:t xml:space="preserve"> participa en el Grupo de Trabajo de Preparación Técnica de la Fundación IFRS para informar los planes para la ISSB.</w:t>
      </w:r>
    </w:p>
    <w:p w:rsidR="00FB5F00" w:rsidRPr="00FB5F00" w:rsidRDefault="00FB5F00" w:rsidP="00FB5F00">
      <w:pPr>
        <w:jc w:val="both"/>
        <w:rPr>
          <w:rFonts w:ascii="Arial" w:hAnsi="Arial" w:cs="Arial"/>
        </w:rPr>
      </w:pPr>
      <w:r w:rsidRPr="00FB5F00">
        <w:rPr>
          <w:rFonts w:ascii="Arial" w:hAnsi="Arial" w:cs="Arial"/>
        </w:rPr>
        <w:t>Además del esfuerzo de las NIIF, la Comisión Europea se está moviendo rápidamente. La Comisión Europea ha dado pasos importantes para impulsar los informes de sostenibilidad a través de su Directiva de informes de sostenibilidad corporativa y el Reglamento de divulgación de finanzas sostenibles. Estas Directivas están teniendo un impacto global y están catalizando el progreso global.</w:t>
      </w:r>
    </w:p>
    <w:p w:rsidR="00FB5F00" w:rsidRPr="00FB5F00" w:rsidRDefault="00FB5F00" w:rsidP="00FB5F00">
      <w:pPr>
        <w:jc w:val="both"/>
        <w:rPr>
          <w:rFonts w:ascii="Arial" w:hAnsi="Arial" w:cs="Arial"/>
        </w:rPr>
      </w:pPr>
      <w:r w:rsidRPr="00FB5F00">
        <w:rPr>
          <w:rFonts w:ascii="Arial" w:hAnsi="Arial" w:cs="Arial"/>
        </w:rPr>
        <w:t>La SEC de EE. UU. Ha invitado a una consulta pública sobre la divulgación climática y también está enviando señales sobre la apertura a la cooperación internacional.</w:t>
      </w:r>
    </w:p>
    <w:p w:rsidR="00FB5F00" w:rsidRPr="00FB5F00" w:rsidRDefault="00FB5F00" w:rsidP="00FB5F00">
      <w:pPr>
        <w:jc w:val="both"/>
        <w:rPr>
          <w:rFonts w:ascii="Arial" w:hAnsi="Arial" w:cs="Arial"/>
        </w:rPr>
      </w:pPr>
      <w:r w:rsidRPr="00FB5F00">
        <w:rPr>
          <w:rFonts w:ascii="Arial" w:hAnsi="Arial" w:cs="Arial"/>
        </w:rPr>
        <w:t>Afortunadamente, existe una base sólida de trabajo sobre la que se pueden construir todos estos esfuerzos. El otoño pasado, SASB y el IIRC colaboraron con otras tres organizaciones líderes, CDP, CDSB y GRI, para publicar una visión compartida para un sistema de informes corporativos integral que incluye tanto la contabilidad financiera como la divulgación de sostenibilidad, conectados a través de informes integrados. La fusión de IIRC y SASB surgió de esta importante colaboración del "grupo de los cinco". Nos complació mucho ver que muchas de las respuestas a la consulta de las NIIF con respecto al ISSB hacían referencia al trabajo del “grupo de los cinco”.</w:t>
      </w:r>
    </w:p>
    <w:p w:rsidR="00FB5F00" w:rsidRPr="00FB5F00" w:rsidRDefault="00FB5F00" w:rsidP="00FB5F00">
      <w:pPr>
        <w:jc w:val="both"/>
        <w:rPr>
          <w:rFonts w:ascii="Arial" w:hAnsi="Arial" w:cs="Arial"/>
        </w:rPr>
      </w:pPr>
      <w:r w:rsidRPr="00FB5F00">
        <w:rPr>
          <w:rFonts w:ascii="Arial" w:hAnsi="Arial" w:cs="Arial"/>
        </w:rPr>
        <w:t>Me gustaría dedicar un momento a hablar sobre por qué necesitamos un sistema global para la divulgación corporativa. La información sobre sostenibilidad sirve a una gama más amplia de partes interesadas, incluidos empleados, clientes, sociedad civil, responsables políticos e inversores, que los informes financieros tradicionales.</w:t>
      </w:r>
    </w:p>
    <w:p w:rsidR="00FB5F00" w:rsidRPr="00FB5F00" w:rsidRDefault="00FB5F00" w:rsidP="00FB5F00">
      <w:pPr>
        <w:jc w:val="both"/>
        <w:rPr>
          <w:rFonts w:ascii="Arial" w:hAnsi="Arial" w:cs="Arial"/>
        </w:rPr>
      </w:pPr>
      <w:r w:rsidRPr="00FB5F00">
        <w:rPr>
          <w:rFonts w:ascii="Arial" w:hAnsi="Arial" w:cs="Arial"/>
        </w:rPr>
        <w:t>Y, como se describe en el concepto de “doble materialidad” de la UE, hay dos lentes a través de los cuales estos diferentes tipos de partes interesadas pueden ver los problemas de ESG. Una lente es cómo los problemas de sostenibilidad afectan el desempeño financiero de una empresa y el valor empresarial a largo plazo. Otro lente es cómo las actividades de una empresa impactan a la sociedad y al medio ambiente. Ambos lentes son valiosos e importantes.</w:t>
      </w:r>
    </w:p>
    <w:p w:rsidR="00FB5F00" w:rsidRPr="00FB5F00" w:rsidRDefault="00FB5F00" w:rsidP="00FB5F00">
      <w:pPr>
        <w:jc w:val="both"/>
        <w:rPr>
          <w:rFonts w:ascii="Arial" w:hAnsi="Arial" w:cs="Arial"/>
        </w:rPr>
      </w:pPr>
      <w:r w:rsidRPr="00FB5F00">
        <w:rPr>
          <w:rFonts w:ascii="Arial" w:hAnsi="Arial" w:cs="Arial"/>
        </w:rPr>
        <w:t>Además, los problemas de sostenibilidad trascienden las fronteras internacionales. Sin embargo, las diferentes jurisdicciones tienen mandatos regulatorios y marcos legales únicos que rigen la divulgación corporativa.</w:t>
      </w:r>
    </w:p>
    <w:p w:rsidR="00FB5F00" w:rsidRPr="00FB5F00" w:rsidRDefault="00FB5F00" w:rsidP="00FB5F00">
      <w:pPr>
        <w:jc w:val="both"/>
        <w:rPr>
          <w:rFonts w:ascii="Arial" w:hAnsi="Arial" w:cs="Arial"/>
        </w:rPr>
      </w:pPr>
      <w:r w:rsidRPr="00FB5F00">
        <w:rPr>
          <w:rFonts w:ascii="Arial" w:hAnsi="Arial" w:cs="Arial"/>
        </w:rPr>
        <w:t xml:space="preserve">Por lo tanto, simplificar el panorama de divulgación de ESG, que tanto las empresas como los inversores condenan como la "sopa de letras", es complejo. Pero no es imposible. Creemos que la solución es un enfoque de "bloques de construcción". Un bloque de construcción es un conjunto básico de estándares globales, centrado en cómo los problemas de sostenibilidad impactan el valor empresarial y dirigido a la divulgación a los inversores y otros proveedores de capital. Este componente básico se centraría en satisfacer las necesidades básicas de información de los mercados de capital </w:t>
      </w:r>
      <w:r w:rsidRPr="00FB5F00">
        <w:rPr>
          <w:rFonts w:ascii="Arial" w:hAnsi="Arial" w:cs="Arial"/>
        </w:rPr>
        <w:lastRenderedPageBreak/>
        <w:t>globales. Creemos que los recursos desarrollados por IIRC y SASB durante 10 años pueden contribuir a esta solución bajo los auspicios de la Fundación IFRS.</w:t>
      </w:r>
    </w:p>
    <w:p w:rsidR="00FB5F00" w:rsidRPr="00FB5F00" w:rsidRDefault="00FB5F00" w:rsidP="00FB5F00">
      <w:pPr>
        <w:jc w:val="both"/>
        <w:rPr>
          <w:rFonts w:ascii="Arial" w:hAnsi="Arial" w:cs="Arial"/>
        </w:rPr>
      </w:pPr>
      <w:r w:rsidRPr="00FB5F00">
        <w:rPr>
          <w:rFonts w:ascii="Arial" w:hAnsi="Arial" w:cs="Arial"/>
        </w:rPr>
        <w:t xml:space="preserve">Juntos como </w:t>
      </w:r>
      <w:proofErr w:type="spellStart"/>
      <w:r w:rsidRPr="00FB5F00">
        <w:rPr>
          <w:rFonts w:ascii="Arial" w:hAnsi="Arial" w:cs="Arial"/>
        </w:rPr>
        <w:t>Value</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w:t>
      </w:r>
      <w:proofErr w:type="spellStart"/>
      <w:r w:rsidRPr="00FB5F00">
        <w:rPr>
          <w:rFonts w:ascii="Arial" w:hAnsi="Arial" w:cs="Arial"/>
        </w:rPr>
        <w:t>Foundation</w:t>
      </w:r>
      <w:proofErr w:type="spellEnd"/>
      <w:r w:rsidRPr="00FB5F00">
        <w:rPr>
          <w:rFonts w:ascii="Arial" w:hAnsi="Arial" w:cs="Arial"/>
        </w:rPr>
        <w:t>, con herramientas, recursos y relaciones combinadas de IIRC y SASB, podemos ayudar a los líderes clave a avanzar hacia un panorama de divulgación corporativa simplificado.</w:t>
      </w:r>
    </w:p>
    <w:p w:rsidR="00FB5F00" w:rsidRPr="00FB5F00" w:rsidRDefault="00FB5F00" w:rsidP="00FB5F00">
      <w:pPr>
        <w:jc w:val="both"/>
        <w:rPr>
          <w:rFonts w:ascii="Arial" w:hAnsi="Arial" w:cs="Arial"/>
        </w:rPr>
      </w:pPr>
      <w:r w:rsidRPr="00FB5F00">
        <w:rPr>
          <w:rFonts w:ascii="Arial" w:hAnsi="Arial" w:cs="Arial"/>
        </w:rPr>
        <w:t>Visualizamos un futuro en el que un sistema coherente y completo de informes corporativos ayude a alinear los intereses de las empresas, los inversores y la sociedad en general.</w:t>
      </w:r>
    </w:p>
    <w:p w:rsidR="00FB5F00" w:rsidRPr="00FB5F00" w:rsidRDefault="00FB5F00" w:rsidP="00FB5F00">
      <w:pPr>
        <w:jc w:val="both"/>
        <w:rPr>
          <w:rFonts w:ascii="Arial" w:hAnsi="Arial" w:cs="Arial"/>
        </w:rPr>
      </w:pPr>
      <w:r w:rsidRPr="00FB5F00">
        <w:rPr>
          <w:rFonts w:ascii="Arial" w:hAnsi="Arial" w:cs="Arial"/>
        </w:rPr>
        <w:t xml:space="preserve">SASB y IIRC celebraron sus primeros 10 años de éxito el año pasado. Ambas organizaciones abrieron un camino tremendo en su primera década. Juntos, como </w:t>
      </w:r>
      <w:proofErr w:type="spellStart"/>
      <w:r w:rsidRPr="00FB5F00">
        <w:rPr>
          <w:rFonts w:ascii="Arial" w:hAnsi="Arial" w:cs="Arial"/>
        </w:rPr>
        <w:t>Value</w:t>
      </w:r>
      <w:proofErr w:type="spellEnd"/>
      <w:r w:rsidRPr="00FB5F00">
        <w:rPr>
          <w:rFonts w:ascii="Arial" w:hAnsi="Arial" w:cs="Arial"/>
        </w:rPr>
        <w:t xml:space="preserve"> </w:t>
      </w:r>
      <w:proofErr w:type="spellStart"/>
      <w:r w:rsidRPr="00FB5F00">
        <w:rPr>
          <w:rFonts w:ascii="Arial" w:hAnsi="Arial" w:cs="Arial"/>
        </w:rPr>
        <w:t>Reporting</w:t>
      </w:r>
      <w:proofErr w:type="spellEnd"/>
      <w:r w:rsidRPr="00FB5F00">
        <w:rPr>
          <w:rFonts w:ascii="Arial" w:hAnsi="Arial" w:cs="Arial"/>
        </w:rPr>
        <w:t xml:space="preserve"> </w:t>
      </w:r>
      <w:proofErr w:type="spellStart"/>
      <w:r w:rsidRPr="00FB5F00">
        <w:rPr>
          <w:rFonts w:ascii="Arial" w:hAnsi="Arial" w:cs="Arial"/>
        </w:rPr>
        <w:t>Foundation</w:t>
      </w:r>
      <w:proofErr w:type="spellEnd"/>
      <w:r w:rsidRPr="00FB5F00">
        <w:rPr>
          <w:rFonts w:ascii="Arial" w:hAnsi="Arial" w:cs="Arial"/>
        </w:rPr>
        <w:t>, podemos ir más lejos y más rápido en la próxima década.</w:t>
      </w:r>
    </w:p>
    <w:p w:rsidR="00ED7650" w:rsidRPr="00FB5F00" w:rsidRDefault="00FB5F00" w:rsidP="00FB5F00">
      <w:pPr>
        <w:jc w:val="both"/>
        <w:rPr>
          <w:rFonts w:ascii="Arial" w:hAnsi="Arial" w:cs="Arial"/>
        </w:rPr>
      </w:pPr>
    </w:p>
    <w:sectPr w:rsidR="00ED7650" w:rsidRPr="00FB5F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5B6F"/>
    <w:multiLevelType w:val="multilevel"/>
    <w:tmpl w:val="F86C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00"/>
    <w:rsid w:val="000F4B68"/>
    <w:rsid w:val="001739B4"/>
    <w:rsid w:val="003B63A5"/>
    <w:rsid w:val="00FB5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F250-4B72-47AC-AA19-42201F78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5F00"/>
    <w:rPr>
      <w:color w:val="0563C1" w:themeColor="hyperlink"/>
      <w:u w:val="single"/>
    </w:rPr>
  </w:style>
  <w:style w:type="character" w:styleId="Hipervnculovisitado">
    <w:name w:val="FollowedHyperlink"/>
    <w:basedOn w:val="Fuentedeprrafopredeter"/>
    <w:uiPriority w:val="99"/>
    <w:semiHidden/>
    <w:unhideWhenUsed/>
    <w:rsid w:val="00FB5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3117">
      <w:bodyDiv w:val="1"/>
      <w:marLeft w:val="0"/>
      <w:marRight w:val="0"/>
      <w:marTop w:val="0"/>
      <w:marBottom w:val="0"/>
      <w:divBdr>
        <w:top w:val="none" w:sz="0" w:space="0" w:color="auto"/>
        <w:left w:val="none" w:sz="0" w:space="0" w:color="auto"/>
        <w:bottom w:val="none" w:sz="0" w:space="0" w:color="auto"/>
        <w:right w:val="none" w:sz="0" w:space="0" w:color="auto"/>
      </w:divBdr>
      <w:divsChild>
        <w:div w:id="1334722263">
          <w:marLeft w:val="0"/>
          <w:marRight w:val="0"/>
          <w:marTop w:val="0"/>
          <w:marBottom w:val="0"/>
          <w:divBdr>
            <w:top w:val="single" w:sz="2" w:space="0" w:color="E5E7EB"/>
            <w:left w:val="single" w:sz="2" w:space="0" w:color="E5E7EB"/>
            <w:bottom w:val="single" w:sz="2" w:space="0" w:color="E5E7EB"/>
            <w:right w:val="single" w:sz="2" w:space="0" w:color="E5E7EB"/>
          </w:divBdr>
          <w:divsChild>
            <w:div w:id="459493140">
              <w:marLeft w:val="0"/>
              <w:marRight w:val="0"/>
              <w:marTop w:val="0"/>
              <w:marBottom w:val="0"/>
              <w:divBdr>
                <w:top w:val="single" w:sz="2" w:space="0" w:color="E5E7EB"/>
                <w:left w:val="single" w:sz="2" w:space="0" w:color="E5E7EB"/>
                <w:bottom w:val="single" w:sz="2" w:space="0" w:color="E5E7EB"/>
                <w:right w:val="single" w:sz="2" w:space="0" w:color="E5E7EB"/>
              </w:divBdr>
              <w:divsChild>
                <w:div w:id="9546059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42188976">
      <w:bodyDiv w:val="1"/>
      <w:marLeft w:val="0"/>
      <w:marRight w:val="0"/>
      <w:marTop w:val="0"/>
      <w:marBottom w:val="0"/>
      <w:divBdr>
        <w:top w:val="none" w:sz="0" w:space="0" w:color="auto"/>
        <w:left w:val="none" w:sz="0" w:space="0" w:color="auto"/>
        <w:bottom w:val="none" w:sz="0" w:space="0" w:color="auto"/>
        <w:right w:val="none" w:sz="0" w:space="0" w:color="auto"/>
      </w:divBdr>
      <w:divsChild>
        <w:div w:id="2104716608">
          <w:marLeft w:val="0"/>
          <w:marRight w:val="0"/>
          <w:marTop w:val="0"/>
          <w:marBottom w:val="0"/>
          <w:divBdr>
            <w:top w:val="single" w:sz="2" w:space="0" w:color="E5E7EB"/>
            <w:left w:val="single" w:sz="2" w:space="0" w:color="E5E7EB"/>
            <w:bottom w:val="single" w:sz="2" w:space="0" w:color="E5E7EB"/>
            <w:right w:val="single" w:sz="2" w:space="0" w:color="E5E7EB"/>
          </w:divBdr>
          <w:divsChild>
            <w:div w:id="1253973057">
              <w:marLeft w:val="0"/>
              <w:marRight w:val="0"/>
              <w:marTop w:val="0"/>
              <w:marBottom w:val="0"/>
              <w:divBdr>
                <w:top w:val="single" w:sz="2" w:space="0" w:color="E5E7EB"/>
                <w:left w:val="single" w:sz="2" w:space="0" w:color="E5E7EB"/>
                <w:bottom w:val="single" w:sz="2" w:space="0" w:color="E5E7EB"/>
                <w:right w:val="single" w:sz="2" w:space="0" w:color="E5E7EB"/>
              </w:divBdr>
              <w:divsChild>
                <w:div w:id="10877279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80601964">
      <w:bodyDiv w:val="1"/>
      <w:marLeft w:val="0"/>
      <w:marRight w:val="0"/>
      <w:marTop w:val="0"/>
      <w:marBottom w:val="0"/>
      <w:divBdr>
        <w:top w:val="none" w:sz="0" w:space="0" w:color="auto"/>
        <w:left w:val="none" w:sz="0" w:space="0" w:color="auto"/>
        <w:bottom w:val="none" w:sz="0" w:space="0" w:color="auto"/>
        <w:right w:val="none" w:sz="0" w:space="0" w:color="auto"/>
      </w:divBdr>
    </w:div>
    <w:div w:id="21226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5883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2021-09-28T21:52:00Z</dcterms:created>
  <dcterms:modified xsi:type="dcterms:W3CDTF">2021-09-28T21:57:00Z</dcterms:modified>
</cp:coreProperties>
</file>