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E7" w:rsidRPr="003471E7" w:rsidRDefault="003471E7" w:rsidP="003471E7">
      <w:pPr>
        <w:jc w:val="both"/>
        <w:rPr>
          <w:rFonts w:ascii="Arial" w:hAnsi="Arial" w:cs="Arial"/>
          <w:b/>
          <w:bCs/>
        </w:rPr>
      </w:pPr>
      <w:r w:rsidRPr="003471E7">
        <w:rPr>
          <w:rFonts w:ascii="Arial" w:hAnsi="Arial" w:cs="Arial"/>
          <w:b/>
          <w:bCs/>
        </w:rPr>
        <w:t>Observaciones finales de un contable accidental</w:t>
      </w:r>
    </w:p>
    <w:p w:rsidR="003471E7" w:rsidRDefault="003471E7" w:rsidP="003471E7">
      <w:pPr>
        <w:jc w:val="both"/>
        <w:rPr>
          <w:rFonts w:ascii="Arial" w:hAnsi="Arial" w:cs="Arial"/>
        </w:rPr>
      </w:pPr>
    </w:p>
    <w:p w:rsidR="003471E7" w:rsidRPr="003471E7" w:rsidRDefault="003471E7" w:rsidP="003471E7">
      <w:pPr>
        <w:jc w:val="both"/>
        <w:rPr>
          <w:rFonts w:ascii="Arial" w:hAnsi="Arial" w:cs="Arial"/>
        </w:rPr>
      </w:pPr>
      <w:r w:rsidRPr="003471E7">
        <w:rPr>
          <w:rFonts w:ascii="Arial" w:hAnsi="Arial" w:cs="Arial"/>
        </w:rPr>
        <w:t>03 junio 2021</w:t>
      </w:r>
      <w:bookmarkStart w:id="0" w:name="_GoBack"/>
      <w:bookmarkEnd w:id="0"/>
    </w:p>
    <w:p w:rsidR="003471E7" w:rsidRDefault="003471E7" w:rsidP="003471E7">
      <w:pPr>
        <w:jc w:val="both"/>
        <w:rPr>
          <w:rFonts w:ascii="Arial" w:hAnsi="Arial" w:cs="Arial"/>
          <w:i/>
          <w:iCs/>
        </w:rPr>
      </w:pPr>
    </w:p>
    <w:p w:rsidR="00ED7650" w:rsidRPr="003471E7" w:rsidRDefault="003471E7" w:rsidP="003471E7">
      <w:pPr>
        <w:jc w:val="both"/>
        <w:rPr>
          <w:rFonts w:ascii="Arial" w:hAnsi="Arial" w:cs="Arial"/>
          <w:i/>
          <w:iCs/>
        </w:rPr>
      </w:pPr>
      <w:r w:rsidRPr="003471E7">
        <w:rPr>
          <w:rFonts w:ascii="Arial" w:hAnsi="Arial" w:cs="Arial"/>
          <w:i/>
          <w:iCs/>
        </w:rPr>
        <w:t xml:space="preserve">Hans </w:t>
      </w:r>
      <w:proofErr w:type="spellStart"/>
      <w:r w:rsidRPr="003471E7">
        <w:rPr>
          <w:rFonts w:ascii="Arial" w:hAnsi="Arial" w:cs="Arial"/>
          <w:i/>
          <w:iCs/>
        </w:rPr>
        <w:t>Hoogervorst</w:t>
      </w:r>
      <w:proofErr w:type="spellEnd"/>
      <w:r w:rsidRPr="003471E7">
        <w:rPr>
          <w:rFonts w:ascii="Arial" w:hAnsi="Arial" w:cs="Arial"/>
          <w:i/>
          <w:iCs/>
        </w:rPr>
        <w:t>, presidente de la Junta de Normas Internacionales de Contabilidad, pronunció su discurso de despedida en la Conferencia Virtual de la Fundación IFRS 2021, cuando se retira a fines de este mes. Reflexionó sobre su mandato de 10 años; cómo han evolucionado las Normas NIIF durante ese tiempo; y sobre la importancia del establecimiento de normas independientes. También reflexionó sobre la evolución de la economía durante su mandato como presidente.</w:t>
      </w:r>
    </w:p>
    <w:p w:rsidR="003471E7" w:rsidRDefault="003471E7" w:rsidP="003471E7">
      <w:pPr>
        <w:jc w:val="both"/>
        <w:rPr>
          <w:rFonts w:ascii="Arial" w:hAnsi="Arial" w:cs="Arial"/>
          <w:b/>
          <w:bCs/>
        </w:rPr>
      </w:pPr>
    </w:p>
    <w:p w:rsidR="003471E7" w:rsidRPr="003471E7" w:rsidRDefault="003471E7" w:rsidP="003471E7">
      <w:pPr>
        <w:jc w:val="both"/>
        <w:rPr>
          <w:rFonts w:ascii="Arial" w:hAnsi="Arial" w:cs="Arial"/>
          <w:b/>
          <w:bCs/>
        </w:rPr>
      </w:pPr>
      <w:r w:rsidRPr="003471E7">
        <w:rPr>
          <w:rFonts w:ascii="Arial" w:hAnsi="Arial" w:cs="Arial"/>
          <w:b/>
          <w:bCs/>
        </w:rPr>
        <w:t>Introducción</w:t>
      </w:r>
    </w:p>
    <w:p w:rsidR="003471E7" w:rsidRDefault="003471E7" w:rsidP="003471E7">
      <w:pPr>
        <w:jc w:val="both"/>
        <w:rPr>
          <w:rFonts w:ascii="Arial" w:hAnsi="Arial" w:cs="Arial"/>
        </w:rPr>
      </w:pPr>
      <w:r w:rsidRPr="003471E7">
        <w:rPr>
          <w:rFonts w:ascii="Arial" w:hAnsi="Arial" w:cs="Arial"/>
        </w:rPr>
        <w:t>Estoy encantado de estar con ustedes, por última vez, en la conferencia anual de la Fundación IFRS de este año. Tenía la esperanza de que este evento brindara una última oportunidad para reunirme personalmente con todos los colegas y amigos de todo el mundo que han hecho de mí tiempo como presidente una experiencia tan gratificante y placentera. Sin embargo, eso no iba a suceder. Así que aquí estoy, pronunciando un discurso de despedida desde mi habitación de invitados, rodeado de montones de ropa para lavar. Viviendo el sueño.</w:t>
      </w:r>
    </w:p>
    <w:p w:rsidR="003471E7" w:rsidRPr="003471E7" w:rsidRDefault="003471E7" w:rsidP="003471E7">
      <w:pPr>
        <w:jc w:val="both"/>
        <w:rPr>
          <w:rFonts w:ascii="Arial" w:hAnsi="Arial" w:cs="Arial"/>
        </w:rPr>
      </w:pPr>
      <w:r w:rsidRPr="003471E7">
        <w:rPr>
          <w:rFonts w:ascii="Arial" w:hAnsi="Arial" w:cs="Arial"/>
        </w:rPr>
        <w:t xml:space="preserve">Entré a este trabajo como contable accidental. No soy contador de formación y muchos se sorprendieron cuando asumí el cargo de presidente del Consejo de Normas Internacionales de Contabilidad (IASB). Sin embargo, cuando me preguntaron a finales de 2010 si estaría interesado en suceder a David </w:t>
      </w:r>
      <w:proofErr w:type="spellStart"/>
      <w:r w:rsidRPr="003471E7">
        <w:rPr>
          <w:rFonts w:ascii="Arial" w:hAnsi="Arial" w:cs="Arial"/>
        </w:rPr>
        <w:t>Tweedie</w:t>
      </w:r>
      <w:proofErr w:type="spellEnd"/>
      <w:r w:rsidRPr="003471E7">
        <w:rPr>
          <w:rFonts w:ascii="Arial" w:hAnsi="Arial" w:cs="Arial"/>
        </w:rPr>
        <w:t>, realmente no tuve que pensar mucho. La Gran Crisis Financiera de 2008 me había impresionado el interés vital de unos estándares económicos internacionales sólidos. Como presidente del IASB tuve una gran oportunidad de contribuir a la infraestructura de la economía global.</w:t>
      </w:r>
    </w:p>
    <w:p w:rsidR="003471E7" w:rsidRPr="003471E7" w:rsidRDefault="003471E7" w:rsidP="003471E7">
      <w:pPr>
        <w:jc w:val="both"/>
        <w:rPr>
          <w:rFonts w:ascii="Arial" w:hAnsi="Arial" w:cs="Arial"/>
        </w:rPr>
      </w:pPr>
      <w:r w:rsidRPr="003471E7">
        <w:rPr>
          <w:rFonts w:ascii="Arial" w:hAnsi="Arial" w:cs="Arial"/>
        </w:rPr>
        <w:t xml:space="preserve">El puesto también me atrajo por mi pasión por la economía. Si bien a menudo se considera a los contables como meros contadores de granos, el establecimiento de normas contables es una disciplina microeconómica fascinante. De hecho, como me impresionó recientemente un director del FMI (Fondo Monetario Internacional), la contabilidad adecuada es la base de toda la economía. Esto también fue reconocido por Paul </w:t>
      </w:r>
      <w:proofErr w:type="spellStart"/>
      <w:r w:rsidRPr="003471E7">
        <w:rPr>
          <w:rFonts w:ascii="Arial" w:hAnsi="Arial" w:cs="Arial"/>
        </w:rPr>
        <w:t>Volcker</w:t>
      </w:r>
      <w:proofErr w:type="spellEnd"/>
      <w:r w:rsidRPr="003471E7">
        <w:rPr>
          <w:rFonts w:ascii="Arial" w:hAnsi="Arial" w:cs="Arial"/>
        </w:rPr>
        <w:t>, el banquero central más valiente de todos los tiempos y el primer presidente de nuestros fideicomisarios. Sin una contabilidad adecuada, no habría información confiable sobre el desempeño de la economía y los reguladores prudenciales estarían vadeando en la oscuridad. Para él, las normas internacionales de contabilidad eran una obviedad.</w:t>
      </w:r>
    </w:p>
    <w:p w:rsidR="003471E7" w:rsidRPr="003471E7" w:rsidRDefault="003471E7" w:rsidP="003471E7">
      <w:pPr>
        <w:jc w:val="both"/>
        <w:rPr>
          <w:rFonts w:ascii="Arial" w:hAnsi="Arial" w:cs="Arial"/>
        </w:rPr>
      </w:pPr>
      <w:r w:rsidRPr="003471E7">
        <w:rPr>
          <w:rFonts w:ascii="Arial" w:hAnsi="Arial" w:cs="Arial"/>
        </w:rPr>
        <w:t xml:space="preserve">A lo largo de mi mandato en el IASB y como miembro del Consejo de Estabilidad Financiera, he seguido de cerca los desarrollos en la economía global y en el pensamiento económico. Después de todo, no operamos en el vacío y, como muestra la contabilidad para provisiones para préstamos incobrables, a veces los estándares contables deben ajustarse a los nuevos conocimientos económicos. Entonces, antes de hablar sobre el </w:t>
      </w:r>
      <w:r w:rsidRPr="003471E7">
        <w:rPr>
          <w:rFonts w:ascii="Arial" w:hAnsi="Arial" w:cs="Arial"/>
        </w:rPr>
        <w:lastRenderedPageBreak/>
        <w:t>trabajo del IASB en sí, permítanme hacer algunas observaciones sobre los enormes cambios en el pensamiento económico que hemos presenciado en las últimas décadas.</w:t>
      </w:r>
    </w:p>
    <w:p w:rsidR="003471E7" w:rsidRDefault="003471E7" w:rsidP="003471E7">
      <w:pPr>
        <w:jc w:val="both"/>
        <w:rPr>
          <w:rFonts w:ascii="Arial" w:hAnsi="Arial" w:cs="Arial"/>
          <w:b/>
          <w:bCs/>
        </w:rPr>
      </w:pPr>
    </w:p>
    <w:p w:rsidR="003471E7" w:rsidRPr="003471E7" w:rsidRDefault="003471E7" w:rsidP="003471E7">
      <w:pPr>
        <w:jc w:val="both"/>
        <w:rPr>
          <w:rFonts w:ascii="Arial" w:hAnsi="Arial" w:cs="Arial"/>
          <w:b/>
          <w:bCs/>
        </w:rPr>
      </w:pPr>
      <w:r w:rsidRPr="003471E7">
        <w:rPr>
          <w:rFonts w:ascii="Arial" w:hAnsi="Arial" w:cs="Arial"/>
          <w:b/>
          <w:bCs/>
        </w:rPr>
        <w:t>Consenso de Washington</w:t>
      </w:r>
    </w:p>
    <w:p w:rsidR="003471E7" w:rsidRPr="003471E7" w:rsidRDefault="003471E7" w:rsidP="003471E7">
      <w:pPr>
        <w:jc w:val="both"/>
        <w:rPr>
          <w:rFonts w:ascii="Arial" w:hAnsi="Arial" w:cs="Arial"/>
        </w:rPr>
      </w:pPr>
      <w:r w:rsidRPr="003471E7">
        <w:rPr>
          <w:rFonts w:ascii="Arial" w:hAnsi="Arial" w:cs="Arial"/>
        </w:rPr>
        <w:t xml:space="preserve">Antes de la Gran Crisis Financiera de 2008, el llamado Consenso de Washington dominaba el pensamiento económico entre los políticos occidentales. El término fue acuñado en 1989 por el economista británico John </w:t>
      </w:r>
      <w:proofErr w:type="spellStart"/>
      <w:r w:rsidRPr="003471E7">
        <w:rPr>
          <w:rFonts w:ascii="Arial" w:hAnsi="Arial" w:cs="Arial"/>
        </w:rPr>
        <w:t>Williamson</w:t>
      </w:r>
      <w:proofErr w:type="spellEnd"/>
      <w:r w:rsidRPr="003471E7">
        <w:rPr>
          <w:rFonts w:ascii="Arial" w:hAnsi="Arial" w:cs="Arial"/>
        </w:rPr>
        <w:t>, quien lo caracterizó como una creencia en políticas macroeconómicas prudentes y en las bendiciones de la economía de mercado. Debían evitarse grandes déficits fiscales, los tipos de interés no deberían suprimirse artificialmente y las economías nacionales deberían estar bien integradas con la economía mundial.</w:t>
      </w:r>
    </w:p>
    <w:p w:rsidR="003471E7" w:rsidRPr="003471E7" w:rsidRDefault="003471E7" w:rsidP="003471E7">
      <w:pPr>
        <w:jc w:val="both"/>
        <w:rPr>
          <w:rFonts w:ascii="Arial" w:hAnsi="Arial" w:cs="Arial"/>
        </w:rPr>
      </w:pPr>
      <w:r w:rsidRPr="003471E7">
        <w:rPr>
          <w:rFonts w:ascii="Arial" w:hAnsi="Arial" w:cs="Arial"/>
        </w:rPr>
        <w:t xml:space="preserve">Recibí un anticipo de este pensamiento cuando estudié economía internacional en Washington a principios de los ochenta. Mis profesores estaban claramente desilusionados por la estanflación provocada por los excesos fiscales y monetarios de los años setenta. Su héroe fue Paul </w:t>
      </w:r>
      <w:proofErr w:type="spellStart"/>
      <w:r w:rsidRPr="003471E7">
        <w:rPr>
          <w:rFonts w:ascii="Arial" w:hAnsi="Arial" w:cs="Arial"/>
        </w:rPr>
        <w:t>Volcker</w:t>
      </w:r>
      <w:proofErr w:type="spellEnd"/>
      <w:r w:rsidRPr="003471E7">
        <w:rPr>
          <w:rFonts w:ascii="Arial" w:hAnsi="Arial" w:cs="Arial"/>
        </w:rPr>
        <w:t>, quien realizó la ingrata tarea de limpiar el desorden.</w:t>
      </w:r>
    </w:p>
    <w:p w:rsidR="003471E7" w:rsidRPr="003471E7" w:rsidRDefault="003471E7" w:rsidP="003471E7">
      <w:pPr>
        <w:jc w:val="both"/>
        <w:rPr>
          <w:rFonts w:ascii="Arial" w:hAnsi="Arial" w:cs="Arial"/>
        </w:rPr>
      </w:pPr>
      <w:r w:rsidRPr="003471E7">
        <w:rPr>
          <w:rFonts w:ascii="Arial" w:hAnsi="Arial" w:cs="Arial"/>
        </w:rPr>
        <w:t>El Consenso de Washington aún reinaba supremo cuando me desempeñé como Ministro de Finanzas en el gobierno holandés a principios de este siglo. Su enfoque en la disciplina fiscal ciertamente me ayudó, como había ayudado a mis predecesores. Siempre que el déficit presupuestario crecía demasiado rápido, había una historia simple que contar: el gobierno no posee un árbol monetario, una deuda pública más alta conducirá inevitablemente a tasas de interés más altas y el aumento de los costos de interés desplazará a un gasto público mucho más útil, ya que ejemplo sobre salud y educación.</w:t>
      </w:r>
    </w:p>
    <w:p w:rsidR="003471E7" w:rsidRDefault="003471E7" w:rsidP="003471E7">
      <w:pPr>
        <w:jc w:val="both"/>
        <w:rPr>
          <w:rFonts w:ascii="Arial" w:hAnsi="Arial" w:cs="Arial"/>
        </w:rPr>
      </w:pPr>
      <w:r w:rsidRPr="003471E7">
        <w:rPr>
          <w:rFonts w:ascii="Arial" w:hAnsi="Arial" w:cs="Arial"/>
        </w:rPr>
        <w:t>Este pensamiento económico implicó una gran cantidad de decisiones difíciles y no siempre consiguió la reelección. Pero, en general, nuestro compromiso con la disciplina presupuestaria fue muy útil para los Países Bajos. Nos obligó a escudriñar todos los aspectos del estado de bienestar. No dejamos piedra sin remover, mejorando los incentivos financieros en la atención médica, el sistema de pensiones y la seguridad social en general. Como resultado, nuestro crecimiento económico se aceleró y Holanda pudo mantener un generoso estado de bienestar, pero sobre una base económica mucho más sólida.</w:t>
      </w:r>
    </w:p>
    <w:p w:rsidR="003471E7" w:rsidRDefault="003471E7" w:rsidP="003471E7">
      <w:pPr>
        <w:jc w:val="both"/>
        <w:rPr>
          <w:rFonts w:ascii="Arial" w:hAnsi="Arial" w:cs="Arial"/>
        </w:rPr>
      </w:pPr>
    </w:p>
    <w:p w:rsidR="003471E7" w:rsidRPr="003471E7" w:rsidRDefault="003471E7" w:rsidP="003471E7">
      <w:pPr>
        <w:jc w:val="both"/>
        <w:rPr>
          <w:rFonts w:ascii="Arial" w:hAnsi="Arial" w:cs="Arial"/>
          <w:b/>
          <w:bCs/>
        </w:rPr>
      </w:pPr>
      <w:r w:rsidRPr="003471E7">
        <w:rPr>
          <w:rFonts w:ascii="Arial" w:hAnsi="Arial" w:cs="Arial"/>
          <w:b/>
          <w:bCs/>
        </w:rPr>
        <w:t>¿Volver a la estanflación?</w:t>
      </w:r>
    </w:p>
    <w:p w:rsidR="003471E7" w:rsidRPr="003471E7" w:rsidRDefault="003471E7" w:rsidP="003471E7">
      <w:pPr>
        <w:jc w:val="both"/>
        <w:rPr>
          <w:rFonts w:ascii="Arial" w:hAnsi="Arial" w:cs="Arial"/>
        </w:rPr>
      </w:pPr>
      <w:r w:rsidRPr="003471E7">
        <w:rPr>
          <w:rFonts w:ascii="Arial" w:hAnsi="Arial" w:cs="Arial"/>
        </w:rPr>
        <w:t xml:space="preserve">Hoy en día, muchos consideran que el Consenso de Washington está irremediablemente desactualizado. El doble golpe de la Gran Crisis Financiera de 2008 y la pandemia de </w:t>
      </w:r>
      <w:proofErr w:type="spellStart"/>
      <w:r w:rsidRPr="003471E7">
        <w:rPr>
          <w:rFonts w:ascii="Arial" w:hAnsi="Arial" w:cs="Arial"/>
        </w:rPr>
        <w:t>Covid</w:t>
      </w:r>
      <w:proofErr w:type="spellEnd"/>
      <w:r w:rsidRPr="003471E7">
        <w:rPr>
          <w:rFonts w:ascii="Arial" w:hAnsi="Arial" w:cs="Arial"/>
        </w:rPr>
        <w:t xml:space="preserve"> simplemente arruinaron el Consenso de Washington.</w:t>
      </w:r>
    </w:p>
    <w:p w:rsidR="003471E7" w:rsidRPr="003471E7" w:rsidRDefault="003471E7" w:rsidP="003471E7">
      <w:pPr>
        <w:jc w:val="both"/>
        <w:rPr>
          <w:rFonts w:ascii="Arial" w:hAnsi="Arial" w:cs="Arial"/>
        </w:rPr>
      </w:pPr>
      <w:r w:rsidRPr="003471E7">
        <w:rPr>
          <w:rFonts w:ascii="Arial" w:hAnsi="Arial" w:cs="Arial"/>
        </w:rPr>
        <w:t>La creencia en el libre comercio y los mercados libres se ha visto seriamente afectada. Las críticas a la globalización, que alguna vez fueron principalmente dominantes en los círculos de izquierda, han ampliado su atractivo intelectual para la derecha populista. Los excesos de la desregulación en el sector financiero antes de 2008 han socavado la creencia en los mercados libres en general.</w:t>
      </w:r>
    </w:p>
    <w:p w:rsidR="003471E7" w:rsidRPr="003471E7" w:rsidRDefault="003471E7" w:rsidP="003471E7">
      <w:pPr>
        <w:jc w:val="both"/>
        <w:rPr>
          <w:rFonts w:ascii="Arial" w:hAnsi="Arial" w:cs="Arial"/>
        </w:rPr>
      </w:pPr>
      <w:r w:rsidRPr="003471E7">
        <w:rPr>
          <w:rFonts w:ascii="Arial" w:hAnsi="Arial" w:cs="Arial"/>
        </w:rPr>
        <w:lastRenderedPageBreak/>
        <w:t>Los presupuestos equilibrados no se ven por ninguna parte. Eso no es sorprendente en estos tiempos de prueba, pero el tamaño de los déficits y las deudas es realmente asombroso. En promedio, los déficits presupuestarios de las economías avanzadas ahora son de dos dígitos. El nivel mundial total de deuda en el sector público y privado se encuentra ahora en un 335% del PIB sin precedentes y está aumentando. Hemos hipotecado nuestra casa global más de tres veces y media. También se han dejado de lado las convenciones monetarias. Los inversores tienen que pagar por el privilegio de comprar deuda de países muy endeudados. Los bancos centrales compran bonos del gobierno a gran escala, monetizando s</w:t>
      </w:r>
      <w:r>
        <w:rPr>
          <w:rFonts w:ascii="Arial" w:hAnsi="Arial" w:cs="Arial"/>
        </w:rPr>
        <w:t>ilenciosamente la deuda pública</w:t>
      </w:r>
      <w:r w:rsidRPr="003471E7">
        <w:rPr>
          <w:rFonts w:ascii="Arial" w:hAnsi="Arial" w:cs="Arial"/>
        </w:rPr>
        <w:t>.</w:t>
      </w:r>
      <w:r>
        <w:rPr>
          <w:rStyle w:val="Refdenotaalfinal"/>
          <w:rFonts w:ascii="Arial" w:hAnsi="Arial" w:cs="Arial"/>
        </w:rPr>
        <w:endnoteReference w:id="1"/>
      </w:r>
    </w:p>
    <w:p w:rsidR="003471E7" w:rsidRPr="003471E7" w:rsidRDefault="003471E7" w:rsidP="003471E7">
      <w:pPr>
        <w:jc w:val="both"/>
        <w:rPr>
          <w:rFonts w:ascii="Arial" w:hAnsi="Arial" w:cs="Arial"/>
        </w:rPr>
      </w:pPr>
      <w:r w:rsidRPr="003471E7">
        <w:rPr>
          <w:rFonts w:ascii="Arial" w:hAnsi="Arial" w:cs="Arial"/>
        </w:rPr>
        <w:t xml:space="preserve">Los formuladores de políticas no podían, por supuesto, hacerse a un lado mientras la crisis de </w:t>
      </w:r>
      <w:proofErr w:type="spellStart"/>
      <w:r w:rsidRPr="003471E7">
        <w:rPr>
          <w:rFonts w:ascii="Arial" w:hAnsi="Arial" w:cs="Arial"/>
        </w:rPr>
        <w:t>Covid</w:t>
      </w:r>
      <w:proofErr w:type="spellEnd"/>
      <w:r w:rsidRPr="003471E7">
        <w:rPr>
          <w:rFonts w:ascii="Arial" w:hAnsi="Arial" w:cs="Arial"/>
        </w:rPr>
        <w:t xml:space="preserve"> amenazaba con paralizar toda la economía mundial.</w:t>
      </w:r>
    </w:p>
    <w:p w:rsidR="003471E7" w:rsidRPr="003471E7" w:rsidRDefault="003471E7" w:rsidP="003471E7">
      <w:pPr>
        <w:jc w:val="both"/>
        <w:rPr>
          <w:rFonts w:ascii="Arial" w:hAnsi="Arial" w:cs="Arial"/>
        </w:rPr>
      </w:pPr>
      <w:r w:rsidRPr="003471E7">
        <w:rPr>
          <w:rFonts w:ascii="Arial" w:hAnsi="Arial" w:cs="Arial"/>
        </w:rPr>
        <w:t xml:space="preserve">Sin embargo, como ha señalado el ex director gerente del FMI, Jacques de </w:t>
      </w:r>
      <w:proofErr w:type="spellStart"/>
      <w:r w:rsidRPr="003471E7">
        <w:rPr>
          <w:rFonts w:ascii="Arial" w:hAnsi="Arial" w:cs="Arial"/>
        </w:rPr>
        <w:t>Larosière</w:t>
      </w:r>
      <w:proofErr w:type="spellEnd"/>
      <w:r w:rsidRPr="003471E7">
        <w:rPr>
          <w:rFonts w:ascii="Arial" w:hAnsi="Arial" w:cs="Arial"/>
        </w:rPr>
        <w:t xml:space="preserve">, el problema es que el estímulo masivo golpeó un territorio económico que ya había sido fuertemente minado </w:t>
      </w:r>
      <w:r>
        <w:rPr>
          <w:rFonts w:ascii="Arial" w:hAnsi="Arial" w:cs="Arial"/>
        </w:rPr>
        <w:t>por políticas no convencionales</w:t>
      </w:r>
      <w:r w:rsidRPr="003471E7">
        <w:rPr>
          <w:rFonts w:ascii="Arial" w:hAnsi="Arial" w:cs="Arial"/>
        </w:rPr>
        <w:t>.</w:t>
      </w:r>
      <w:r>
        <w:rPr>
          <w:rStyle w:val="Refdenotaalfinal"/>
          <w:rFonts w:ascii="Arial" w:hAnsi="Arial" w:cs="Arial"/>
        </w:rPr>
        <w:endnoteReference w:id="2"/>
      </w:r>
      <w:r w:rsidRPr="003471E7">
        <w:rPr>
          <w:rFonts w:ascii="Arial" w:hAnsi="Arial" w:cs="Arial"/>
        </w:rPr>
        <w:t xml:space="preserve"> Ha descrito cómo, incluso en las décadas anteriores a 2008, las políticas monetarias en el mundo industrializado se habían vuelto cada vez más flexibles. Él -y muchos otros- vio los excesos resultantes de liquidez y endeudamiento como una de las principales causas de la Gran </w:t>
      </w:r>
      <w:r>
        <w:rPr>
          <w:rFonts w:ascii="Arial" w:hAnsi="Arial" w:cs="Arial"/>
        </w:rPr>
        <w:t>Crisis Financiera de 2008.</w:t>
      </w:r>
      <w:r>
        <w:rPr>
          <w:rStyle w:val="Refdenotaalfinal"/>
          <w:rFonts w:ascii="Arial" w:hAnsi="Arial" w:cs="Arial"/>
        </w:rPr>
        <w:endnoteReference w:id="3"/>
      </w:r>
    </w:p>
    <w:p w:rsidR="003471E7" w:rsidRPr="003471E7" w:rsidRDefault="003471E7" w:rsidP="003471E7">
      <w:pPr>
        <w:jc w:val="both"/>
        <w:rPr>
          <w:rFonts w:ascii="Arial" w:hAnsi="Arial" w:cs="Arial"/>
        </w:rPr>
      </w:pPr>
      <w:r w:rsidRPr="003471E7">
        <w:rPr>
          <w:rFonts w:ascii="Arial" w:hAnsi="Arial" w:cs="Arial"/>
        </w:rPr>
        <w:t>Sin embargo, temiendo que la recesión pudiera convertirse en depresión, el mundo reaccionó a esa crisis duplicando la acomodación monetaria. Decididos a evitar una depresión, los bancos centrales estaban decididos a impulsar la inflación y sacaron todos los frenos después de 2008.</w:t>
      </w:r>
    </w:p>
    <w:p w:rsidR="003471E7" w:rsidRPr="003471E7" w:rsidRDefault="003471E7" w:rsidP="003471E7">
      <w:pPr>
        <w:jc w:val="both"/>
        <w:rPr>
          <w:rFonts w:ascii="Arial" w:hAnsi="Arial" w:cs="Arial"/>
        </w:rPr>
      </w:pPr>
      <w:r w:rsidRPr="003471E7">
        <w:rPr>
          <w:rFonts w:ascii="Arial" w:hAnsi="Arial" w:cs="Arial"/>
        </w:rPr>
        <w:t xml:space="preserve">En sus memorias Paul </w:t>
      </w:r>
      <w:proofErr w:type="spellStart"/>
      <w:r w:rsidRPr="003471E7">
        <w:rPr>
          <w:rFonts w:ascii="Arial" w:hAnsi="Arial" w:cs="Arial"/>
        </w:rPr>
        <w:t>Volcker</w:t>
      </w:r>
      <w:proofErr w:type="spellEnd"/>
      <w:r w:rsidRPr="003471E7">
        <w:rPr>
          <w:rFonts w:ascii="Arial" w:hAnsi="Arial" w:cs="Arial"/>
        </w:rPr>
        <w:t xml:space="preserve"> expresó un escepticismo considerable con estas políticas. No estaba de acuerdo con la meta de inflación del 2%, o apenas por debajo del 2%, que han adoptado casi todos los bancos centrales. Comentó secamente que una inflación anual del 2% reducirá a la mitad el valor de una moneda en poco más de una generación. También dudaba de que se pudiera </w:t>
      </w:r>
      <w:proofErr w:type="spellStart"/>
      <w:r w:rsidRPr="003471E7">
        <w:rPr>
          <w:rFonts w:ascii="Arial" w:hAnsi="Arial" w:cs="Arial"/>
        </w:rPr>
        <w:t>microgestionar</w:t>
      </w:r>
      <w:proofErr w:type="spellEnd"/>
      <w:r w:rsidRPr="003471E7">
        <w:rPr>
          <w:rFonts w:ascii="Arial" w:hAnsi="Arial" w:cs="Arial"/>
        </w:rPr>
        <w:t xml:space="preserve"> la tasa de inflación. Advirtió que una vez que se alcanza una inflación del 2%, pue</w:t>
      </w:r>
      <w:r>
        <w:rPr>
          <w:rFonts w:ascii="Arial" w:hAnsi="Arial" w:cs="Arial"/>
        </w:rPr>
        <w:t>de caer fácilmente al 3% o más.</w:t>
      </w:r>
      <w:r>
        <w:rPr>
          <w:rStyle w:val="Refdenotaalfinal"/>
          <w:rFonts w:ascii="Arial" w:hAnsi="Arial" w:cs="Arial"/>
        </w:rPr>
        <w:endnoteReference w:id="4"/>
      </w:r>
      <w:r w:rsidRPr="003471E7">
        <w:rPr>
          <w:rFonts w:ascii="Arial" w:hAnsi="Arial" w:cs="Arial"/>
        </w:rPr>
        <w:t xml:space="preserve"> Las advertencias de </w:t>
      </w:r>
      <w:proofErr w:type="spellStart"/>
      <w:r w:rsidRPr="003471E7">
        <w:rPr>
          <w:rFonts w:ascii="Arial" w:hAnsi="Arial" w:cs="Arial"/>
        </w:rPr>
        <w:t>Volcker</w:t>
      </w:r>
      <w:proofErr w:type="spellEnd"/>
      <w:r w:rsidRPr="003471E7">
        <w:rPr>
          <w:rFonts w:ascii="Arial" w:hAnsi="Arial" w:cs="Arial"/>
        </w:rPr>
        <w:t xml:space="preserve"> parecen particularmente adecuadas hoy en día con la inflación subiendo por encima del 3-4% en algunas partes del mundo industrializado.</w:t>
      </w:r>
    </w:p>
    <w:p w:rsidR="003471E7" w:rsidRPr="003471E7" w:rsidRDefault="003471E7" w:rsidP="003471E7">
      <w:pPr>
        <w:jc w:val="both"/>
        <w:rPr>
          <w:rFonts w:ascii="Arial" w:hAnsi="Arial" w:cs="Arial"/>
        </w:rPr>
      </w:pPr>
      <w:r w:rsidRPr="003471E7">
        <w:rPr>
          <w:rFonts w:ascii="Arial" w:hAnsi="Arial" w:cs="Arial"/>
        </w:rPr>
        <w:t>Mientras tanto, las leyes naturales de la gravedad económica parecen haberse suspendido indefinidamente. Si bien todavía estamos asimilando la mayor contracción económica en décadas, los precios de la vivienda se están disparando, los mercados de valores establecen un récord tras otro y las quiebras están en mínimos históricos. Por supuesto, uno podría ver estos desarrollos contrarios a la intuición como un triunfo del intervencionismo económico. Sin embargo, también hay razones para ver</w:t>
      </w:r>
      <w:r w:rsidR="00704C60">
        <w:rPr>
          <w:rFonts w:ascii="Arial" w:hAnsi="Arial" w:cs="Arial"/>
        </w:rPr>
        <w:t>los como expresiones de exceso.</w:t>
      </w:r>
      <w:r w:rsidR="00704C60">
        <w:rPr>
          <w:rStyle w:val="Refdenotaalfinal"/>
          <w:rFonts w:ascii="Arial" w:hAnsi="Arial" w:cs="Arial"/>
        </w:rPr>
        <w:endnoteReference w:id="5"/>
      </w:r>
      <w:r w:rsidR="00704C60">
        <w:rPr>
          <w:rFonts w:ascii="Arial" w:hAnsi="Arial" w:cs="Arial"/>
        </w:rPr>
        <w:t xml:space="preserve"> </w:t>
      </w:r>
      <w:r w:rsidRPr="003471E7">
        <w:rPr>
          <w:rFonts w:ascii="Arial" w:hAnsi="Arial" w:cs="Arial"/>
        </w:rPr>
        <w:t xml:space="preserve">Si bien el sobreendeudamiento y la </w:t>
      </w:r>
      <w:proofErr w:type="spellStart"/>
      <w:r w:rsidRPr="003471E7">
        <w:rPr>
          <w:rFonts w:ascii="Arial" w:hAnsi="Arial" w:cs="Arial"/>
        </w:rPr>
        <w:t>zombificación</w:t>
      </w:r>
      <w:proofErr w:type="spellEnd"/>
      <w:r w:rsidRPr="003471E7">
        <w:rPr>
          <w:rFonts w:ascii="Arial" w:hAnsi="Arial" w:cs="Arial"/>
        </w:rPr>
        <w:t xml:space="preserve"> generalizada de la economía probablemente deprimirán la actividad económica en el futuro, un regreso de la estanflación bien podría estar en las cartas. Incluso si esto no sucede, la acumulación de deuda sin precedentes representa un grave riesgo para la estabilidad financiera.</w:t>
      </w:r>
    </w:p>
    <w:p w:rsidR="003471E7" w:rsidRPr="003471E7" w:rsidRDefault="003471E7" w:rsidP="003471E7">
      <w:pPr>
        <w:jc w:val="both"/>
        <w:rPr>
          <w:rFonts w:ascii="Arial" w:hAnsi="Arial" w:cs="Arial"/>
        </w:rPr>
      </w:pPr>
      <w:r w:rsidRPr="003471E7">
        <w:rPr>
          <w:rFonts w:ascii="Arial" w:hAnsi="Arial" w:cs="Arial"/>
        </w:rPr>
        <w:t xml:space="preserve">El estímulo incesante también tiene una influencia perniciosa en el comportamiento económico. Una generación de inversores ha crecido esperando que las autoridades intervengan cada vez que los mercados hacen un berrinche. Los modelos de negocio excesivamente apalancados se rescatan una y otra vez. Y pienso en mi época como ministro de Finanzas. Mi historia sobre no tener un árbol del dinero podría no ser tan </w:t>
      </w:r>
      <w:r w:rsidRPr="003471E7">
        <w:rPr>
          <w:rFonts w:ascii="Arial" w:hAnsi="Arial" w:cs="Arial"/>
        </w:rPr>
        <w:lastRenderedPageBreak/>
        <w:t>convincente cuando los bancos centrales están comprando el 50% o más de las emisiones de deuda. Incluso en la frugal Holanda, la disciplina presupuestaria se encuentra ahora bajo una fuerte presión.</w:t>
      </w:r>
    </w:p>
    <w:p w:rsidR="003471E7" w:rsidRPr="003471E7" w:rsidRDefault="003471E7" w:rsidP="003471E7">
      <w:pPr>
        <w:jc w:val="both"/>
        <w:rPr>
          <w:rFonts w:ascii="Arial" w:hAnsi="Arial" w:cs="Arial"/>
        </w:rPr>
      </w:pPr>
      <w:r w:rsidRPr="003471E7">
        <w:rPr>
          <w:rFonts w:ascii="Arial" w:hAnsi="Arial" w:cs="Arial"/>
        </w:rPr>
        <w:t>Los responsables de la formulación de políticas son conscientes de todos estos riesgos, pero es comprensible que teman lo que podría suceder una vez que las tasas de interés vuelvan a subir. Sin embargo, cuanto más sigamos así, más deuda se acumulará y más difícil será subir los tipos de interés y restablecer la prudencia. Está claro que el camino de regreso a la normalidad será extraordinariamente doloroso y los responsables políticos necesitarán todo el valor que puedan reunir. Pero no podemos seguir agregando riesgo a una economía global que ya es demasiado arriesgada.</w:t>
      </w:r>
    </w:p>
    <w:p w:rsidR="003471E7" w:rsidRDefault="003471E7" w:rsidP="003471E7">
      <w:pPr>
        <w:jc w:val="both"/>
        <w:rPr>
          <w:rFonts w:ascii="Arial" w:hAnsi="Arial" w:cs="Arial"/>
        </w:rPr>
      </w:pPr>
    </w:p>
    <w:p w:rsidR="003471E7" w:rsidRPr="003471E7" w:rsidRDefault="003471E7" w:rsidP="003471E7">
      <w:pPr>
        <w:jc w:val="both"/>
        <w:rPr>
          <w:rFonts w:ascii="Arial" w:hAnsi="Arial" w:cs="Arial"/>
          <w:b/>
          <w:bCs/>
        </w:rPr>
      </w:pPr>
      <w:r w:rsidRPr="003471E7">
        <w:rPr>
          <w:rFonts w:ascii="Arial" w:hAnsi="Arial" w:cs="Arial"/>
          <w:b/>
          <w:bCs/>
        </w:rPr>
        <w:t>Fortalecimiento de los estándares IFRS</w:t>
      </w:r>
    </w:p>
    <w:p w:rsidR="003471E7" w:rsidRPr="003471E7" w:rsidRDefault="003471E7" w:rsidP="003471E7">
      <w:pPr>
        <w:jc w:val="both"/>
        <w:rPr>
          <w:rFonts w:ascii="Arial" w:hAnsi="Arial" w:cs="Arial"/>
        </w:rPr>
      </w:pPr>
      <w:r w:rsidRPr="003471E7">
        <w:rPr>
          <w:rFonts w:ascii="Arial" w:hAnsi="Arial" w:cs="Arial"/>
        </w:rPr>
        <w:t>Propongo que dejemos ahora los extremos de las políticas macroeconómicas y pasemos al mundo relativamente tranquilo de la contabilidad. La contabilidad financiera tiene una ambición mucho más modesta que la macroeconomía. Los contadores de granos no buscamos mover ni influir en los mercados. Nuestro objetivo es simplemente describir la realidad económica de la manera más fiel y neutral posible.</w:t>
      </w:r>
    </w:p>
    <w:p w:rsidR="003471E7" w:rsidRPr="003471E7" w:rsidRDefault="003471E7" w:rsidP="003471E7">
      <w:pPr>
        <w:jc w:val="both"/>
        <w:rPr>
          <w:rFonts w:ascii="Arial" w:hAnsi="Arial" w:cs="Arial"/>
        </w:rPr>
      </w:pPr>
      <w:r w:rsidRPr="003471E7">
        <w:rPr>
          <w:rFonts w:ascii="Arial" w:hAnsi="Arial" w:cs="Arial"/>
        </w:rPr>
        <w:t xml:space="preserve">Esta modesta ambición ya es bastante difícil de lograr. En un discurso inicial, esbocé algunas de las muchas vulnerabilidades de la contabilidad. Empleamos una combinación de técnicas de </w:t>
      </w:r>
      <w:proofErr w:type="gramStart"/>
      <w:r w:rsidRPr="003471E7">
        <w:rPr>
          <w:rFonts w:ascii="Arial" w:hAnsi="Arial" w:cs="Arial"/>
        </w:rPr>
        <w:t>medición actuales e históricas</w:t>
      </w:r>
      <w:proofErr w:type="gramEnd"/>
      <w:r w:rsidRPr="003471E7">
        <w:rPr>
          <w:rFonts w:ascii="Arial" w:hAnsi="Arial" w:cs="Arial"/>
        </w:rPr>
        <w:t>, lo que provoca todo tipo de desajustes contables. La contabilidad de costos históricos, a pesar de su reputación de confiabilidad, está llena de estimaciones subjetivas, como la medición del valor en uso o la vida útil de un activo. Los activos intangibles, que son cada vez más importantes como impulsores de valor para las empresas, escapan en gran medida a los estados financieros. No podemos explicar con precisión qué es Otro ingreso integral. Si bien la contabilidad de acumulación (o devengo) es muy superior a la contabilidad de caja, también puede ser vulnerable a la gestión de ganancias, que es la raíz de muchos escándalos contables.</w:t>
      </w:r>
    </w:p>
    <w:p w:rsidR="003471E7" w:rsidRPr="003471E7" w:rsidRDefault="003471E7" w:rsidP="003471E7">
      <w:pPr>
        <w:jc w:val="both"/>
        <w:rPr>
          <w:rFonts w:ascii="Arial" w:hAnsi="Arial" w:cs="Arial"/>
        </w:rPr>
      </w:pPr>
      <w:r w:rsidRPr="003471E7">
        <w:rPr>
          <w:rFonts w:ascii="Arial" w:hAnsi="Arial" w:cs="Arial"/>
        </w:rPr>
        <w:t>En la última década, IASB ha trabajado arduamente para reducir algunas de estas vulnerabilidades y estoy realmente orgulloso del progreso que hemos podido lograr. La NIIF 9 ha mejorado la contabilidad de las pérdidas crediticias, haciéndola más sensible a los cambios en la economía. La NIIF 15 ha hecho que el reconocimiento de ingresos sea más sólido y más comparable a nivel mundial. La calidad del balance ha mejorado enormemente con la NIIF 16 que reconoce todos los pasivos por arrendamiento.</w:t>
      </w:r>
    </w:p>
    <w:p w:rsidR="003471E7" w:rsidRPr="003471E7" w:rsidRDefault="003471E7" w:rsidP="003471E7">
      <w:pPr>
        <w:jc w:val="both"/>
        <w:rPr>
          <w:rFonts w:ascii="Arial" w:hAnsi="Arial" w:cs="Arial"/>
        </w:rPr>
      </w:pPr>
      <w:r w:rsidRPr="003471E7">
        <w:rPr>
          <w:rFonts w:ascii="Arial" w:hAnsi="Arial" w:cs="Arial"/>
        </w:rPr>
        <w:t>Si alguien todavía necesita ser convencido de cuán esenciales son los estándares de contabilidad global adecuados, solo mire la contabilidad de seguros. Actualmente, existe una amplia diversidad en el reconocimiento de ingresos, y algunas normas nacionales cuentan incluso los depósitos de inversión como ingresos. En muchos países, los pasivos por seguros todavía se miden utilizando tipos de interés históricos que ya no son relevantes en el entorno actual de tipos de interés bajos. Después de 2023, cuando la NIIF 17 sea efectiva, el reconocimiento de ingresos será internacionalmente comparable y mucho más confiable. El pasivo del seguro se medirá en todas partes a las tasas de interés actuales, lo que refleja la realidad económica mucho más de cerca.</w:t>
      </w:r>
    </w:p>
    <w:p w:rsidR="003471E7" w:rsidRPr="003471E7" w:rsidRDefault="003471E7" w:rsidP="003471E7">
      <w:pPr>
        <w:jc w:val="both"/>
        <w:rPr>
          <w:rFonts w:ascii="Arial" w:hAnsi="Arial" w:cs="Arial"/>
        </w:rPr>
      </w:pPr>
      <w:r w:rsidRPr="003471E7">
        <w:rPr>
          <w:rFonts w:ascii="Arial" w:hAnsi="Arial" w:cs="Arial"/>
        </w:rPr>
        <w:lastRenderedPageBreak/>
        <w:t>El Marco Conceptual actualizado ha creado principios de medición mucho más claros, que facilitan al Consejo determinar qué base de medición prescribir en qué circunstancias.</w:t>
      </w:r>
    </w:p>
    <w:p w:rsidR="003471E7" w:rsidRPr="003471E7" w:rsidRDefault="003471E7" w:rsidP="003471E7">
      <w:pPr>
        <w:jc w:val="both"/>
        <w:rPr>
          <w:rFonts w:ascii="Arial" w:hAnsi="Arial" w:cs="Arial"/>
        </w:rPr>
      </w:pPr>
      <w:r w:rsidRPr="003471E7">
        <w:rPr>
          <w:rFonts w:ascii="Arial" w:hAnsi="Arial" w:cs="Arial"/>
        </w:rPr>
        <w:t>Muchas vías para la gestión de ganancias ya se habían cerrado antes de mi época. El reconocimiento de ingresos y el Estándar de seguros han reducido aún más las oportunidades de hacerlo. La abolición de la categoría de instrumentos de patrimonio disponibles para la venta en la NIIF 9 también ha hecho que sea menos fácil obtener ganancias y pérdidas cuando son útiles. Precisamente por eso hay mucha nostalgia por los disponibles para la venta. No deseo gobernar desde mi tumba, pero ciertamente espero que nunca vuelva. Si no le gusta la volatilidad de los instrumentos de renta variable, no invierta en acciones.</w:t>
      </w:r>
    </w:p>
    <w:p w:rsidR="003471E7" w:rsidRPr="003471E7" w:rsidRDefault="003471E7" w:rsidP="003471E7">
      <w:pPr>
        <w:jc w:val="both"/>
        <w:rPr>
          <w:rFonts w:ascii="Arial" w:hAnsi="Arial" w:cs="Arial"/>
        </w:rPr>
      </w:pPr>
      <w:r w:rsidRPr="003471E7">
        <w:rPr>
          <w:rFonts w:ascii="Arial" w:hAnsi="Arial" w:cs="Arial"/>
        </w:rPr>
        <w:t>Después de llenar la mayoría de los vacíos en reconocimiento y medición, hemos podido concentrar nuestra energía cada vez más en mejorar la presentación de la información financiera. Nuestro proyecto de estados financieros primarios proporcionará una estructura mucho mejor al estado de resultados y mejorará la transparencia y la disciplina en torno a las medidas que no son PCGA. Nuestras propuestas mejorarán enormemente la relevancia de la cuenta de resultados y han sido recibidas con entusiasmo por los inversores. Una mejor estructura de la cuenta de resultados también es inmensamente importante a medida que se consume cada vez más información financiera a través de medios electrónicos.</w:t>
      </w:r>
    </w:p>
    <w:p w:rsidR="003471E7" w:rsidRPr="003471E7" w:rsidRDefault="003471E7" w:rsidP="003471E7">
      <w:pPr>
        <w:jc w:val="both"/>
        <w:rPr>
          <w:rFonts w:ascii="Arial" w:hAnsi="Arial" w:cs="Arial"/>
        </w:rPr>
      </w:pPr>
      <w:r w:rsidRPr="003471E7">
        <w:rPr>
          <w:rFonts w:ascii="Arial" w:hAnsi="Arial" w:cs="Arial"/>
        </w:rPr>
        <w:t>Nuestra nueva versión de la Declaración de prácticas de comentarios de la administración proporcionará un marco integral para ayudar a las empresas a reconstruir todos los elementos de la sección narrativa que complementan los estados financieros en el informe anual. Los comentarios de la gerencia proporcionarán una estación de acoplamiento en la que las empresas pueden proporcionar mejor información sobre sus intangibles, modelo de negocio y capacidades tecnológicas. También comenzamos a trabajar en el comentario de la gerencia, ya que pudimos ver la creciente necesidad de que las empresas informen sobre cuestiones de sostenibilidad. Esto también es importante con respecto al trabajo de nuestros Fideicomisarios sobre el posible establecimiento de un Consejo de Normas Internacionales de Sostenibilidad como un consejo hermano del IASB dentro de la estructura de gobierno de la Fundación. El comentario de la gerencia, como una estación de acoplamiento para la información de sostenibilidad,</w:t>
      </w:r>
    </w:p>
    <w:p w:rsidR="003471E7" w:rsidRDefault="003471E7" w:rsidP="003471E7">
      <w:pPr>
        <w:jc w:val="both"/>
        <w:rPr>
          <w:rFonts w:ascii="Arial" w:hAnsi="Arial" w:cs="Arial"/>
        </w:rPr>
      </w:pPr>
    </w:p>
    <w:p w:rsidR="003471E7" w:rsidRPr="003471E7" w:rsidRDefault="003471E7" w:rsidP="003471E7">
      <w:pPr>
        <w:jc w:val="both"/>
        <w:rPr>
          <w:rFonts w:ascii="Arial" w:hAnsi="Arial" w:cs="Arial"/>
          <w:b/>
          <w:bCs/>
        </w:rPr>
      </w:pPr>
      <w:r w:rsidRPr="003471E7">
        <w:rPr>
          <w:rFonts w:ascii="Arial" w:hAnsi="Arial" w:cs="Arial"/>
          <w:b/>
          <w:bCs/>
        </w:rPr>
        <w:t>Consolidación del uso de Normas NIIF</w:t>
      </w:r>
    </w:p>
    <w:p w:rsidR="003471E7" w:rsidRPr="003471E7" w:rsidRDefault="003471E7" w:rsidP="003471E7">
      <w:pPr>
        <w:jc w:val="both"/>
        <w:rPr>
          <w:rFonts w:ascii="Arial" w:hAnsi="Arial" w:cs="Arial"/>
        </w:rPr>
      </w:pPr>
      <w:r w:rsidRPr="003471E7">
        <w:rPr>
          <w:rFonts w:ascii="Arial" w:hAnsi="Arial" w:cs="Arial"/>
        </w:rPr>
        <w:t>También estoy orgulloso de cómo las Normas NIIF se han establecido firmemente como la norma contable líder para la economía mundial. Cuando comencé en 2011, las Normas NIIF todavía eran relativamente nuevas y había mucha excitación nerviosa sobre su futuro. Por un lado, el objetivo de un conjunto único de estándares contables globales todavía estaba vivo y se mencionaba en todos los comunicados del FSB y del G20. Por otro lado, también había mucha incertidumbre sobre si Estados Unidos finalmente adoptaría. Muchos temían que si Estados Unidos no lo hacía, el mundo de las Normas NIIF podría desmoronarse.</w:t>
      </w:r>
    </w:p>
    <w:p w:rsidR="003471E7" w:rsidRPr="003471E7" w:rsidRDefault="003471E7" w:rsidP="003471E7">
      <w:pPr>
        <w:jc w:val="both"/>
        <w:rPr>
          <w:rFonts w:ascii="Arial" w:hAnsi="Arial" w:cs="Arial"/>
        </w:rPr>
      </w:pPr>
      <w:r w:rsidRPr="003471E7">
        <w:rPr>
          <w:rFonts w:ascii="Arial" w:hAnsi="Arial" w:cs="Arial"/>
        </w:rPr>
        <w:t xml:space="preserve">En el transcurso de 2011 y 2012, el sueño de un conjunto único de estándares de contabilidad globales se desvaneció gradualmente a medida que la Comisión de Bolsa y Valores de EE. UU. (SEC) se mostró cada vez más reacia a la adopción de las </w:t>
      </w:r>
      <w:r w:rsidRPr="003471E7">
        <w:rPr>
          <w:rFonts w:ascii="Arial" w:hAnsi="Arial" w:cs="Arial"/>
        </w:rPr>
        <w:lastRenderedPageBreak/>
        <w:t>NIIF. Después de la Gran Crisis Financiera, las empresas estuvieron bajo mucha presión en todas partes y la SEC sintió que no podía impulsar una reforma que generaría costos considerables en el corto plazo. El ministro de Finanzas japonés también se volvió más cauteloso después del terrible tsunami de 2011.</w:t>
      </w:r>
    </w:p>
    <w:p w:rsidR="003471E7" w:rsidRPr="003471E7" w:rsidRDefault="003471E7" w:rsidP="003471E7">
      <w:pPr>
        <w:jc w:val="both"/>
        <w:rPr>
          <w:rFonts w:ascii="Arial" w:hAnsi="Arial" w:cs="Arial"/>
        </w:rPr>
      </w:pPr>
      <w:r w:rsidRPr="003471E7">
        <w:rPr>
          <w:rFonts w:ascii="Arial" w:hAnsi="Arial" w:cs="Arial"/>
        </w:rPr>
        <w:t xml:space="preserve">Sin embargo, la tan temida disolución del mundo de las Normas NIIF no se produjo. Una a una, a la familia de las NIIF se </w:t>
      </w:r>
      <w:proofErr w:type="gramStart"/>
      <w:r w:rsidRPr="003471E7">
        <w:rPr>
          <w:rFonts w:ascii="Arial" w:hAnsi="Arial" w:cs="Arial"/>
        </w:rPr>
        <w:t>unieron</w:t>
      </w:r>
      <w:proofErr w:type="gramEnd"/>
      <w:r w:rsidRPr="003471E7">
        <w:rPr>
          <w:rFonts w:ascii="Arial" w:hAnsi="Arial" w:cs="Arial"/>
        </w:rPr>
        <w:t xml:space="preserve"> jurisdicciones individuales en Asia y África, llegando finalmente a un total de más de 140. En Japón, el número de empresas individuales que adoptan las Normas NIIF creció de manera constante y, en poco tiempo, más del 50% de los japoneses La bolsa de valores estará denominada en Normas NIIF. China se ha mantenido muy cerca, incorporando todos los nuevos estándares y muchas empresas chinas pueden declarar el pleno cumplimiento de los estándares IFRS. Es importante destacar que la Unión Europea, que hizo realidad el sueño de las Normas NIIF en 2005, hasta ahora ha podido resistir la tentación de añadir complementos a nuestras Normas.</w:t>
      </w:r>
    </w:p>
    <w:p w:rsidR="003471E7" w:rsidRPr="003471E7" w:rsidRDefault="003471E7" w:rsidP="003471E7">
      <w:pPr>
        <w:jc w:val="both"/>
        <w:rPr>
          <w:rFonts w:ascii="Arial" w:hAnsi="Arial" w:cs="Arial"/>
        </w:rPr>
      </w:pPr>
      <w:r w:rsidRPr="003471E7">
        <w:rPr>
          <w:rFonts w:ascii="Arial" w:hAnsi="Arial" w:cs="Arial"/>
        </w:rPr>
        <w:t>Aquellos que siguen de cerca la aprobación de la NIIF 17, saben que existe una clara posibilidad de que Europa termine haciendo una separación del requisito de cohortes anual de esta norma para algunas compañías de seguros. Esto les daría a las aseguradoras la posibilidad de mezclar las ganancias antiguas (incluso en contratos que ya han vencido) con las nuevas ganancias que podrían ser menores debido a las bajas tasas de interés. Los estados de resultados resultantes podrían mostrar ganancias artificialmente altas e incluso enmascarar pérdidas. Si la UE sigue adelante con tal excepción, espero que se hagan esfuerzos para garantizar que las empresas revelen que están utilizando la excepción, de modo que los inversores puedan tener esto en cuenta correctamente.</w:t>
      </w:r>
    </w:p>
    <w:p w:rsidR="003471E7" w:rsidRPr="003471E7" w:rsidRDefault="003471E7" w:rsidP="003471E7">
      <w:pPr>
        <w:jc w:val="both"/>
        <w:rPr>
          <w:rFonts w:ascii="Arial" w:hAnsi="Arial" w:cs="Arial"/>
        </w:rPr>
      </w:pPr>
      <w:r w:rsidRPr="003471E7">
        <w:rPr>
          <w:rFonts w:ascii="Arial" w:hAnsi="Arial" w:cs="Arial"/>
        </w:rPr>
        <w:t>Con todo, el uso de las Normas NIIF se ha consolidado en gran parte del mundo y ya no está sujeto a debates feroces. La guerra cultural entre los defensores de la contabilidad del valor razonable y los fanáticos de la contabilidad de costos históricos -todavía muy viva en 2011- también ha perdido gran parte de su fuerza. El IASB siguió un curso pragmático bien razonado en el que la medición actual ganó terreno de manera constante, mientras que no se ignoraron las trampas de la contabilidad del valor razonable.</w:t>
      </w:r>
    </w:p>
    <w:p w:rsidR="003471E7" w:rsidRPr="003471E7" w:rsidRDefault="003471E7" w:rsidP="003471E7">
      <w:pPr>
        <w:jc w:val="both"/>
        <w:rPr>
          <w:rFonts w:ascii="Arial" w:hAnsi="Arial" w:cs="Arial"/>
        </w:rPr>
      </w:pPr>
      <w:r w:rsidRPr="003471E7">
        <w:rPr>
          <w:rFonts w:ascii="Arial" w:hAnsi="Arial" w:cs="Arial"/>
        </w:rPr>
        <w:t>El entusiasmo en torno a las Normas NIIF que me recibió hace 10 años se ha disipado en gran medida. Pero en este caso, el hecho de que nos hayamos vuelto un poco aburridos es algo positivo. Significa que las Normas NIIF se han establecido firmemente como el lenguaje contable líder a nivel mundial. El sueño de un conjunto único de estándares globales aún no se ha cumplido. Pero el grado de consolidación que se ha logrado es asombroso, especialmente en esta época de escepticismo sobre la globalización.</w:t>
      </w:r>
    </w:p>
    <w:p w:rsidR="003471E7" w:rsidRPr="003471E7" w:rsidRDefault="003471E7" w:rsidP="003471E7">
      <w:pPr>
        <w:jc w:val="both"/>
        <w:rPr>
          <w:rFonts w:ascii="Arial" w:hAnsi="Arial" w:cs="Arial"/>
        </w:rPr>
      </w:pPr>
      <w:r w:rsidRPr="003471E7">
        <w:rPr>
          <w:rFonts w:ascii="Arial" w:hAnsi="Arial" w:cs="Arial"/>
        </w:rPr>
        <w:t>Me gustaría pensar que las jurisdicciones han convergido en los estándares IFRS debido a la calidad de nuestros estándares. Pero igualmente importante es la contribución de las Normas NIIF a la facilidad de hacer negocios. Muchas empresas japonesas adoptaron voluntariamente las Normas NIIF, simplemente porque facilita mucho la gestión de una organización multinacional.</w:t>
      </w:r>
    </w:p>
    <w:p w:rsidR="003471E7" w:rsidRPr="003471E7" w:rsidRDefault="003471E7" w:rsidP="003471E7">
      <w:pPr>
        <w:jc w:val="both"/>
        <w:rPr>
          <w:rFonts w:ascii="Arial" w:hAnsi="Arial" w:cs="Arial"/>
        </w:rPr>
      </w:pPr>
      <w:r w:rsidRPr="003471E7">
        <w:rPr>
          <w:rFonts w:ascii="Arial" w:hAnsi="Arial" w:cs="Arial"/>
        </w:rPr>
        <w:t xml:space="preserve">Y finalmente, creo que el gobierno de la Fundación IFRS ha fortalecido enormemente nuestra credibilidad. Es de esperar que la relativa independencia de la Junta, protegiéndola de excesivos movimientos y tratos, haya contribuido a su confiabilidad. De hecho, la respuesta entusiasta de las partes interesadas al papel propuesto de la Fundación IFRS en </w:t>
      </w:r>
      <w:r w:rsidRPr="003471E7">
        <w:rPr>
          <w:rFonts w:ascii="Arial" w:hAnsi="Arial" w:cs="Arial"/>
        </w:rPr>
        <w:lastRenderedPageBreak/>
        <w:t>la presentación de informes de sostenibilidad fue en gran medida alimentada por la confianza en nuestra gobernanza y el debido proceso. </w:t>
      </w:r>
    </w:p>
    <w:p w:rsidR="00704C60" w:rsidRDefault="00704C60" w:rsidP="003471E7">
      <w:pPr>
        <w:jc w:val="both"/>
        <w:rPr>
          <w:rFonts w:ascii="Arial" w:hAnsi="Arial" w:cs="Arial"/>
          <w:b/>
          <w:bCs/>
        </w:rPr>
      </w:pPr>
    </w:p>
    <w:p w:rsidR="003471E7" w:rsidRPr="003471E7" w:rsidRDefault="003471E7" w:rsidP="003471E7">
      <w:pPr>
        <w:jc w:val="both"/>
        <w:rPr>
          <w:rFonts w:ascii="Arial" w:hAnsi="Arial" w:cs="Arial"/>
          <w:b/>
          <w:bCs/>
        </w:rPr>
      </w:pPr>
      <w:r w:rsidRPr="003471E7">
        <w:rPr>
          <w:rFonts w:ascii="Arial" w:hAnsi="Arial" w:cs="Arial"/>
          <w:b/>
          <w:bCs/>
        </w:rPr>
        <w:t>Palabras de clausura</w:t>
      </w:r>
    </w:p>
    <w:p w:rsidR="003471E7" w:rsidRPr="003471E7" w:rsidRDefault="003471E7" w:rsidP="003471E7">
      <w:pPr>
        <w:jc w:val="both"/>
        <w:rPr>
          <w:rFonts w:ascii="Arial" w:hAnsi="Arial" w:cs="Arial"/>
        </w:rPr>
      </w:pPr>
      <w:r w:rsidRPr="003471E7">
        <w:rPr>
          <w:rFonts w:ascii="Arial" w:hAnsi="Arial" w:cs="Arial"/>
        </w:rPr>
        <w:t>Comencé este discurso reconociendo la importancia de las personas y, en particular, la importancia de las relaciones personales en nuestro trabajo. Más que nada, la historia de las NIIF es una de personas notables de todo el mundo que trabajan juntas en pos de un objetivo común y noble.</w:t>
      </w:r>
    </w:p>
    <w:p w:rsidR="003471E7" w:rsidRPr="003471E7" w:rsidRDefault="003471E7" w:rsidP="003471E7">
      <w:pPr>
        <w:jc w:val="both"/>
        <w:rPr>
          <w:rFonts w:ascii="Arial" w:hAnsi="Arial" w:cs="Arial"/>
        </w:rPr>
      </w:pPr>
      <w:r w:rsidRPr="003471E7">
        <w:rPr>
          <w:rFonts w:ascii="Arial" w:hAnsi="Arial" w:cs="Arial"/>
        </w:rPr>
        <w:t xml:space="preserve">En particular, me gustaría reconocer el trabajo olvidado de los Fideicomisarios, tan hábilmente dirigidos por </w:t>
      </w:r>
      <w:proofErr w:type="spellStart"/>
      <w:r w:rsidRPr="003471E7">
        <w:rPr>
          <w:rFonts w:ascii="Arial" w:hAnsi="Arial" w:cs="Arial"/>
        </w:rPr>
        <w:t>Erkki</w:t>
      </w:r>
      <w:proofErr w:type="spellEnd"/>
      <w:r w:rsidRPr="003471E7">
        <w:rPr>
          <w:rFonts w:ascii="Arial" w:hAnsi="Arial" w:cs="Arial"/>
        </w:rPr>
        <w:t xml:space="preserve"> </w:t>
      </w:r>
      <w:proofErr w:type="spellStart"/>
      <w:r w:rsidRPr="003471E7">
        <w:rPr>
          <w:rFonts w:ascii="Arial" w:hAnsi="Arial" w:cs="Arial"/>
        </w:rPr>
        <w:t>Liikanen</w:t>
      </w:r>
      <w:proofErr w:type="spellEnd"/>
      <w:r w:rsidRPr="003471E7">
        <w:rPr>
          <w:rFonts w:ascii="Arial" w:hAnsi="Arial" w:cs="Arial"/>
        </w:rPr>
        <w:t xml:space="preserve"> y antes que él por Michel Prada. Su sabiduría colectiva ha sido a menudo una fuente de inspiración y apoyo. También quiero agradecer profundamente a mis compañeros miembros del IASB, pasados ​​y presentes, por su arduo trabajo, su apoyo y, sobre todo, su camaradería. Con una silla no técnica, ¡la sabiduría colectiva de la Junta nunca ha sido más importante! Quiero agradecer especialmente a mi Vicepresidenta </w:t>
      </w:r>
      <w:proofErr w:type="spellStart"/>
      <w:r w:rsidRPr="003471E7">
        <w:rPr>
          <w:rFonts w:ascii="Arial" w:hAnsi="Arial" w:cs="Arial"/>
        </w:rPr>
        <w:t>Sue</w:t>
      </w:r>
      <w:proofErr w:type="spellEnd"/>
      <w:r w:rsidRPr="003471E7">
        <w:rPr>
          <w:rFonts w:ascii="Arial" w:hAnsi="Arial" w:cs="Arial"/>
        </w:rPr>
        <w:t xml:space="preserve"> Lloyd, a quien he podido confiar muchas responsabilidades y cuya gran inteligencia siempre he admirado.</w:t>
      </w:r>
    </w:p>
    <w:p w:rsidR="003471E7" w:rsidRPr="003471E7" w:rsidRDefault="003471E7" w:rsidP="003471E7">
      <w:pPr>
        <w:jc w:val="both"/>
        <w:rPr>
          <w:rFonts w:ascii="Arial" w:hAnsi="Arial" w:cs="Arial"/>
        </w:rPr>
      </w:pPr>
      <w:r w:rsidRPr="003471E7">
        <w:rPr>
          <w:rFonts w:ascii="Arial" w:hAnsi="Arial" w:cs="Arial"/>
        </w:rPr>
        <w:t xml:space="preserve">En </w:t>
      </w:r>
      <w:proofErr w:type="spellStart"/>
      <w:r w:rsidRPr="003471E7">
        <w:rPr>
          <w:rFonts w:ascii="Arial" w:hAnsi="Arial" w:cs="Arial"/>
        </w:rPr>
        <w:t>Nili</w:t>
      </w:r>
      <w:proofErr w:type="spellEnd"/>
      <w:r w:rsidRPr="003471E7">
        <w:rPr>
          <w:rFonts w:ascii="Arial" w:hAnsi="Arial" w:cs="Arial"/>
        </w:rPr>
        <w:t xml:space="preserve"> </w:t>
      </w:r>
      <w:proofErr w:type="spellStart"/>
      <w:r w:rsidRPr="003471E7">
        <w:rPr>
          <w:rFonts w:ascii="Arial" w:hAnsi="Arial" w:cs="Arial"/>
        </w:rPr>
        <w:t>Shah</w:t>
      </w:r>
      <w:proofErr w:type="spellEnd"/>
      <w:r w:rsidRPr="003471E7">
        <w:rPr>
          <w:rFonts w:ascii="Arial" w:hAnsi="Arial" w:cs="Arial"/>
        </w:rPr>
        <w:t xml:space="preserve"> y Lee White, quiero agradecer a nuestro notable personal técnico y operativo. Hay muchos talentos en nuestras organizaciones y nunca antes había trabajado en una cultura tan amigable y cooperativa. Mi sucesor, Andreas </w:t>
      </w:r>
      <w:proofErr w:type="spellStart"/>
      <w:r w:rsidRPr="003471E7">
        <w:rPr>
          <w:rFonts w:ascii="Arial" w:hAnsi="Arial" w:cs="Arial"/>
        </w:rPr>
        <w:t>Barckow</w:t>
      </w:r>
      <w:proofErr w:type="spellEnd"/>
      <w:r w:rsidRPr="003471E7">
        <w:rPr>
          <w:rFonts w:ascii="Arial" w:hAnsi="Arial" w:cs="Arial"/>
        </w:rPr>
        <w:t>, tiene un gran grupo de personas con las que trabajar y, dado su profundo conocimiento de nuestra gente y nuestro trabajo, no tengo ninguna duda de que ha tenido un buen comienzo. Y finalmente quiero agradecerles a ustedes, la increíble comunidad global de las NIIF: miembros de la CINIIF y ASAF, inversores, preparadores, organizaciones internacionales, emisores de normas nacionales, miembros de la profesión contable, estudiantes, a todos ustedes. Gracias. Los extrañaré a todos, y realmente espero que nuestros caminos se vuelvan a cruzar en el futuro.</w:t>
      </w:r>
    </w:p>
    <w:p w:rsidR="003471E7" w:rsidRPr="003471E7" w:rsidRDefault="003471E7" w:rsidP="003471E7">
      <w:pPr>
        <w:jc w:val="both"/>
        <w:rPr>
          <w:rFonts w:ascii="Arial" w:hAnsi="Arial" w:cs="Arial"/>
        </w:rPr>
      </w:pPr>
    </w:p>
    <w:p w:rsidR="003471E7" w:rsidRDefault="003471E7" w:rsidP="003471E7">
      <w:pPr>
        <w:jc w:val="both"/>
        <w:rPr>
          <w:rFonts w:ascii="Arial" w:hAnsi="Arial" w:cs="Arial"/>
        </w:rPr>
      </w:pPr>
    </w:p>
    <w:p w:rsidR="003471E7" w:rsidRPr="003471E7" w:rsidRDefault="003471E7" w:rsidP="003471E7">
      <w:pPr>
        <w:jc w:val="both"/>
        <w:rPr>
          <w:rFonts w:ascii="Arial" w:hAnsi="Arial" w:cs="Arial"/>
        </w:rPr>
      </w:pPr>
    </w:p>
    <w:p w:rsidR="003471E7" w:rsidRPr="003471E7" w:rsidRDefault="003471E7" w:rsidP="003471E7">
      <w:pPr>
        <w:jc w:val="both"/>
        <w:rPr>
          <w:rFonts w:ascii="Arial" w:hAnsi="Arial" w:cs="Arial"/>
        </w:rPr>
      </w:pPr>
    </w:p>
    <w:sectPr w:rsidR="003471E7" w:rsidRPr="003471E7">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19A" w:rsidRDefault="0070119A" w:rsidP="003471E7">
      <w:pPr>
        <w:spacing w:after="0" w:line="240" w:lineRule="auto"/>
      </w:pPr>
      <w:r>
        <w:separator/>
      </w:r>
    </w:p>
  </w:endnote>
  <w:endnote w:type="continuationSeparator" w:id="0">
    <w:p w:rsidR="0070119A" w:rsidRDefault="0070119A" w:rsidP="003471E7">
      <w:pPr>
        <w:spacing w:after="0" w:line="240" w:lineRule="auto"/>
      </w:pPr>
      <w:r>
        <w:continuationSeparator/>
      </w:r>
    </w:p>
  </w:endnote>
  <w:endnote w:id="1">
    <w:p w:rsidR="003471E7" w:rsidRDefault="003471E7" w:rsidP="00704C60">
      <w:pPr>
        <w:pStyle w:val="Textonotaalfinal"/>
        <w:jc w:val="both"/>
      </w:pPr>
      <w:r>
        <w:rPr>
          <w:rStyle w:val="Refdenotaalfinal"/>
        </w:rPr>
        <w:endnoteRef/>
      </w:r>
      <w:r>
        <w:t xml:space="preserve"> </w:t>
      </w:r>
      <w:r w:rsidRPr="003471E7">
        <w:t xml:space="preserve">El economista belga Paul de </w:t>
      </w:r>
      <w:proofErr w:type="spellStart"/>
      <w:r w:rsidRPr="003471E7">
        <w:t>Grauwe</w:t>
      </w:r>
      <w:proofErr w:type="spellEnd"/>
      <w:r w:rsidRPr="003471E7">
        <w:t xml:space="preserve"> explicó recientemente cómo la flexibilización cuantitativa conduce esencialmente a la cancelación de la deuda pública. Cualquier interés que paguen los gobiernos es una ganancia para los bancos centrales, que lo devolverán al estado como dividendo. Siempre que los bonos se refinancian al vencimiento, que es en la actualidad en casi todos los casos, el Estado tampoco tiene que preocuparse por devolverlos. Paul de </w:t>
      </w:r>
      <w:proofErr w:type="spellStart"/>
      <w:r w:rsidRPr="003471E7">
        <w:t>Grauwe</w:t>
      </w:r>
      <w:proofErr w:type="spellEnd"/>
      <w:r w:rsidRPr="003471E7">
        <w:t>: Cancelación de deuda por parte del BCE: ¿Hace alguna diferencia? De febrero de 15 </w:t>
      </w:r>
      <w:r w:rsidRPr="003471E7">
        <w:rPr>
          <w:vertAlign w:val="superscript"/>
        </w:rPr>
        <w:t>º</w:t>
      </w:r>
      <w:r w:rsidRPr="003471E7">
        <w:t> 2021.</w:t>
      </w:r>
    </w:p>
    <w:p w:rsidR="003471E7" w:rsidRDefault="003471E7" w:rsidP="00704C60">
      <w:pPr>
        <w:pStyle w:val="Textonotaalfinal"/>
        <w:jc w:val="both"/>
      </w:pPr>
    </w:p>
    <w:p w:rsidR="003471E7" w:rsidRDefault="003471E7" w:rsidP="00704C60">
      <w:pPr>
        <w:pStyle w:val="Textonotaalfinal"/>
        <w:jc w:val="both"/>
      </w:pPr>
    </w:p>
  </w:endnote>
  <w:endnote w:id="2">
    <w:p w:rsidR="003471E7" w:rsidRDefault="003471E7" w:rsidP="00704C60">
      <w:pPr>
        <w:pStyle w:val="Textonotaalfinal"/>
        <w:jc w:val="both"/>
      </w:pPr>
      <w:r>
        <w:rPr>
          <w:rStyle w:val="Refdenotaalfinal"/>
        </w:rPr>
        <w:endnoteRef/>
      </w:r>
      <w:r>
        <w:t xml:space="preserve"> </w:t>
      </w:r>
      <w:r w:rsidRPr="003471E7">
        <w:t xml:space="preserve">Jacques de </w:t>
      </w:r>
      <w:proofErr w:type="spellStart"/>
      <w:r w:rsidRPr="003471E7">
        <w:t>Larosière</w:t>
      </w:r>
      <w:proofErr w:type="spellEnd"/>
      <w:r w:rsidRPr="003471E7">
        <w:t>: Desmontaje de minas terrestres después de la guerra. OMFIF 6 de abril de 2020</w:t>
      </w:r>
    </w:p>
    <w:p w:rsidR="003471E7" w:rsidRDefault="003471E7" w:rsidP="00704C60">
      <w:pPr>
        <w:pStyle w:val="Textonotaalfinal"/>
        <w:jc w:val="both"/>
      </w:pPr>
    </w:p>
  </w:endnote>
  <w:endnote w:id="3">
    <w:p w:rsidR="003471E7" w:rsidRDefault="003471E7" w:rsidP="00704C60">
      <w:pPr>
        <w:pStyle w:val="Textonotaalfinal"/>
        <w:jc w:val="both"/>
      </w:pPr>
      <w:r>
        <w:rPr>
          <w:rStyle w:val="Refdenotaalfinal"/>
        </w:rPr>
        <w:endnoteRef/>
      </w:r>
      <w:r>
        <w:t xml:space="preserve"> </w:t>
      </w:r>
      <w:r w:rsidRPr="003471E7">
        <w:t xml:space="preserve">Jacques de </w:t>
      </w:r>
      <w:proofErr w:type="spellStart"/>
      <w:r w:rsidRPr="003471E7">
        <w:t>Larosière</w:t>
      </w:r>
      <w:proofErr w:type="spellEnd"/>
      <w:r w:rsidRPr="003471E7">
        <w:t xml:space="preserve">, La desaparición del sistema de </w:t>
      </w:r>
      <w:proofErr w:type="spellStart"/>
      <w:r w:rsidRPr="003471E7">
        <w:t>Bretton</w:t>
      </w:r>
      <w:proofErr w:type="spellEnd"/>
      <w:r w:rsidRPr="003471E7">
        <w:t>-Woods explica en gran parte nuestros problemas actuales. Madrid, 10 de enero de 2019</w:t>
      </w:r>
    </w:p>
    <w:p w:rsidR="003471E7" w:rsidRDefault="003471E7" w:rsidP="00704C60">
      <w:pPr>
        <w:pStyle w:val="Textonotaalfinal"/>
        <w:jc w:val="both"/>
      </w:pPr>
    </w:p>
  </w:endnote>
  <w:endnote w:id="4">
    <w:p w:rsidR="003471E7" w:rsidRDefault="003471E7">
      <w:pPr>
        <w:pStyle w:val="Textonotaalfinal"/>
      </w:pPr>
      <w:r>
        <w:rPr>
          <w:rStyle w:val="Refdenotaalfinal"/>
        </w:rPr>
        <w:endnoteRef/>
      </w:r>
      <w:r>
        <w:t xml:space="preserve"> </w:t>
      </w:r>
      <w:r w:rsidRPr="003471E7">
        <w:t xml:space="preserve">Paul </w:t>
      </w:r>
      <w:proofErr w:type="spellStart"/>
      <w:r w:rsidRPr="003471E7">
        <w:t>Volcker</w:t>
      </w:r>
      <w:proofErr w:type="spellEnd"/>
      <w:r w:rsidRPr="003471E7">
        <w:t>: Seguir así: la búsqueda de dinero sólido y buen gobierno, 2018</w:t>
      </w:r>
    </w:p>
    <w:p w:rsidR="003471E7" w:rsidRDefault="003471E7">
      <w:pPr>
        <w:pStyle w:val="Textonotaalfinal"/>
      </w:pPr>
    </w:p>
  </w:endnote>
  <w:endnote w:id="5">
    <w:p w:rsidR="00704C60" w:rsidRDefault="00704C60">
      <w:pPr>
        <w:pStyle w:val="Textonotaalfinal"/>
      </w:pPr>
      <w:r>
        <w:rPr>
          <w:rStyle w:val="Refdenotaalfinal"/>
        </w:rPr>
        <w:endnoteRef/>
      </w:r>
      <w:r>
        <w:t xml:space="preserve"> </w:t>
      </w:r>
      <w:r w:rsidRPr="00704C60">
        <w:t xml:space="preserve"> Entrevista con Larry </w:t>
      </w:r>
      <w:proofErr w:type="spellStart"/>
      <w:r w:rsidRPr="00704C60">
        <w:t>Summers</w:t>
      </w:r>
      <w:proofErr w:type="spellEnd"/>
      <w:r w:rsidRPr="00704C60">
        <w:t xml:space="preserve">, </w:t>
      </w:r>
      <w:proofErr w:type="spellStart"/>
      <w:r w:rsidRPr="00704C60">
        <w:t>Financial</w:t>
      </w:r>
      <w:proofErr w:type="spellEnd"/>
      <w:r w:rsidRPr="00704C60">
        <w:t xml:space="preserve"> Times, 12 de abril de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19A" w:rsidRDefault="0070119A" w:rsidP="003471E7">
      <w:pPr>
        <w:spacing w:after="0" w:line="240" w:lineRule="auto"/>
      </w:pPr>
      <w:r>
        <w:separator/>
      </w:r>
    </w:p>
  </w:footnote>
  <w:footnote w:type="continuationSeparator" w:id="0">
    <w:p w:rsidR="0070119A" w:rsidRDefault="0070119A" w:rsidP="003471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E7"/>
    <w:rsid w:val="000F4B68"/>
    <w:rsid w:val="001739B4"/>
    <w:rsid w:val="003471E7"/>
    <w:rsid w:val="003B63A5"/>
    <w:rsid w:val="0070119A"/>
    <w:rsid w:val="00704C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00D84-1AEE-4D25-A050-00AD1277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71E7"/>
    <w:rPr>
      <w:color w:val="0563C1" w:themeColor="hyperlink"/>
      <w:u w:val="single"/>
    </w:rPr>
  </w:style>
  <w:style w:type="paragraph" w:styleId="Textonotaalfinal">
    <w:name w:val="endnote text"/>
    <w:basedOn w:val="Normal"/>
    <w:link w:val="TextonotaalfinalCar"/>
    <w:uiPriority w:val="99"/>
    <w:semiHidden/>
    <w:unhideWhenUsed/>
    <w:rsid w:val="003471E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471E7"/>
    <w:rPr>
      <w:sz w:val="20"/>
      <w:szCs w:val="20"/>
    </w:rPr>
  </w:style>
  <w:style w:type="character" w:styleId="Refdenotaalfinal">
    <w:name w:val="endnote reference"/>
    <w:basedOn w:val="Fuentedeprrafopredeter"/>
    <w:uiPriority w:val="99"/>
    <w:semiHidden/>
    <w:unhideWhenUsed/>
    <w:rsid w:val="00347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3671">
      <w:bodyDiv w:val="1"/>
      <w:marLeft w:val="0"/>
      <w:marRight w:val="0"/>
      <w:marTop w:val="0"/>
      <w:marBottom w:val="0"/>
      <w:divBdr>
        <w:top w:val="none" w:sz="0" w:space="0" w:color="auto"/>
        <w:left w:val="none" w:sz="0" w:space="0" w:color="auto"/>
        <w:bottom w:val="none" w:sz="0" w:space="0" w:color="auto"/>
        <w:right w:val="none" w:sz="0" w:space="0" w:color="auto"/>
      </w:divBdr>
    </w:div>
    <w:div w:id="239798015">
      <w:bodyDiv w:val="1"/>
      <w:marLeft w:val="0"/>
      <w:marRight w:val="0"/>
      <w:marTop w:val="0"/>
      <w:marBottom w:val="0"/>
      <w:divBdr>
        <w:top w:val="none" w:sz="0" w:space="0" w:color="auto"/>
        <w:left w:val="none" w:sz="0" w:space="0" w:color="auto"/>
        <w:bottom w:val="none" w:sz="0" w:space="0" w:color="auto"/>
        <w:right w:val="none" w:sz="0" w:space="0" w:color="auto"/>
      </w:divBdr>
    </w:div>
    <w:div w:id="425073770">
      <w:bodyDiv w:val="1"/>
      <w:marLeft w:val="0"/>
      <w:marRight w:val="0"/>
      <w:marTop w:val="0"/>
      <w:marBottom w:val="0"/>
      <w:divBdr>
        <w:top w:val="none" w:sz="0" w:space="0" w:color="auto"/>
        <w:left w:val="none" w:sz="0" w:space="0" w:color="auto"/>
        <w:bottom w:val="none" w:sz="0" w:space="0" w:color="auto"/>
        <w:right w:val="none" w:sz="0" w:space="0" w:color="auto"/>
      </w:divBdr>
    </w:div>
    <w:div w:id="772171446">
      <w:bodyDiv w:val="1"/>
      <w:marLeft w:val="0"/>
      <w:marRight w:val="0"/>
      <w:marTop w:val="0"/>
      <w:marBottom w:val="0"/>
      <w:divBdr>
        <w:top w:val="none" w:sz="0" w:space="0" w:color="auto"/>
        <w:left w:val="none" w:sz="0" w:space="0" w:color="auto"/>
        <w:bottom w:val="none" w:sz="0" w:space="0" w:color="auto"/>
        <w:right w:val="none" w:sz="0" w:space="0" w:color="auto"/>
      </w:divBdr>
    </w:div>
    <w:div w:id="838665240">
      <w:bodyDiv w:val="1"/>
      <w:marLeft w:val="0"/>
      <w:marRight w:val="0"/>
      <w:marTop w:val="0"/>
      <w:marBottom w:val="0"/>
      <w:divBdr>
        <w:top w:val="none" w:sz="0" w:space="0" w:color="auto"/>
        <w:left w:val="none" w:sz="0" w:space="0" w:color="auto"/>
        <w:bottom w:val="none" w:sz="0" w:space="0" w:color="auto"/>
        <w:right w:val="none" w:sz="0" w:space="0" w:color="auto"/>
      </w:divBdr>
    </w:div>
    <w:div w:id="858394382">
      <w:bodyDiv w:val="1"/>
      <w:marLeft w:val="0"/>
      <w:marRight w:val="0"/>
      <w:marTop w:val="0"/>
      <w:marBottom w:val="0"/>
      <w:divBdr>
        <w:top w:val="none" w:sz="0" w:space="0" w:color="auto"/>
        <w:left w:val="none" w:sz="0" w:space="0" w:color="auto"/>
        <w:bottom w:val="none" w:sz="0" w:space="0" w:color="auto"/>
        <w:right w:val="none" w:sz="0" w:space="0" w:color="auto"/>
      </w:divBdr>
      <w:divsChild>
        <w:div w:id="1838038475">
          <w:marLeft w:val="0"/>
          <w:marRight w:val="0"/>
          <w:marTop w:val="0"/>
          <w:marBottom w:val="0"/>
          <w:divBdr>
            <w:top w:val="none" w:sz="0" w:space="0" w:color="auto"/>
            <w:left w:val="none" w:sz="0" w:space="0" w:color="auto"/>
            <w:bottom w:val="none" w:sz="0" w:space="0" w:color="auto"/>
            <w:right w:val="none" w:sz="0" w:space="0" w:color="auto"/>
          </w:divBdr>
        </w:div>
      </w:divsChild>
    </w:div>
    <w:div w:id="17311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FB807-8878-410E-A06A-F267F25A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3317</Words>
  <Characters>18248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2021-09-28T18:14:00Z</dcterms:created>
  <dcterms:modified xsi:type="dcterms:W3CDTF">2021-09-28T18:25:00Z</dcterms:modified>
</cp:coreProperties>
</file>