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70" w:rsidRPr="009A3270" w:rsidRDefault="009A3270" w:rsidP="009A3270">
      <w:pPr>
        <w:jc w:val="both"/>
        <w:rPr>
          <w:rFonts w:ascii="Arial" w:hAnsi="Arial" w:cs="Arial"/>
          <w:b/>
          <w:bCs/>
        </w:rPr>
      </w:pPr>
      <w:r w:rsidRPr="009A3270">
        <w:rPr>
          <w:rFonts w:ascii="Arial" w:hAnsi="Arial" w:cs="Arial"/>
          <w:b/>
          <w:bCs/>
        </w:rPr>
        <w:t>Oportunidades de informes de ESG bajo el nuevo liderazgo de la SEC</w:t>
      </w:r>
    </w:p>
    <w:p w:rsidR="009A3270" w:rsidRPr="009A3270" w:rsidRDefault="009A3270" w:rsidP="009A3270">
      <w:pPr>
        <w:jc w:val="both"/>
        <w:rPr>
          <w:rFonts w:ascii="Arial" w:hAnsi="Arial" w:cs="Arial"/>
        </w:rPr>
      </w:pPr>
    </w:p>
    <w:p w:rsidR="009A3270" w:rsidRPr="009A3270" w:rsidRDefault="009A3270" w:rsidP="009A3270">
      <w:pPr>
        <w:jc w:val="both"/>
        <w:rPr>
          <w:rFonts w:ascii="Arial" w:hAnsi="Arial" w:cs="Arial"/>
        </w:rPr>
      </w:pPr>
      <w:r w:rsidRPr="009A3270">
        <w:rPr>
          <w:rFonts w:ascii="Arial" w:hAnsi="Arial" w:cs="Arial"/>
        </w:rPr>
        <w:t>Publicado por </w:t>
      </w:r>
      <w:hyperlink r:id="rId5" w:tooltip="Publicaciones de Mark Segal" w:history="1">
        <w:r w:rsidRPr="009A3270">
          <w:rPr>
            <w:rStyle w:val="Hipervnculo"/>
            <w:rFonts w:ascii="Arial" w:hAnsi="Arial" w:cs="Arial"/>
          </w:rPr>
          <w:t xml:space="preserve">Mark </w:t>
        </w:r>
        <w:proofErr w:type="spellStart"/>
        <w:r w:rsidRPr="009A3270">
          <w:rPr>
            <w:rStyle w:val="Hipervnculo"/>
            <w:rFonts w:ascii="Arial" w:hAnsi="Arial" w:cs="Arial"/>
          </w:rPr>
          <w:t>Segal</w:t>
        </w:r>
        <w:proofErr w:type="spellEnd"/>
      </w:hyperlink>
      <w:r w:rsidRPr="009A3270">
        <w:rPr>
          <w:rFonts w:ascii="Arial" w:hAnsi="Arial" w:cs="Arial"/>
        </w:rPr>
        <w:t> </w:t>
      </w:r>
    </w:p>
    <w:p w:rsidR="009A3270" w:rsidRDefault="009A3270" w:rsidP="009A3270">
      <w:pPr>
        <w:jc w:val="both"/>
        <w:rPr>
          <w:rFonts w:ascii="Arial" w:hAnsi="Arial" w:cs="Arial"/>
        </w:rPr>
      </w:pPr>
    </w:p>
    <w:p w:rsidR="009A3270" w:rsidRPr="009A3270" w:rsidRDefault="009A3270" w:rsidP="009A3270">
      <w:pPr>
        <w:jc w:val="both"/>
        <w:rPr>
          <w:rFonts w:ascii="Arial" w:hAnsi="Arial" w:cs="Arial"/>
        </w:rPr>
      </w:pPr>
      <w:r w:rsidRPr="009A3270">
        <w:rPr>
          <w:rFonts w:ascii="Arial" w:hAnsi="Arial" w:cs="Arial"/>
        </w:rPr>
        <w:t>10 de mayo de 2021 </w:t>
      </w:r>
    </w:p>
    <w:p w:rsidR="009A3270" w:rsidRPr="009A3270" w:rsidRDefault="009A3270" w:rsidP="009A3270">
      <w:pPr>
        <w:jc w:val="both"/>
        <w:rPr>
          <w:rFonts w:ascii="Arial" w:hAnsi="Arial" w:cs="Arial"/>
        </w:rPr>
      </w:pPr>
    </w:p>
    <w:p w:rsidR="009A3270" w:rsidRPr="009A3270" w:rsidRDefault="009A3270" w:rsidP="009A3270">
      <w:pPr>
        <w:jc w:val="both"/>
        <w:rPr>
          <w:rFonts w:ascii="Arial" w:hAnsi="Arial" w:cs="Arial"/>
          <w:b/>
          <w:bCs/>
        </w:rPr>
      </w:pPr>
      <w:r w:rsidRPr="009A3270">
        <w:rPr>
          <w:rFonts w:ascii="Arial" w:hAnsi="Arial" w:cs="Arial"/>
          <w:b/>
          <w:bCs/>
        </w:rPr>
        <w:t xml:space="preserve">Por </w:t>
      </w:r>
      <w:proofErr w:type="spellStart"/>
      <w:r w:rsidRPr="009A3270">
        <w:rPr>
          <w:rFonts w:ascii="Arial" w:hAnsi="Arial" w:cs="Arial"/>
          <w:b/>
          <w:bCs/>
        </w:rPr>
        <w:t>Wes</w:t>
      </w:r>
      <w:proofErr w:type="spellEnd"/>
      <w:r w:rsidRPr="009A3270">
        <w:rPr>
          <w:rFonts w:ascii="Arial" w:hAnsi="Arial" w:cs="Arial"/>
          <w:b/>
          <w:bCs/>
        </w:rPr>
        <w:t xml:space="preserve"> </w:t>
      </w:r>
      <w:proofErr w:type="spellStart"/>
      <w:r w:rsidRPr="009A3270">
        <w:rPr>
          <w:rFonts w:ascii="Arial" w:hAnsi="Arial" w:cs="Arial"/>
          <w:b/>
          <w:bCs/>
        </w:rPr>
        <w:t>Bricker</w:t>
      </w:r>
      <w:proofErr w:type="spellEnd"/>
      <w:r w:rsidRPr="009A3270">
        <w:rPr>
          <w:rFonts w:ascii="Arial" w:hAnsi="Arial" w:cs="Arial"/>
          <w:b/>
          <w:bCs/>
        </w:rPr>
        <w:t>, vicepresidente y líder de aseguramiento de </w:t>
      </w:r>
      <w:proofErr w:type="spellStart"/>
      <w:r w:rsidRPr="009A3270">
        <w:rPr>
          <w:rFonts w:ascii="Arial" w:hAnsi="Arial" w:cs="Arial"/>
          <w:b/>
          <w:bCs/>
        </w:rPr>
        <w:fldChar w:fldCharType="begin"/>
      </w:r>
      <w:r w:rsidRPr="009A3270">
        <w:rPr>
          <w:rFonts w:ascii="Arial" w:hAnsi="Arial" w:cs="Arial"/>
          <w:b/>
          <w:bCs/>
        </w:rPr>
        <w:instrText xml:space="preserve"> HYPERLINK "https://www.pwc.com/us/en.html" </w:instrText>
      </w:r>
      <w:r w:rsidRPr="009A3270">
        <w:rPr>
          <w:rFonts w:ascii="Arial" w:hAnsi="Arial" w:cs="Arial"/>
          <w:b/>
          <w:bCs/>
        </w:rPr>
        <w:fldChar w:fldCharType="separate"/>
      </w:r>
      <w:r w:rsidRPr="009A3270">
        <w:rPr>
          <w:rStyle w:val="Hipervnculo"/>
          <w:rFonts w:ascii="Arial" w:hAnsi="Arial" w:cs="Arial"/>
          <w:b/>
          <w:bCs/>
        </w:rPr>
        <w:t>PwC</w:t>
      </w:r>
      <w:proofErr w:type="spellEnd"/>
      <w:r w:rsidRPr="009A3270">
        <w:rPr>
          <w:rStyle w:val="Hipervnculo"/>
          <w:rFonts w:ascii="Arial" w:hAnsi="Arial" w:cs="Arial"/>
          <w:b/>
          <w:bCs/>
        </w:rPr>
        <w:t xml:space="preserve"> EE. UU.</w:t>
      </w:r>
      <w:r w:rsidRPr="009A3270">
        <w:rPr>
          <w:rFonts w:ascii="Arial" w:hAnsi="Arial" w:cs="Arial"/>
        </w:rPr>
        <w:fldChar w:fldCharType="end"/>
      </w:r>
    </w:p>
    <w:p w:rsidR="009A3270" w:rsidRDefault="009A3270" w:rsidP="009A3270">
      <w:pPr>
        <w:jc w:val="both"/>
        <w:rPr>
          <w:rFonts w:ascii="Arial" w:hAnsi="Arial" w:cs="Arial"/>
        </w:rPr>
      </w:pPr>
      <w:r w:rsidRPr="009A3270">
        <w:rPr>
          <w:rFonts w:ascii="Arial" w:hAnsi="Arial" w:cs="Arial"/>
        </w:rPr>
        <w:t xml:space="preserve">Las corporaciones se encuentran en un punto de inflexión cuando se trata de ESG. Bajo la administración de </w:t>
      </w:r>
      <w:proofErr w:type="spellStart"/>
      <w:r w:rsidRPr="009A3270">
        <w:rPr>
          <w:rFonts w:ascii="Arial" w:hAnsi="Arial" w:cs="Arial"/>
        </w:rPr>
        <w:t>Biden</w:t>
      </w:r>
      <w:proofErr w:type="spellEnd"/>
      <w:r w:rsidRPr="009A3270">
        <w:rPr>
          <w:rFonts w:ascii="Arial" w:hAnsi="Arial" w:cs="Arial"/>
        </w:rPr>
        <w:t xml:space="preserve"> y el nuevo liderazgo de la Comisión de Bolsa y Valores (SEC), esperamos ver una mayor formulación de políticas en torno a ESG, así como una mayor demanda para que las empresas divulguen públicamente métricas sobre </w:t>
      </w:r>
      <w:r w:rsidR="000E71B6">
        <w:rPr>
          <w:rFonts w:ascii="Arial" w:hAnsi="Arial" w:cs="Arial"/>
        </w:rPr>
        <w:t>temas ambientales</w:t>
      </w:r>
      <w:r w:rsidRPr="009A3270">
        <w:rPr>
          <w:rFonts w:ascii="Arial" w:hAnsi="Arial" w:cs="Arial"/>
        </w:rPr>
        <w:t>,</w:t>
      </w:r>
      <w:r w:rsidR="000E71B6">
        <w:rPr>
          <w:rFonts w:ascii="Arial" w:hAnsi="Arial" w:cs="Arial"/>
        </w:rPr>
        <w:t xml:space="preserve"> de</w:t>
      </w:r>
      <w:r w:rsidRPr="009A3270">
        <w:rPr>
          <w:rFonts w:ascii="Arial" w:hAnsi="Arial" w:cs="Arial"/>
        </w:rPr>
        <w:t xml:space="preserve"> capital humano, diversidad e inclusión (D&amp;I) y </w:t>
      </w:r>
      <w:r w:rsidR="000E71B6">
        <w:rPr>
          <w:rFonts w:ascii="Arial" w:hAnsi="Arial" w:cs="Arial"/>
        </w:rPr>
        <w:t xml:space="preserve">de </w:t>
      </w:r>
      <w:r w:rsidRPr="009A3270">
        <w:rPr>
          <w:rFonts w:ascii="Arial" w:hAnsi="Arial" w:cs="Arial"/>
        </w:rPr>
        <w:t>gobernanza.  Actualmente, existen estándares de divulgación, pero la falta de prácticas de mercado coherentes para la presentación de informes ESG dificulta a las empresas determinar la información correcta que buscan los inversores.</w:t>
      </w:r>
    </w:p>
    <w:p w:rsidR="009A3270" w:rsidRPr="009A3270" w:rsidRDefault="009A3270" w:rsidP="009A3270">
      <w:pPr>
        <w:jc w:val="both"/>
        <w:rPr>
          <w:rFonts w:ascii="Arial" w:hAnsi="Arial" w:cs="Arial"/>
        </w:rPr>
      </w:pPr>
      <w:r w:rsidRPr="009A3270">
        <w:rPr>
          <w:rFonts w:ascii="Arial" w:hAnsi="Arial" w:cs="Arial"/>
        </w:rPr>
        <w:t>Si bien las empresas esperan más orientación por parte del nuevo liderazgo de la SEC, hay pasos que pueden tomar para comenzar a mejorar e</w:t>
      </w:r>
      <w:bookmarkStart w:id="0" w:name="_GoBack"/>
      <w:bookmarkEnd w:id="0"/>
      <w:r w:rsidRPr="009A3270">
        <w:rPr>
          <w:rFonts w:ascii="Arial" w:hAnsi="Arial" w:cs="Arial"/>
        </w:rPr>
        <w:t>l proceso general de presentación de informes.</w:t>
      </w:r>
    </w:p>
    <w:p w:rsidR="009A3270" w:rsidRPr="009A3270" w:rsidRDefault="009A3270" w:rsidP="009A3270">
      <w:pPr>
        <w:jc w:val="both"/>
        <w:rPr>
          <w:rFonts w:ascii="Arial" w:hAnsi="Arial" w:cs="Arial"/>
        </w:rPr>
      </w:pPr>
      <w:r w:rsidRPr="009A3270">
        <w:rPr>
          <w:rFonts w:ascii="Arial" w:hAnsi="Arial" w:cs="Arial"/>
        </w:rPr>
        <w:t xml:space="preserve">La confirmación de Gary </w:t>
      </w:r>
      <w:proofErr w:type="spellStart"/>
      <w:r w:rsidRPr="009A3270">
        <w:rPr>
          <w:rFonts w:ascii="Arial" w:hAnsi="Arial" w:cs="Arial"/>
        </w:rPr>
        <w:t>Gensler</w:t>
      </w:r>
      <w:proofErr w:type="spellEnd"/>
      <w:r w:rsidRPr="009A3270">
        <w:rPr>
          <w:rFonts w:ascii="Arial" w:hAnsi="Arial" w:cs="Arial"/>
        </w:rPr>
        <w:t xml:space="preserve"> como presidente de la SEC marca el próximo capítulo para la agencia. Entre muchas otras cosas, el ex presidente de la SEC, </w:t>
      </w:r>
      <w:proofErr w:type="spellStart"/>
      <w:r w:rsidRPr="009A3270">
        <w:rPr>
          <w:rFonts w:ascii="Arial" w:hAnsi="Arial" w:cs="Arial"/>
        </w:rPr>
        <w:t>Jay</w:t>
      </w:r>
      <w:proofErr w:type="spellEnd"/>
      <w:r w:rsidRPr="009A3270">
        <w:rPr>
          <w:rFonts w:ascii="Arial" w:hAnsi="Arial" w:cs="Arial"/>
        </w:rPr>
        <w:t xml:space="preserve"> Clayton, abordó la política de divulgación relacionada con el capital humano, mientras que la ex presidenta de la SEC, Mary Jo White, se ocupó de la gobernanza de la junta. Y aunque históricamente los presidentes en funciones han asumido diferentes prioridades, durante su tiempo en el cargo, la presidenta interina Allison Lee centró su atención en las divulgaciones relacionadas con el clima, que se espera que la presidenta </w:t>
      </w:r>
      <w:proofErr w:type="spellStart"/>
      <w:r w:rsidRPr="009A3270">
        <w:rPr>
          <w:rFonts w:ascii="Arial" w:hAnsi="Arial" w:cs="Arial"/>
        </w:rPr>
        <w:t>Gensler</w:t>
      </w:r>
      <w:proofErr w:type="spellEnd"/>
      <w:r w:rsidRPr="009A3270">
        <w:rPr>
          <w:rFonts w:ascii="Arial" w:hAnsi="Arial" w:cs="Arial"/>
        </w:rPr>
        <w:t xml:space="preserve"> continúe impulsando. También esperamos que la SEC dé prioridad a otros aspectos ambientales de ESG, así como su enfoque continuo en la gestión del capital humano. Podemos esperar un énfasis continuo en los informes que ilustren cómo la fuerza laboral de una empresa crea valor y cómo D&amp;I tiene una conexión directa con la estrategia corporativa.</w:t>
      </w:r>
    </w:p>
    <w:p w:rsidR="009A3270" w:rsidRPr="009A3270" w:rsidRDefault="009A3270" w:rsidP="009A3270">
      <w:pPr>
        <w:jc w:val="both"/>
        <w:rPr>
          <w:rFonts w:ascii="Arial" w:hAnsi="Arial" w:cs="Arial"/>
        </w:rPr>
      </w:pPr>
      <w:r w:rsidRPr="009A3270">
        <w:rPr>
          <w:rFonts w:ascii="Arial" w:hAnsi="Arial" w:cs="Arial"/>
        </w:rPr>
        <w:t xml:space="preserve">Hasta que no exista una práctica de mercado estándar, las empresas pueden tomar medidas para comunicar eficazmente información transparente a las partes interesadas a intervalos regulares. Los informes de sostenibilidad han aumentado constantemente durante la última década, y el </w:t>
      </w:r>
      <w:proofErr w:type="spellStart"/>
      <w:r w:rsidRPr="009A3270">
        <w:rPr>
          <w:rFonts w:ascii="Arial" w:hAnsi="Arial" w:cs="Arial"/>
        </w:rPr>
        <w:t>Conference</w:t>
      </w:r>
      <w:proofErr w:type="spellEnd"/>
      <w:r w:rsidRPr="009A3270">
        <w:rPr>
          <w:rFonts w:ascii="Arial" w:hAnsi="Arial" w:cs="Arial"/>
        </w:rPr>
        <w:t xml:space="preserve"> </w:t>
      </w:r>
      <w:proofErr w:type="spellStart"/>
      <w:r w:rsidRPr="009A3270">
        <w:rPr>
          <w:rFonts w:ascii="Arial" w:hAnsi="Arial" w:cs="Arial"/>
        </w:rPr>
        <w:t>Board</w:t>
      </w:r>
      <w:proofErr w:type="spellEnd"/>
      <w:r w:rsidRPr="009A3270">
        <w:rPr>
          <w:rFonts w:ascii="Arial" w:hAnsi="Arial" w:cs="Arial"/>
        </w:rPr>
        <w:t xml:space="preserve"> descubrió que el </w:t>
      </w:r>
      <w:hyperlink r:id="rId6" w:history="1">
        <w:r w:rsidRPr="009A3270">
          <w:rPr>
            <w:rStyle w:val="Hipervnculo"/>
            <w:rFonts w:ascii="Arial" w:hAnsi="Arial" w:cs="Arial"/>
          </w:rPr>
          <w:t>45%</w:t>
        </w:r>
      </w:hyperlink>
      <w:r w:rsidRPr="009A3270">
        <w:rPr>
          <w:rFonts w:ascii="Arial" w:hAnsi="Arial" w:cs="Arial"/>
        </w:rPr>
        <w:t> de las 250 empresas estadounidenses más grandes que cotizan en bolsa (por ingresos) incluían riesgos relacionados con el clima en sus informes anuales. Los informes de capital humano también han ganado tracción y atención durante el último año. </w:t>
      </w:r>
      <w:proofErr w:type="spellStart"/>
      <w:r w:rsidRPr="009A3270">
        <w:rPr>
          <w:rFonts w:ascii="Arial" w:hAnsi="Arial" w:cs="Arial"/>
        </w:rPr>
        <w:t>PwC</w:t>
      </w:r>
      <w:proofErr w:type="spellEnd"/>
      <w:r w:rsidRPr="009A3270">
        <w:rPr>
          <w:rFonts w:ascii="Arial" w:hAnsi="Arial" w:cs="Arial"/>
        </w:rPr>
        <w:t xml:space="preserve"> descubrió que el </w:t>
      </w:r>
      <w:hyperlink r:id="rId7" w:history="1">
        <w:r w:rsidRPr="009A3270">
          <w:rPr>
            <w:rStyle w:val="Hipervnculo"/>
            <w:rFonts w:ascii="Arial" w:hAnsi="Arial" w:cs="Arial"/>
          </w:rPr>
          <w:t>49%</w:t>
        </w:r>
      </w:hyperlink>
      <w:r w:rsidRPr="009A3270">
        <w:rPr>
          <w:rFonts w:ascii="Arial" w:hAnsi="Arial" w:cs="Arial"/>
        </w:rPr>
        <w:t> de los líderes empresariales planean aumentar los informes de D&amp;I a las partes interesadas internas y externas.</w:t>
      </w:r>
    </w:p>
    <w:p w:rsidR="009A3270" w:rsidRDefault="009A3270" w:rsidP="009A3270">
      <w:pPr>
        <w:jc w:val="both"/>
        <w:rPr>
          <w:rFonts w:ascii="Arial" w:hAnsi="Arial" w:cs="Arial"/>
        </w:rPr>
      </w:pPr>
      <w:r w:rsidRPr="009A3270">
        <w:rPr>
          <w:rFonts w:ascii="Arial" w:hAnsi="Arial" w:cs="Arial"/>
        </w:rPr>
        <w:t xml:space="preserve">Las empresas pueden esperar una guía de informes más clara y específica para las iniciativas ambientales y el capital humano con un enfoque en proporcionar datos a nivel de inversionista. Los líderes empresariales deberán reconsiderar cómo se están produciendo </w:t>
      </w:r>
      <w:r w:rsidRPr="009A3270">
        <w:rPr>
          <w:rFonts w:ascii="Arial" w:hAnsi="Arial" w:cs="Arial"/>
        </w:rPr>
        <w:lastRenderedPageBreak/>
        <w:t>sus informes existentes con los procesos y controles adecuados para ayudar a garantizar que los datos permitan a los inversores comparar mejor las propuestas de valor y recompensar a las empresas que realmente están creando valor sostenible a lo largo del tiempo. </w:t>
      </w:r>
    </w:p>
    <w:p w:rsidR="009A3270" w:rsidRDefault="009A3270" w:rsidP="009A3270">
      <w:pPr>
        <w:jc w:val="both"/>
        <w:rPr>
          <w:rFonts w:ascii="Arial" w:hAnsi="Arial" w:cs="Arial"/>
        </w:rPr>
      </w:pPr>
    </w:p>
    <w:p w:rsidR="009A3270" w:rsidRPr="009A3270" w:rsidRDefault="009A3270" w:rsidP="009A3270">
      <w:pPr>
        <w:jc w:val="both"/>
        <w:rPr>
          <w:rFonts w:ascii="Arial" w:hAnsi="Arial" w:cs="Arial"/>
          <w:b/>
          <w:bCs/>
        </w:rPr>
      </w:pPr>
      <w:r w:rsidRPr="009A3270">
        <w:rPr>
          <w:rFonts w:ascii="Arial" w:hAnsi="Arial" w:cs="Arial"/>
          <w:b/>
          <w:bCs/>
        </w:rPr>
        <w:t>Mejora de los informes de ESG: análisis de emisiones netas cero</w:t>
      </w:r>
    </w:p>
    <w:p w:rsidR="009A3270" w:rsidRPr="009A3270" w:rsidRDefault="009A3270" w:rsidP="009A3270">
      <w:pPr>
        <w:jc w:val="both"/>
        <w:rPr>
          <w:rFonts w:ascii="Arial" w:hAnsi="Arial" w:cs="Arial"/>
        </w:rPr>
      </w:pPr>
      <w:r w:rsidRPr="009A3270">
        <w:rPr>
          <w:rFonts w:ascii="Arial" w:hAnsi="Arial" w:cs="Arial"/>
        </w:rPr>
        <w:t xml:space="preserve">En los últimos meses, numerosas empresas se han comprometido públicamente con la sostenibilidad, con el objetivo de lograr emisiones netas cero en la parte superior de la lista. La administración de </w:t>
      </w:r>
      <w:proofErr w:type="spellStart"/>
      <w:r w:rsidRPr="009A3270">
        <w:rPr>
          <w:rFonts w:ascii="Arial" w:hAnsi="Arial" w:cs="Arial"/>
        </w:rPr>
        <w:t>Biden</w:t>
      </w:r>
      <w:proofErr w:type="spellEnd"/>
      <w:r w:rsidRPr="009A3270">
        <w:rPr>
          <w:rFonts w:ascii="Arial" w:hAnsi="Arial" w:cs="Arial"/>
        </w:rPr>
        <w:t xml:space="preserve"> también anunció objetivos para reducir las emisiones a la mitad para 2030, estableciendo el camino para lograr finalmente el cero neto. Utilizando los compromisos de emisiones netas cero como ejemplo, las partes interesadas relevantes pueden examinar cómo esta iniciativa afecta el proceso de presentación de informes y qué deben hacer las empresas para obtener resultados.</w:t>
      </w:r>
    </w:p>
    <w:p w:rsidR="009A3270" w:rsidRDefault="009A3270" w:rsidP="009A3270">
      <w:pPr>
        <w:jc w:val="both"/>
        <w:rPr>
          <w:rFonts w:ascii="Arial" w:hAnsi="Arial" w:cs="Arial"/>
        </w:rPr>
      </w:pPr>
      <w:r w:rsidRPr="009A3270">
        <w:rPr>
          <w:rFonts w:ascii="Arial" w:hAnsi="Arial" w:cs="Arial"/>
        </w:rPr>
        <w:t>A medida que la SEC, los inversores y otras partes interesadas buscan que las empresas intensifiquen sus compromisos y proporcionen datos de alta calidad, estos son los pasos clave para desarrollar informes ESG consistentes y confiables:</w:t>
      </w:r>
    </w:p>
    <w:p w:rsidR="000E71B6" w:rsidRDefault="000E71B6" w:rsidP="009A3270">
      <w:pPr>
        <w:jc w:val="both"/>
        <w:rPr>
          <w:rFonts w:ascii="Arial" w:hAnsi="Arial" w:cs="Arial"/>
        </w:rPr>
      </w:pPr>
    </w:p>
    <w:p w:rsidR="000E71B6" w:rsidRPr="000E71B6" w:rsidRDefault="000E71B6" w:rsidP="000E71B6">
      <w:pPr>
        <w:numPr>
          <w:ilvl w:val="0"/>
          <w:numId w:val="1"/>
        </w:numPr>
        <w:jc w:val="both"/>
        <w:rPr>
          <w:rFonts w:ascii="Arial" w:hAnsi="Arial" w:cs="Arial"/>
        </w:rPr>
      </w:pPr>
      <w:r w:rsidRPr="000E71B6">
        <w:rPr>
          <w:rFonts w:ascii="Arial" w:hAnsi="Arial" w:cs="Arial"/>
          <w:b/>
          <w:bCs/>
          <w:i/>
          <w:iCs/>
        </w:rPr>
        <w:t>Integración</w:t>
      </w:r>
      <w:r w:rsidRPr="000E71B6">
        <w:rPr>
          <w:rFonts w:ascii="Arial" w:hAnsi="Arial" w:cs="Arial"/>
          <w:b/>
          <w:bCs/>
        </w:rPr>
        <w:t>:</w:t>
      </w:r>
      <w:r w:rsidRPr="000E71B6">
        <w:rPr>
          <w:rFonts w:ascii="Arial" w:hAnsi="Arial" w:cs="Arial"/>
        </w:rPr>
        <w:t> Determine cómo la información y las decisiones no financieras se integran en la creación de valor y los efectos financieros. Los reguladores y los inversores esperan que las empresas proporcionen datos de grado de inversión sobre compromisos de emisiones netas cero y otras iniciativas de ESG.</w:t>
      </w:r>
    </w:p>
    <w:p w:rsidR="000E71B6" w:rsidRPr="000E71B6" w:rsidRDefault="000E71B6" w:rsidP="000E71B6">
      <w:pPr>
        <w:numPr>
          <w:ilvl w:val="0"/>
          <w:numId w:val="1"/>
        </w:numPr>
        <w:jc w:val="both"/>
        <w:rPr>
          <w:rFonts w:ascii="Arial" w:hAnsi="Arial" w:cs="Arial"/>
        </w:rPr>
      </w:pPr>
      <w:r w:rsidRPr="000E71B6">
        <w:rPr>
          <w:rFonts w:ascii="Arial" w:hAnsi="Arial" w:cs="Arial"/>
          <w:b/>
          <w:bCs/>
          <w:i/>
          <w:iCs/>
        </w:rPr>
        <w:t>Colaboración</w:t>
      </w:r>
      <w:r w:rsidRPr="000E71B6">
        <w:rPr>
          <w:rFonts w:ascii="Arial" w:hAnsi="Arial" w:cs="Arial"/>
          <w:b/>
          <w:bCs/>
        </w:rPr>
        <w:t>:</w:t>
      </w:r>
      <w:r w:rsidRPr="000E71B6">
        <w:rPr>
          <w:rFonts w:ascii="Arial" w:hAnsi="Arial" w:cs="Arial"/>
        </w:rPr>
        <w:t> la estrategia ESG de una empresa abarca una amplia franja de la organización, lo que requiere que múltiples funciones trabajen juntas hacia objetivos comunes e informes que se vinculen profunda y directamente con la estrategia comercial general. Las empresas deben centrarse en las políticas y los procedimientos que alimentan el desarrollo de métricas de ESG, así como en los controles internos que garantizan que las métricas sean precisas y estén preparadas de forma coherente.</w:t>
      </w:r>
    </w:p>
    <w:p w:rsidR="000E71B6" w:rsidRDefault="000E71B6" w:rsidP="000E71B6">
      <w:pPr>
        <w:numPr>
          <w:ilvl w:val="0"/>
          <w:numId w:val="1"/>
        </w:numPr>
        <w:jc w:val="both"/>
        <w:rPr>
          <w:rFonts w:ascii="Arial" w:hAnsi="Arial" w:cs="Arial"/>
        </w:rPr>
      </w:pPr>
      <w:r w:rsidRPr="000E71B6">
        <w:rPr>
          <w:rFonts w:ascii="Arial" w:hAnsi="Arial" w:cs="Arial"/>
          <w:b/>
          <w:bCs/>
          <w:i/>
          <w:iCs/>
        </w:rPr>
        <w:t>Responsabilidad y transparencia</w:t>
      </w:r>
      <w:r w:rsidRPr="000E71B6">
        <w:rPr>
          <w:rFonts w:ascii="Arial" w:hAnsi="Arial" w:cs="Arial"/>
          <w:b/>
          <w:bCs/>
        </w:rPr>
        <w:t>: a</w:t>
      </w:r>
      <w:r w:rsidRPr="000E71B6">
        <w:rPr>
          <w:rFonts w:ascii="Arial" w:hAnsi="Arial" w:cs="Arial"/>
        </w:rPr>
        <w:t> medida que las empresas realizan un seguimiento de los esfuerzos para lograr emisiones netas cero, se requieren datos confiables y rigurosos para demostrar el progreso en relación con los hitos.</w:t>
      </w:r>
    </w:p>
    <w:p w:rsidR="000E71B6" w:rsidRDefault="000E71B6" w:rsidP="000E71B6">
      <w:pPr>
        <w:jc w:val="both"/>
        <w:rPr>
          <w:rFonts w:ascii="Arial" w:hAnsi="Arial" w:cs="Arial"/>
        </w:rPr>
      </w:pPr>
    </w:p>
    <w:p w:rsidR="000E71B6" w:rsidRDefault="000E71B6" w:rsidP="000E71B6">
      <w:pPr>
        <w:jc w:val="both"/>
        <w:rPr>
          <w:rFonts w:ascii="Arial" w:hAnsi="Arial" w:cs="Arial"/>
        </w:rPr>
      </w:pPr>
    </w:p>
    <w:p w:rsidR="000E71B6" w:rsidRPr="000E71B6" w:rsidRDefault="000E71B6" w:rsidP="000E71B6">
      <w:pPr>
        <w:jc w:val="both"/>
        <w:rPr>
          <w:rFonts w:ascii="Arial" w:hAnsi="Arial" w:cs="Arial"/>
          <w:b/>
          <w:bCs/>
        </w:rPr>
      </w:pPr>
      <w:r w:rsidRPr="000E71B6">
        <w:rPr>
          <w:rFonts w:ascii="Arial" w:hAnsi="Arial" w:cs="Arial"/>
          <w:b/>
          <w:bCs/>
        </w:rPr>
        <w:t>Mirando hacia el futuro</w:t>
      </w:r>
    </w:p>
    <w:p w:rsidR="000E71B6" w:rsidRPr="000E71B6" w:rsidRDefault="000E71B6" w:rsidP="000E71B6">
      <w:pPr>
        <w:jc w:val="both"/>
        <w:rPr>
          <w:rFonts w:ascii="Arial" w:hAnsi="Arial" w:cs="Arial"/>
        </w:rPr>
      </w:pPr>
      <w:r w:rsidRPr="000E71B6">
        <w:rPr>
          <w:rFonts w:ascii="Arial" w:hAnsi="Arial" w:cs="Arial"/>
        </w:rPr>
        <w:t>Las empresas no deben esperar más orientación de la SEC para comenzar a evaluar el proceso y la precisión de sus informes ESG. Las necesidades y expectativas de las partes interesadas van en aumento y ahora, más que nunca, las empresas deben demostrar que su propósito no son solo palabras, sino acciones que beneficien a todas las partes interesadas.</w:t>
      </w:r>
    </w:p>
    <w:p w:rsidR="000E71B6" w:rsidRDefault="000E71B6" w:rsidP="000E71B6">
      <w:pPr>
        <w:jc w:val="both"/>
        <w:rPr>
          <w:rFonts w:ascii="Arial" w:hAnsi="Arial" w:cs="Arial"/>
          <w:b/>
          <w:bCs/>
          <w:i/>
          <w:iCs/>
        </w:rPr>
      </w:pPr>
    </w:p>
    <w:p w:rsidR="000E71B6" w:rsidRDefault="000E71B6" w:rsidP="000E71B6">
      <w:pPr>
        <w:jc w:val="both"/>
        <w:rPr>
          <w:rFonts w:ascii="Arial" w:hAnsi="Arial" w:cs="Arial"/>
          <w:b/>
          <w:bCs/>
          <w:i/>
          <w:iCs/>
        </w:rPr>
      </w:pPr>
    </w:p>
    <w:p w:rsidR="000E71B6" w:rsidRPr="000E71B6" w:rsidRDefault="000E71B6" w:rsidP="000E71B6">
      <w:pPr>
        <w:jc w:val="both"/>
        <w:rPr>
          <w:rFonts w:ascii="Arial" w:hAnsi="Arial" w:cs="Arial"/>
        </w:rPr>
      </w:pPr>
      <w:r w:rsidRPr="000E71B6">
        <w:rPr>
          <w:rFonts w:ascii="Arial" w:hAnsi="Arial" w:cs="Arial"/>
          <w:b/>
          <w:bCs/>
          <w:i/>
          <w:iCs/>
        </w:rPr>
        <w:t>Sobre el Autor</w:t>
      </w:r>
    </w:p>
    <w:p w:rsidR="000E71B6" w:rsidRPr="000E71B6" w:rsidRDefault="000E71B6" w:rsidP="000E71B6">
      <w:pPr>
        <w:jc w:val="both"/>
        <w:rPr>
          <w:rFonts w:ascii="Arial" w:hAnsi="Arial" w:cs="Arial"/>
        </w:rPr>
      </w:pPr>
      <w:r w:rsidRPr="000E71B6">
        <w:rPr>
          <w:rFonts w:ascii="Arial" w:hAnsi="Arial" w:cs="Arial"/>
          <w:b/>
          <w:bCs/>
          <w:i/>
          <w:iCs/>
        </w:rPr>
        <w:t>Wesley "</w:t>
      </w:r>
      <w:proofErr w:type="spellStart"/>
      <w:r w:rsidRPr="000E71B6">
        <w:rPr>
          <w:rFonts w:ascii="Arial" w:hAnsi="Arial" w:cs="Arial"/>
          <w:b/>
          <w:bCs/>
          <w:i/>
          <w:iCs/>
        </w:rPr>
        <w:t>Wes</w:t>
      </w:r>
      <w:proofErr w:type="spellEnd"/>
      <w:r w:rsidRPr="000E71B6">
        <w:rPr>
          <w:rFonts w:ascii="Arial" w:hAnsi="Arial" w:cs="Arial"/>
          <w:b/>
          <w:bCs/>
          <w:i/>
          <w:iCs/>
        </w:rPr>
        <w:t xml:space="preserve">" </w:t>
      </w:r>
      <w:proofErr w:type="spellStart"/>
      <w:r w:rsidRPr="000E71B6">
        <w:rPr>
          <w:rFonts w:ascii="Arial" w:hAnsi="Arial" w:cs="Arial"/>
          <w:b/>
          <w:bCs/>
          <w:i/>
          <w:iCs/>
        </w:rPr>
        <w:t>Bricker</w:t>
      </w:r>
      <w:proofErr w:type="spellEnd"/>
      <w:r w:rsidRPr="000E71B6">
        <w:rPr>
          <w:rFonts w:ascii="Arial" w:hAnsi="Arial" w:cs="Arial"/>
          <w:i/>
          <w:iCs/>
        </w:rPr>
        <w:t> es vicepresidente y líder de aseguramiento </w:t>
      </w:r>
      <w:hyperlink r:id="rId8" w:history="1">
        <w:r w:rsidRPr="000E71B6">
          <w:rPr>
            <w:rStyle w:val="Hipervnculo"/>
            <w:rFonts w:ascii="Arial" w:hAnsi="Arial" w:cs="Arial"/>
            <w:i/>
            <w:iCs/>
          </w:rPr>
          <w:t xml:space="preserve">de </w:t>
        </w:r>
        <w:proofErr w:type="spellStart"/>
        <w:r w:rsidRPr="000E71B6">
          <w:rPr>
            <w:rStyle w:val="Hipervnculo"/>
            <w:rFonts w:ascii="Arial" w:hAnsi="Arial" w:cs="Arial"/>
            <w:i/>
            <w:iCs/>
          </w:rPr>
          <w:t>PwC</w:t>
        </w:r>
        <w:proofErr w:type="spellEnd"/>
      </w:hyperlink>
      <w:r w:rsidRPr="000E71B6">
        <w:rPr>
          <w:rFonts w:ascii="Arial" w:hAnsi="Arial" w:cs="Arial"/>
          <w:i/>
          <w:iCs/>
        </w:rPr>
        <w:t xml:space="preserve"> para Estados Unidos y México. Anteriormente se desempeñó como Contador en Jefe de la Comisión de Bolsa y Valores a partir de 2016. </w:t>
      </w:r>
      <w:proofErr w:type="spellStart"/>
      <w:r w:rsidRPr="000E71B6">
        <w:rPr>
          <w:rFonts w:ascii="Arial" w:hAnsi="Arial" w:cs="Arial"/>
          <w:i/>
          <w:iCs/>
        </w:rPr>
        <w:t>Wes</w:t>
      </w:r>
      <w:proofErr w:type="spellEnd"/>
      <w:r w:rsidRPr="000E71B6">
        <w:rPr>
          <w:rFonts w:ascii="Arial" w:hAnsi="Arial" w:cs="Arial"/>
          <w:i/>
          <w:iCs/>
        </w:rPr>
        <w:t xml:space="preserve"> regresó a </w:t>
      </w:r>
      <w:proofErr w:type="spellStart"/>
      <w:r w:rsidRPr="000E71B6">
        <w:rPr>
          <w:rFonts w:ascii="Arial" w:hAnsi="Arial" w:cs="Arial"/>
          <w:i/>
          <w:iCs/>
        </w:rPr>
        <w:t>PwC</w:t>
      </w:r>
      <w:proofErr w:type="spellEnd"/>
      <w:r w:rsidRPr="000E71B6">
        <w:rPr>
          <w:rFonts w:ascii="Arial" w:hAnsi="Arial" w:cs="Arial"/>
          <w:i/>
          <w:iCs/>
        </w:rPr>
        <w:t xml:space="preserve"> en julio de 2019, donde anteriormente prestó servicios a clientes en los sectores de banca, mercados de capitales, tecnología financiera y gestión de inversiones, y se desempeñó como miembro de la Organización Nacional de Calidad de la empresa. Las responsabilidades de </w:t>
      </w:r>
      <w:proofErr w:type="spellStart"/>
      <w:r w:rsidRPr="000E71B6">
        <w:rPr>
          <w:rFonts w:ascii="Arial" w:hAnsi="Arial" w:cs="Arial"/>
          <w:i/>
          <w:iCs/>
        </w:rPr>
        <w:t>Wes</w:t>
      </w:r>
      <w:proofErr w:type="spellEnd"/>
      <w:r w:rsidRPr="000E71B6">
        <w:rPr>
          <w:rFonts w:ascii="Arial" w:hAnsi="Arial" w:cs="Arial"/>
          <w:i/>
          <w:iCs/>
        </w:rPr>
        <w:t xml:space="preserve"> en su puesto actual en </w:t>
      </w:r>
      <w:proofErr w:type="spellStart"/>
      <w:r w:rsidRPr="000E71B6">
        <w:rPr>
          <w:rFonts w:ascii="Arial" w:hAnsi="Arial" w:cs="Arial"/>
          <w:i/>
          <w:iCs/>
        </w:rPr>
        <w:t>PwC</w:t>
      </w:r>
      <w:proofErr w:type="spellEnd"/>
      <w:r w:rsidRPr="000E71B6">
        <w:rPr>
          <w:rFonts w:ascii="Arial" w:hAnsi="Arial" w:cs="Arial"/>
          <w:i/>
          <w:iCs/>
        </w:rPr>
        <w:t xml:space="preserve"> abarcan la calidad de la auditoría, el desarrollo comercial y la estrategia de cartera, el capital humano, la diversidad, la innovación y la tecnología.</w:t>
      </w:r>
    </w:p>
    <w:p w:rsidR="000E71B6" w:rsidRPr="000E71B6" w:rsidRDefault="000E71B6" w:rsidP="000E71B6">
      <w:pPr>
        <w:jc w:val="both"/>
        <w:rPr>
          <w:rFonts w:ascii="Arial" w:hAnsi="Arial" w:cs="Arial"/>
        </w:rPr>
      </w:pPr>
    </w:p>
    <w:p w:rsidR="000E71B6" w:rsidRPr="009A3270" w:rsidRDefault="000E71B6" w:rsidP="009A3270">
      <w:pPr>
        <w:jc w:val="both"/>
        <w:rPr>
          <w:rFonts w:ascii="Arial" w:hAnsi="Arial" w:cs="Arial"/>
        </w:rPr>
      </w:pPr>
    </w:p>
    <w:p w:rsidR="009A3270" w:rsidRPr="009A3270" w:rsidRDefault="009A3270" w:rsidP="009A3270">
      <w:pPr>
        <w:jc w:val="both"/>
        <w:rPr>
          <w:rFonts w:ascii="Arial" w:hAnsi="Arial" w:cs="Arial"/>
        </w:rPr>
      </w:pPr>
    </w:p>
    <w:p w:rsidR="009A3270" w:rsidRPr="009A3270" w:rsidRDefault="009A3270" w:rsidP="009A3270">
      <w:pPr>
        <w:jc w:val="both"/>
        <w:rPr>
          <w:rFonts w:ascii="Arial" w:hAnsi="Arial" w:cs="Arial"/>
        </w:rPr>
      </w:pPr>
    </w:p>
    <w:p w:rsidR="009A3270" w:rsidRPr="009A3270" w:rsidRDefault="009A3270" w:rsidP="009A3270">
      <w:pPr>
        <w:jc w:val="both"/>
        <w:rPr>
          <w:rFonts w:ascii="Arial" w:hAnsi="Arial" w:cs="Arial"/>
        </w:rPr>
      </w:pPr>
    </w:p>
    <w:p w:rsidR="009A3270" w:rsidRPr="009A3270" w:rsidRDefault="009A3270" w:rsidP="009A3270">
      <w:pPr>
        <w:jc w:val="both"/>
        <w:rPr>
          <w:rFonts w:ascii="Arial" w:hAnsi="Arial" w:cs="Arial"/>
        </w:rPr>
      </w:pPr>
      <w:r w:rsidRPr="009A3270">
        <w:rPr>
          <w:rFonts w:ascii="Arial" w:hAnsi="Arial" w:cs="Arial"/>
        </w:rPr>
        <w:t xml:space="preserve"> </w:t>
      </w:r>
    </w:p>
    <w:p w:rsidR="00ED7650" w:rsidRPr="009A3270" w:rsidRDefault="000E71B6" w:rsidP="009A3270">
      <w:pPr>
        <w:jc w:val="both"/>
        <w:rPr>
          <w:rFonts w:ascii="Arial" w:hAnsi="Arial" w:cs="Arial"/>
        </w:rPr>
      </w:pPr>
    </w:p>
    <w:sectPr w:rsidR="00ED7650" w:rsidRPr="009A3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1C"/>
    <w:multiLevelType w:val="multilevel"/>
    <w:tmpl w:val="EE4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70"/>
    <w:rsid w:val="000E71B6"/>
    <w:rsid w:val="000F4B68"/>
    <w:rsid w:val="001739B4"/>
    <w:rsid w:val="003B63A5"/>
    <w:rsid w:val="009A3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0B0B-D3F2-4F4B-94F9-B8B5CA2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3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505">
      <w:bodyDiv w:val="1"/>
      <w:marLeft w:val="0"/>
      <w:marRight w:val="0"/>
      <w:marTop w:val="0"/>
      <w:marBottom w:val="0"/>
      <w:divBdr>
        <w:top w:val="none" w:sz="0" w:space="0" w:color="auto"/>
        <w:left w:val="none" w:sz="0" w:space="0" w:color="auto"/>
        <w:bottom w:val="none" w:sz="0" w:space="0" w:color="auto"/>
        <w:right w:val="none" w:sz="0" w:space="0" w:color="auto"/>
      </w:divBdr>
    </w:div>
    <w:div w:id="166404745">
      <w:bodyDiv w:val="1"/>
      <w:marLeft w:val="0"/>
      <w:marRight w:val="0"/>
      <w:marTop w:val="0"/>
      <w:marBottom w:val="0"/>
      <w:divBdr>
        <w:top w:val="none" w:sz="0" w:space="0" w:color="auto"/>
        <w:left w:val="none" w:sz="0" w:space="0" w:color="auto"/>
        <w:bottom w:val="none" w:sz="0" w:space="0" w:color="auto"/>
        <w:right w:val="none" w:sz="0" w:space="0" w:color="auto"/>
      </w:divBdr>
    </w:div>
    <w:div w:id="328557700">
      <w:bodyDiv w:val="1"/>
      <w:marLeft w:val="0"/>
      <w:marRight w:val="0"/>
      <w:marTop w:val="0"/>
      <w:marBottom w:val="0"/>
      <w:divBdr>
        <w:top w:val="none" w:sz="0" w:space="0" w:color="auto"/>
        <w:left w:val="none" w:sz="0" w:space="0" w:color="auto"/>
        <w:bottom w:val="none" w:sz="0" w:space="0" w:color="auto"/>
        <w:right w:val="none" w:sz="0" w:space="0" w:color="auto"/>
      </w:divBdr>
    </w:div>
    <w:div w:id="728457118">
      <w:bodyDiv w:val="1"/>
      <w:marLeft w:val="0"/>
      <w:marRight w:val="0"/>
      <w:marTop w:val="0"/>
      <w:marBottom w:val="0"/>
      <w:divBdr>
        <w:top w:val="none" w:sz="0" w:space="0" w:color="auto"/>
        <w:left w:val="none" w:sz="0" w:space="0" w:color="auto"/>
        <w:bottom w:val="none" w:sz="0" w:space="0" w:color="auto"/>
        <w:right w:val="none" w:sz="0" w:space="0" w:color="auto"/>
      </w:divBdr>
    </w:div>
    <w:div w:id="923420052">
      <w:bodyDiv w:val="1"/>
      <w:marLeft w:val="0"/>
      <w:marRight w:val="0"/>
      <w:marTop w:val="0"/>
      <w:marBottom w:val="0"/>
      <w:divBdr>
        <w:top w:val="none" w:sz="0" w:space="0" w:color="auto"/>
        <w:left w:val="none" w:sz="0" w:space="0" w:color="auto"/>
        <w:bottom w:val="none" w:sz="0" w:space="0" w:color="auto"/>
        <w:right w:val="none" w:sz="0" w:space="0" w:color="auto"/>
      </w:divBdr>
    </w:div>
    <w:div w:id="16529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us/en.html" TargetMode="External"/><Relationship Id="rId3" Type="http://schemas.openxmlformats.org/officeDocument/2006/relationships/settings" Target="settings.xml"/><Relationship Id="rId7" Type="http://schemas.openxmlformats.org/officeDocument/2006/relationships/hyperlink" Target="https://www.pwc.com/us/en/library/pulse-survey/c-suite-leaders-pursuing-growth-in-2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erence-board.org/topics/sustainability-practices" TargetMode="External"/><Relationship Id="rId5" Type="http://schemas.openxmlformats.org/officeDocument/2006/relationships/hyperlink" Target="https://www.esgtoday.com/author/mo-segal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2021-09-21T21:05:00Z</dcterms:created>
  <dcterms:modified xsi:type="dcterms:W3CDTF">2021-09-21T21:22:00Z</dcterms:modified>
</cp:coreProperties>
</file>