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95" w:rsidRDefault="00967595" w:rsidP="00967595">
      <w:pPr>
        <w:spacing w:after="0"/>
        <w:jc w:val="both"/>
        <w:rPr>
          <w:rFonts w:ascii="Arial" w:hAnsi="Arial" w:cs="Arial"/>
          <w:b/>
          <w:bCs/>
        </w:rPr>
      </w:pPr>
      <w:bookmarkStart w:id="0" w:name="_GoBack"/>
      <w:r w:rsidRPr="00967595">
        <w:rPr>
          <w:rFonts w:ascii="Arial" w:hAnsi="Arial" w:cs="Arial"/>
          <w:b/>
          <w:bCs/>
        </w:rPr>
        <w:t>¿Puede la divulgación financiera del riesgo climático acelerar la acción climática?</w:t>
      </w:r>
    </w:p>
    <w:bookmarkEnd w:id="0"/>
    <w:p w:rsidR="00967595" w:rsidRPr="00967595" w:rsidRDefault="00967595" w:rsidP="00967595">
      <w:pPr>
        <w:spacing w:after="0"/>
        <w:jc w:val="both"/>
        <w:rPr>
          <w:rFonts w:ascii="Arial" w:hAnsi="Arial" w:cs="Arial"/>
          <w:b/>
          <w:bCs/>
        </w:rPr>
      </w:pPr>
    </w:p>
    <w:p w:rsidR="00967595" w:rsidRDefault="00967595" w:rsidP="00967595">
      <w:pPr>
        <w:spacing w:after="0"/>
        <w:jc w:val="both"/>
        <w:rPr>
          <w:rFonts w:ascii="Arial" w:hAnsi="Arial" w:cs="Arial"/>
          <w:bCs/>
        </w:rPr>
      </w:pPr>
    </w:p>
    <w:p w:rsidR="00967595" w:rsidRDefault="00967595" w:rsidP="00967595">
      <w:pPr>
        <w:spacing w:after="0"/>
        <w:jc w:val="both"/>
        <w:rPr>
          <w:rFonts w:ascii="Arial" w:hAnsi="Arial" w:cs="Arial"/>
          <w:bCs/>
        </w:rPr>
      </w:pPr>
      <w:r w:rsidRPr="00967595">
        <w:rPr>
          <w:rFonts w:ascii="Arial" w:hAnsi="Arial" w:cs="Arial"/>
          <w:bCs/>
        </w:rPr>
        <w:t>El panel de discusión en línea organizado por el MIT explora las mejores prácticas para mitigar los riesgos relacionados con el clima.</w:t>
      </w:r>
    </w:p>
    <w:p w:rsidR="00967595" w:rsidRPr="00967595" w:rsidRDefault="00967595" w:rsidP="00967595">
      <w:pPr>
        <w:spacing w:after="0"/>
        <w:jc w:val="both"/>
        <w:rPr>
          <w:rFonts w:ascii="Arial" w:hAnsi="Arial" w:cs="Arial"/>
          <w:bCs/>
        </w:rPr>
      </w:pPr>
    </w:p>
    <w:p w:rsidR="00967595" w:rsidRDefault="00967595" w:rsidP="00967595">
      <w:pPr>
        <w:spacing w:after="0"/>
        <w:jc w:val="both"/>
        <w:rPr>
          <w:rFonts w:ascii="Arial" w:hAnsi="Arial" w:cs="Arial"/>
          <w:bCs/>
        </w:rPr>
      </w:pPr>
    </w:p>
    <w:p w:rsidR="00967595" w:rsidRPr="00967595" w:rsidRDefault="00967595" w:rsidP="00967595">
      <w:pPr>
        <w:spacing w:after="0"/>
        <w:jc w:val="both"/>
        <w:rPr>
          <w:rFonts w:ascii="Arial" w:hAnsi="Arial" w:cs="Arial"/>
          <w:bCs/>
        </w:rPr>
      </w:pPr>
      <w:r w:rsidRPr="00967595">
        <w:rPr>
          <w:rFonts w:ascii="Arial" w:hAnsi="Arial" w:cs="Arial"/>
          <w:bCs/>
        </w:rPr>
        <w:t xml:space="preserve">Mark </w:t>
      </w:r>
      <w:proofErr w:type="spellStart"/>
      <w:r w:rsidRPr="00967595">
        <w:rPr>
          <w:rFonts w:ascii="Arial" w:hAnsi="Arial" w:cs="Arial"/>
          <w:bCs/>
        </w:rPr>
        <w:t>Dwortzan</w:t>
      </w:r>
      <w:proofErr w:type="spellEnd"/>
      <w:r w:rsidRPr="00967595">
        <w:rPr>
          <w:rFonts w:ascii="Arial" w:hAnsi="Arial" w:cs="Arial"/>
          <w:bCs/>
        </w:rPr>
        <w:t> </w:t>
      </w:r>
      <w:r w:rsidRPr="00967595">
        <w:rPr>
          <w:rFonts w:ascii="Arial" w:hAnsi="Arial" w:cs="Arial"/>
        </w:rPr>
        <w:t>| </w:t>
      </w:r>
      <w:r w:rsidRPr="00967595">
        <w:rPr>
          <w:rFonts w:ascii="Arial" w:hAnsi="Arial" w:cs="Arial"/>
          <w:bCs/>
        </w:rPr>
        <w:t>Programa conjunto del MIT sobre ciencia y política de cambio global</w:t>
      </w:r>
    </w:p>
    <w:p w:rsidR="00967595" w:rsidRDefault="00967595" w:rsidP="00967595">
      <w:pPr>
        <w:spacing w:after="0"/>
        <w:jc w:val="both"/>
        <w:rPr>
          <w:rFonts w:ascii="Arial" w:hAnsi="Arial" w:cs="Arial"/>
          <w:bCs/>
        </w:rPr>
      </w:pPr>
    </w:p>
    <w:p w:rsidR="00967595" w:rsidRDefault="00967595" w:rsidP="00967595">
      <w:pPr>
        <w:spacing w:after="0"/>
        <w:jc w:val="both"/>
        <w:rPr>
          <w:rFonts w:ascii="Arial" w:hAnsi="Arial" w:cs="Arial"/>
          <w:bCs/>
        </w:rPr>
      </w:pPr>
    </w:p>
    <w:p w:rsidR="00967595" w:rsidRPr="00967595" w:rsidRDefault="00967595" w:rsidP="00967595">
      <w:pPr>
        <w:spacing w:after="0"/>
        <w:jc w:val="both"/>
        <w:rPr>
          <w:rFonts w:ascii="Arial" w:hAnsi="Arial" w:cs="Arial"/>
          <w:bCs/>
        </w:rPr>
      </w:pPr>
      <w:r w:rsidRPr="00967595">
        <w:rPr>
          <w:rFonts w:ascii="Arial" w:hAnsi="Arial" w:cs="Arial"/>
          <w:bCs/>
        </w:rPr>
        <w:t>Fecha de publicación:</w:t>
      </w:r>
      <w:r>
        <w:rPr>
          <w:rFonts w:ascii="Arial" w:hAnsi="Arial" w:cs="Arial"/>
          <w:bCs/>
        </w:rPr>
        <w:t xml:space="preserve"> </w:t>
      </w:r>
      <w:r w:rsidRPr="00967595">
        <w:rPr>
          <w:rFonts w:ascii="Arial" w:hAnsi="Arial" w:cs="Arial"/>
          <w:bCs/>
        </w:rPr>
        <w:t>16 de abril de 2020</w:t>
      </w:r>
    </w:p>
    <w:p w:rsidR="00967595" w:rsidRDefault="00967595" w:rsidP="00967595">
      <w:pPr>
        <w:spacing w:after="0"/>
        <w:jc w:val="both"/>
        <w:rPr>
          <w:rFonts w:ascii="Arial" w:hAnsi="Arial" w:cs="Arial"/>
        </w:rPr>
      </w:pPr>
    </w:p>
    <w:p w:rsidR="00967595" w:rsidRDefault="00967595" w:rsidP="00967595">
      <w:pPr>
        <w:spacing w:after="0"/>
        <w:jc w:val="both"/>
        <w:rPr>
          <w:rFonts w:ascii="Arial" w:hAnsi="Arial" w:cs="Arial"/>
        </w:rPr>
      </w:pPr>
    </w:p>
    <w:p w:rsidR="00ED7650" w:rsidRDefault="00967595" w:rsidP="00967595">
      <w:pPr>
        <w:jc w:val="both"/>
        <w:rPr>
          <w:rFonts w:ascii="Arial" w:hAnsi="Arial" w:cs="Arial"/>
        </w:rPr>
      </w:pPr>
      <w:r w:rsidRPr="00967595">
        <w:rPr>
          <w:rFonts w:ascii="Arial" w:hAnsi="Arial" w:cs="Arial"/>
        </w:rPr>
        <w:t xml:space="preserve">La pandemia de Covid-19 podría ser un ensayo para los impactos futuros del cambio climático, con situaciones desafiantes y sin precedentes que requieren respuestas rápidas y agresivas en todo el mundo. Un enfoque proactivo del cambio climático destinado a minimizar tales impactos inevitablemente implicará recortes significativos en las emisiones de gases de efecto invernadero (GEI) e inversiones en infraestructura más </w:t>
      </w:r>
      <w:proofErr w:type="spellStart"/>
      <w:r w:rsidRPr="00967595">
        <w:rPr>
          <w:rFonts w:ascii="Arial" w:hAnsi="Arial" w:cs="Arial"/>
        </w:rPr>
        <w:t>resiliente</w:t>
      </w:r>
      <w:proofErr w:type="spellEnd"/>
      <w:r w:rsidRPr="00967595">
        <w:rPr>
          <w:rFonts w:ascii="Arial" w:hAnsi="Arial" w:cs="Arial"/>
        </w:rPr>
        <w:t xml:space="preserve">. Aunque los actuales esfuerzos globales de mitigación y adaptación avanzan lentamente, una estrategia emergente podría servir como acelerador: la divulgación financiera del riesgo climático por parte de las empresas. Dicha divulgación, si se practica de manera más amplia y coherente, podría reducir los riesgos del cambio climático al desviar las inversiones de las actividades que emiten GEI y señalar la infraestructura que necesita ser más </w:t>
      </w:r>
      <w:proofErr w:type="spellStart"/>
      <w:r w:rsidRPr="00967595">
        <w:rPr>
          <w:rFonts w:ascii="Arial" w:hAnsi="Arial" w:cs="Arial"/>
        </w:rPr>
        <w:t>resiliente</w:t>
      </w:r>
      <w:proofErr w:type="spellEnd"/>
      <w:r w:rsidRPr="00967595">
        <w:rPr>
          <w:rFonts w:ascii="Arial" w:hAnsi="Arial" w:cs="Arial"/>
        </w:rPr>
        <w:t>. </w:t>
      </w:r>
    </w:p>
    <w:p w:rsidR="00967595" w:rsidRDefault="00967595" w:rsidP="00967595">
      <w:pPr>
        <w:jc w:val="both"/>
        <w:rPr>
          <w:rFonts w:ascii="Arial" w:hAnsi="Arial" w:cs="Arial"/>
        </w:rPr>
      </w:pPr>
      <w:r w:rsidRPr="00967595">
        <w:rPr>
          <w:rFonts w:ascii="Arial" w:hAnsi="Arial" w:cs="Arial"/>
        </w:rPr>
        <w:t>Con ese fin, el </w:t>
      </w:r>
      <w:hyperlink r:id="rId4" w:history="1">
        <w:r w:rsidRPr="00967595">
          <w:rPr>
            <w:rStyle w:val="Hipervnculo"/>
            <w:rFonts w:ascii="Arial" w:hAnsi="Arial" w:cs="Arial"/>
          </w:rPr>
          <w:t>Programa Conjunto</w:t>
        </w:r>
      </w:hyperlink>
      <w:r w:rsidRPr="00967595">
        <w:rPr>
          <w:rFonts w:ascii="Arial" w:hAnsi="Arial" w:cs="Arial"/>
        </w:rPr>
        <w:t> del </w:t>
      </w:r>
      <w:hyperlink r:id="rId5" w:history="1">
        <w:r w:rsidRPr="00967595">
          <w:rPr>
            <w:rStyle w:val="Hipervnculo"/>
            <w:rFonts w:ascii="Arial" w:hAnsi="Arial" w:cs="Arial"/>
          </w:rPr>
          <w:t>MIT sobre la ciencia y la política del cambio global</w:t>
        </w:r>
      </w:hyperlink>
      <w:r w:rsidRPr="00967595">
        <w:rPr>
          <w:rFonts w:ascii="Arial" w:hAnsi="Arial" w:cs="Arial"/>
        </w:rPr>
        <w:t> </w:t>
      </w:r>
      <w:proofErr w:type="gramStart"/>
      <w:r w:rsidRPr="00967595">
        <w:rPr>
          <w:rFonts w:ascii="Arial" w:hAnsi="Arial" w:cs="Arial"/>
        </w:rPr>
        <w:t>involucró</w:t>
      </w:r>
      <w:proofErr w:type="gramEnd"/>
      <w:r w:rsidRPr="00967595">
        <w:rPr>
          <w:rFonts w:ascii="Arial" w:hAnsi="Arial" w:cs="Arial"/>
        </w:rPr>
        <w:t xml:space="preserve"> a decenas de tomadores de decisiones en el sector financiero y la industria en un panel de discusión de dos horas sobre el riesgo financiero relacionado con el clima. Celebrada como una reunión de Zoom el 26 de marzo y facilitada por el codirector del programa conjunto </w:t>
      </w:r>
      <w:hyperlink r:id="rId6" w:history="1">
        <w:r w:rsidRPr="00967595">
          <w:rPr>
            <w:rStyle w:val="Hipervnculo"/>
            <w:rFonts w:ascii="Arial" w:hAnsi="Arial" w:cs="Arial"/>
          </w:rPr>
          <w:t xml:space="preserve">Ronald </w:t>
        </w:r>
        <w:proofErr w:type="spellStart"/>
        <w:r w:rsidRPr="00967595">
          <w:rPr>
            <w:rStyle w:val="Hipervnculo"/>
            <w:rFonts w:ascii="Arial" w:hAnsi="Arial" w:cs="Arial"/>
          </w:rPr>
          <w:t>Prinn</w:t>
        </w:r>
        <w:proofErr w:type="spellEnd"/>
      </w:hyperlink>
      <w:r w:rsidRPr="00967595">
        <w:rPr>
          <w:rFonts w:ascii="Arial" w:hAnsi="Arial" w:cs="Arial"/>
        </w:rPr>
        <w:t xml:space="preserve"> , la discusión contó con seis expertos en finanzas y economía del Banco de Inglaterra, el Banco de Canadá, HSBC, BP ​​y MIT. Los panelistas describieron cómo su organización se ha visto afectada por el riesgo financiero relacionado con el clima y los pasos que está tomando para abordarlo, cómo los escenarios climáticos y económicos podrían ser útiles para comprender mejor los riesgos financieros relacionados con el clima y las posibles investigaciones que una institución como el MIT podría realizar. </w:t>
      </w:r>
      <w:proofErr w:type="gramStart"/>
      <w:r w:rsidRPr="00967595">
        <w:rPr>
          <w:rFonts w:ascii="Arial" w:hAnsi="Arial" w:cs="Arial"/>
        </w:rPr>
        <w:t>para</w:t>
      </w:r>
      <w:proofErr w:type="gramEnd"/>
      <w:r w:rsidRPr="00967595">
        <w:rPr>
          <w:rFonts w:ascii="Arial" w:hAnsi="Arial" w:cs="Arial"/>
        </w:rPr>
        <w:t xml:space="preserve"> avanzar en el estado del conocimiento en esta área.</w:t>
      </w:r>
    </w:p>
    <w:p w:rsidR="00967595" w:rsidRDefault="00967595" w:rsidP="00967595">
      <w:pPr>
        <w:jc w:val="both"/>
        <w:rPr>
          <w:rFonts w:ascii="Arial" w:hAnsi="Arial" w:cs="Arial"/>
        </w:rPr>
      </w:pPr>
    </w:p>
    <w:p w:rsidR="00967595" w:rsidRPr="00967595" w:rsidRDefault="00967595" w:rsidP="00967595">
      <w:pPr>
        <w:jc w:val="both"/>
        <w:rPr>
          <w:rFonts w:ascii="Arial" w:hAnsi="Arial" w:cs="Arial"/>
        </w:rPr>
      </w:pPr>
      <w:r w:rsidRPr="00967595">
        <w:rPr>
          <w:rFonts w:ascii="Arial" w:hAnsi="Arial" w:cs="Arial"/>
          <w:b/>
          <w:bCs/>
        </w:rPr>
        <w:t>Impactos y respuestas organizacionales</w:t>
      </w:r>
    </w:p>
    <w:p w:rsidR="00967595" w:rsidRPr="00967595" w:rsidRDefault="00967595" w:rsidP="00967595">
      <w:pPr>
        <w:jc w:val="both"/>
        <w:rPr>
          <w:rFonts w:ascii="Arial" w:hAnsi="Arial" w:cs="Arial"/>
        </w:rPr>
      </w:pPr>
      <w:r w:rsidRPr="00967595">
        <w:rPr>
          <w:rFonts w:ascii="Arial" w:hAnsi="Arial" w:cs="Arial"/>
        </w:rPr>
        <w:t>Los riesgos físicos (pérdidas potenciales debido a condiciones meteorológicas más frecuentes y severas provocadas por el cambio climático) y los riesgos de transición (pérdidas potenciales debido a una transición rápida a una economía baja en carbono) plantean amenazas económicas importantes para las instituciones financieras y las empresas industriales. Los representados en el panel se han dado cuenta y están generando respuestas sistémicas.</w:t>
      </w:r>
    </w:p>
    <w:p w:rsidR="00967595" w:rsidRDefault="00967595" w:rsidP="00967595">
      <w:pPr>
        <w:jc w:val="both"/>
        <w:rPr>
          <w:rFonts w:ascii="Arial" w:hAnsi="Arial" w:cs="Arial"/>
        </w:rPr>
      </w:pPr>
      <w:hyperlink r:id="rId7" w:history="1">
        <w:proofErr w:type="spellStart"/>
        <w:r w:rsidRPr="00967595">
          <w:rPr>
            <w:rStyle w:val="Hipervnculo"/>
            <w:rFonts w:ascii="Arial" w:hAnsi="Arial" w:cs="Arial"/>
          </w:rPr>
          <w:t>Theresa</w:t>
        </w:r>
        <w:proofErr w:type="spellEnd"/>
        <w:r w:rsidRPr="00967595">
          <w:rPr>
            <w:rStyle w:val="Hipervnculo"/>
            <w:rFonts w:ascii="Arial" w:hAnsi="Arial" w:cs="Arial"/>
          </w:rPr>
          <w:t xml:space="preserve"> </w:t>
        </w:r>
        <w:proofErr w:type="spellStart"/>
        <w:r w:rsidRPr="00967595">
          <w:rPr>
            <w:rStyle w:val="Hipervnculo"/>
            <w:rFonts w:ascii="Arial" w:hAnsi="Arial" w:cs="Arial"/>
          </w:rPr>
          <w:t>Löber</w:t>
        </w:r>
        <w:proofErr w:type="spellEnd"/>
      </w:hyperlink>
      <w:r w:rsidRPr="00967595">
        <w:rPr>
          <w:rFonts w:ascii="Arial" w:hAnsi="Arial" w:cs="Arial"/>
        </w:rPr>
        <w:t xml:space="preserve"> , directora del </w:t>
      </w:r>
      <w:proofErr w:type="spellStart"/>
      <w:r w:rsidRPr="00967595">
        <w:rPr>
          <w:rFonts w:ascii="Arial" w:hAnsi="Arial" w:cs="Arial"/>
        </w:rPr>
        <w:t>Climate</w:t>
      </w:r>
      <w:proofErr w:type="spellEnd"/>
      <w:r w:rsidRPr="00967595">
        <w:rPr>
          <w:rFonts w:ascii="Arial" w:hAnsi="Arial" w:cs="Arial"/>
        </w:rPr>
        <w:t xml:space="preserve"> </w:t>
      </w:r>
      <w:proofErr w:type="spellStart"/>
      <w:r w:rsidRPr="00967595">
        <w:rPr>
          <w:rFonts w:ascii="Arial" w:hAnsi="Arial" w:cs="Arial"/>
        </w:rPr>
        <w:t>Hub</w:t>
      </w:r>
      <w:proofErr w:type="spellEnd"/>
      <w:r w:rsidRPr="00967595">
        <w:rPr>
          <w:rFonts w:ascii="Arial" w:hAnsi="Arial" w:cs="Arial"/>
        </w:rPr>
        <w:t xml:space="preserve"> del Banco de Inglaterra, señaló que el banco ha asumido un papel de liderazgo para garantizar que las empresas financieras desarrollen un enfoque mejorado para gestionar los riesgos financieros del cambio climático. Se requiere que cada institución bajo su control nombre a un representante senior que sea responsable ante el banco, incorpore el riesgo físico y de transición en su marco de gestión de riesgo existente, realice análisis de escenarios y divulgue adecuadamente los riesgos climáticos. Las empresas más grandes también deben someterse a una prueba de resistencia climática.</w:t>
      </w:r>
    </w:p>
    <w:p w:rsidR="00967595" w:rsidRDefault="00967595" w:rsidP="00967595">
      <w:pPr>
        <w:jc w:val="both"/>
        <w:rPr>
          <w:rFonts w:ascii="Arial" w:hAnsi="Arial" w:cs="Arial"/>
        </w:rPr>
      </w:pPr>
      <w:r w:rsidRPr="00967595">
        <w:rPr>
          <w:rFonts w:ascii="Arial" w:hAnsi="Arial" w:cs="Arial"/>
        </w:rPr>
        <w:t>El enfoque climático también es prominente en el Banco de Canadá, como parte de su mandato de promover la estabilidad económica. El banco participa en una red de bancos centrales enfocados en ecologizar el sistema financiero a través de un intercambio de ideas sobre la mejor manera de evaluar el riesgo relacionado con el clima, y ​​realiza sus propios estudios de diferentes escenarios climáticos y económicos.</w:t>
      </w:r>
    </w:p>
    <w:p w:rsidR="001A6BC3" w:rsidRDefault="001A6BC3" w:rsidP="00967595">
      <w:pPr>
        <w:ind w:left="708"/>
        <w:jc w:val="both"/>
        <w:rPr>
          <w:rFonts w:ascii="Arial" w:hAnsi="Arial" w:cs="Arial"/>
        </w:rPr>
      </w:pPr>
    </w:p>
    <w:p w:rsidR="00967595" w:rsidRDefault="00967595" w:rsidP="00967595">
      <w:pPr>
        <w:ind w:left="708"/>
        <w:jc w:val="both"/>
        <w:rPr>
          <w:rFonts w:ascii="Arial" w:hAnsi="Arial" w:cs="Arial"/>
        </w:rPr>
      </w:pPr>
      <w:r w:rsidRPr="00967595">
        <w:rPr>
          <w:rFonts w:ascii="Arial" w:hAnsi="Arial" w:cs="Arial"/>
        </w:rPr>
        <w:t>“En general, lo que estamos encontrando es que existe una compensación entre los riesgos físicos y de transición según el camino que se mire”, dijo </w:t>
      </w:r>
      <w:hyperlink r:id="rId8" w:history="1">
        <w:r w:rsidRPr="00967595">
          <w:rPr>
            <w:rStyle w:val="Hipervnculo"/>
            <w:rFonts w:ascii="Arial" w:hAnsi="Arial" w:cs="Arial"/>
          </w:rPr>
          <w:t>Craig Johnston</w:t>
        </w:r>
      </w:hyperlink>
      <w:r w:rsidRPr="00967595">
        <w:rPr>
          <w:rFonts w:ascii="Arial" w:hAnsi="Arial" w:cs="Arial"/>
        </w:rPr>
        <w:t xml:space="preserve"> , economista senior del Bank of </w:t>
      </w:r>
      <w:proofErr w:type="spellStart"/>
      <w:r w:rsidRPr="00967595">
        <w:rPr>
          <w:rFonts w:ascii="Arial" w:hAnsi="Arial" w:cs="Arial"/>
        </w:rPr>
        <w:t>Canada</w:t>
      </w:r>
      <w:proofErr w:type="spellEnd"/>
      <w:r w:rsidRPr="00967595">
        <w:rPr>
          <w:rFonts w:ascii="Arial" w:hAnsi="Arial" w:cs="Arial"/>
        </w:rPr>
        <w:t>. “Si no hacemos nada [para reducir las emisiones], vemos riesgos de transición muy limitados, pero el nivel más alto de riesgos físicos. Por otro lado, una rápida transformación hacia una economía baja en carbono tiene los mayores riesgos de transición, pero mitiga los riesgos físicos hasta cierto punto”.</w:t>
      </w:r>
    </w:p>
    <w:p w:rsidR="001A6BC3" w:rsidRDefault="001A6BC3" w:rsidP="00967595">
      <w:pPr>
        <w:jc w:val="both"/>
        <w:rPr>
          <w:rFonts w:ascii="Arial" w:hAnsi="Arial" w:cs="Arial"/>
        </w:rPr>
      </w:pPr>
    </w:p>
    <w:p w:rsidR="00967595" w:rsidRPr="00967595" w:rsidRDefault="00967595" w:rsidP="00967595">
      <w:pPr>
        <w:jc w:val="both"/>
        <w:rPr>
          <w:rFonts w:ascii="Arial" w:hAnsi="Arial" w:cs="Arial"/>
        </w:rPr>
      </w:pPr>
      <w:r w:rsidRPr="00967595">
        <w:rPr>
          <w:rFonts w:ascii="Arial" w:hAnsi="Arial" w:cs="Arial"/>
        </w:rPr>
        <w:t>Guiados por las acciones de los bancos centrales y las fuerzas del mercado en evolución, los bancos privados y las empresas de otros sectores se están tomando en serio la divulgación financiera relacionada con el clima.</w:t>
      </w:r>
    </w:p>
    <w:p w:rsidR="00967595" w:rsidRPr="00967595" w:rsidRDefault="00967595" w:rsidP="00967595">
      <w:pPr>
        <w:jc w:val="both"/>
        <w:rPr>
          <w:rFonts w:ascii="Arial" w:hAnsi="Arial" w:cs="Arial"/>
        </w:rPr>
      </w:pPr>
      <w:hyperlink r:id="rId9" w:history="1">
        <w:r w:rsidRPr="00967595">
          <w:rPr>
            <w:rStyle w:val="Hipervnculo"/>
            <w:rFonts w:ascii="Arial" w:hAnsi="Arial" w:cs="Arial"/>
          </w:rPr>
          <w:t>Alan Smith</w:t>
        </w:r>
      </w:hyperlink>
      <w:r w:rsidRPr="00967595">
        <w:rPr>
          <w:rFonts w:ascii="Arial" w:hAnsi="Arial" w:cs="Arial"/>
        </w:rPr>
        <w:t> , jefe global de estrategia de riesgo de HSBC, observó que todo tipo de riesgo que enfrenta la institución financiera se ve afectado por el cambio climático, por lo que el tema ahora informa todas las actividades de la empresa.</w:t>
      </w:r>
    </w:p>
    <w:p w:rsidR="00967595" w:rsidRDefault="00967595" w:rsidP="00967595">
      <w:pPr>
        <w:jc w:val="both"/>
        <w:rPr>
          <w:rFonts w:ascii="Arial" w:hAnsi="Arial" w:cs="Arial"/>
        </w:rPr>
      </w:pPr>
      <w:hyperlink r:id="rId10" w:history="1">
        <w:r w:rsidRPr="00967595">
          <w:rPr>
            <w:rStyle w:val="Hipervnculo"/>
            <w:rFonts w:ascii="Arial" w:hAnsi="Arial" w:cs="Arial"/>
          </w:rPr>
          <w:t>Spencer Dale</w:t>
        </w:r>
      </w:hyperlink>
      <w:r w:rsidRPr="00967595">
        <w:rPr>
          <w:rFonts w:ascii="Arial" w:hAnsi="Arial" w:cs="Arial"/>
        </w:rPr>
        <w:t> , economista jefe de grupo de BP, observó que, como una importante compañía de petróleo y gas que enfrenta una transición energética global hacia fuentes bajas en carbono, BP considera que el tema de la divulgación financiera del riesgo climático tiene menos que ver con los riesgos financieros de la empresa y más que ver con su propósito central y estructura. Una consideración clave es cómo los productos vendidos por BP pueden ser consistentes con el objetivo de toda la empresa de lograr emisiones netas cero para 2050. Si bien las compensaciones de carbono, la tecnología de captura de carbono y la plantación de árboles podrían ser parte de la solución, el principal desafío de la empresa será cambiar el negocio a productos sin carbono.</w:t>
      </w:r>
    </w:p>
    <w:p w:rsidR="00967595" w:rsidRDefault="00967595" w:rsidP="00967595">
      <w:pPr>
        <w:jc w:val="both"/>
        <w:rPr>
          <w:rFonts w:ascii="Arial" w:hAnsi="Arial" w:cs="Arial"/>
        </w:rPr>
      </w:pPr>
    </w:p>
    <w:p w:rsidR="001A6BC3" w:rsidRDefault="001A6BC3" w:rsidP="00967595">
      <w:pPr>
        <w:jc w:val="both"/>
        <w:rPr>
          <w:rFonts w:ascii="Arial" w:hAnsi="Arial" w:cs="Arial"/>
          <w:b/>
          <w:bCs/>
        </w:rPr>
      </w:pPr>
    </w:p>
    <w:p w:rsidR="001A6BC3" w:rsidRDefault="001A6BC3" w:rsidP="00967595">
      <w:pPr>
        <w:jc w:val="both"/>
        <w:rPr>
          <w:rFonts w:ascii="Arial" w:hAnsi="Arial" w:cs="Arial"/>
          <w:b/>
          <w:bCs/>
        </w:rPr>
      </w:pPr>
    </w:p>
    <w:p w:rsidR="00967595" w:rsidRPr="00967595" w:rsidRDefault="00967595" w:rsidP="00967595">
      <w:pPr>
        <w:jc w:val="both"/>
        <w:rPr>
          <w:rFonts w:ascii="Arial" w:hAnsi="Arial" w:cs="Arial"/>
        </w:rPr>
      </w:pPr>
      <w:r w:rsidRPr="00967595">
        <w:rPr>
          <w:rFonts w:ascii="Arial" w:hAnsi="Arial" w:cs="Arial"/>
          <w:b/>
          <w:bCs/>
        </w:rPr>
        <w:lastRenderedPageBreak/>
        <w:t>Mejores prácticas para el uso de escenarios en la evaluación de riesgos financieros relacionados con el clima</w:t>
      </w:r>
    </w:p>
    <w:p w:rsidR="00967595" w:rsidRPr="00967595" w:rsidRDefault="00967595" w:rsidP="00967595">
      <w:pPr>
        <w:jc w:val="both"/>
        <w:rPr>
          <w:rFonts w:ascii="Arial" w:hAnsi="Arial" w:cs="Arial"/>
        </w:rPr>
      </w:pPr>
      <w:r w:rsidRPr="00967595">
        <w:rPr>
          <w:rFonts w:ascii="Arial" w:hAnsi="Arial" w:cs="Arial"/>
        </w:rPr>
        <w:t>Los seis panelistas vieron un papel importante para los escenarios (proyecciones de cómo es probable que el clima y la economía evolucionen bajo diferentes políticas climáticas y tasas de penetración en el mercado de tecnología energética) para permitir que las instituciones financieras y las empresas evalúen el riesgo financiero relacionado con el clima. Hubo acuerdo general en que los escenarios no deberían verse como predicciones, sino como una gama de posibles resultados plausibles con distintos niveles de incertidumbre.</w:t>
      </w:r>
    </w:p>
    <w:p w:rsidR="00967595" w:rsidRDefault="00967595" w:rsidP="00967595">
      <w:pPr>
        <w:jc w:val="both"/>
        <w:rPr>
          <w:rFonts w:ascii="Arial" w:hAnsi="Arial" w:cs="Arial"/>
        </w:rPr>
      </w:pPr>
      <w:r w:rsidRPr="00967595">
        <w:rPr>
          <w:rFonts w:ascii="Arial" w:hAnsi="Arial" w:cs="Arial"/>
        </w:rPr>
        <w:t>Reconociendo la incertidumbre inherente de cualquier escenario individual, Dale señaló que BP ha examinado los cientos de escenarios en la base de datos del </w:t>
      </w:r>
      <w:hyperlink r:id="rId11" w:history="1">
        <w:r w:rsidRPr="00967595">
          <w:rPr>
            <w:rStyle w:val="Hipervnculo"/>
            <w:rFonts w:ascii="Arial" w:hAnsi="Arial" w:cs="Arial"/>
          </w:rPr>
          <w:t>Panel Intergubernamental sobre Cambio Climático</w:t>
        </w:r>
      </w:hyperlink>
      <w:r w:rsidRPr="00967595">
        <w:rPr>
          <w:rFonts w:ascii="Arial" w:hAnsi="Arial" w:cs="Arial"/>
        </w:rPr>
        <w:t xml:space="preserve"> para ayudar a comprender el rango de posibilidades de diferentes tecnologías nuevas y fuentes de energía para contribuir a una solución de emisiones netas cero. . Por otro lado, </w:t>
      </w:r>
      <w:proofErr w:type="spellStart"/>
      <w:r w:rsidRPr="00967595">
        <w:rPr>
          <w:rFonts w:ascii="Arial" w:hAnsi="Arial" w:cs="Arial"/>
        </w:rPr>
        <w:t>Löber</w:t>
      </w:r>
      <w:proofErr w:type="spellEnd"/>
      <w:r w:rsidRPr="00967595">
        <w:rPr>
          <w:rFonts w:ascii="Arial" w:hAnsi="Arial" w:cs="Arial"/>
        </w:rPr>
        <w:t xml:space="preserve"> observó que la comunidad financiera estaba teniendo dificultades para clasificar los muchos escenarios ahora disponibles, lo que llevó al banco a limitar su prueba de resistencia a tres escenarios de referencia que representan una amplia gama de posibles acciones de política climática.</w:t>
      </w:r>
    </w:p>
    <w:p w:rsidR="001A6BC3" w:rsidRPr="00967595" w:rsidRDefault="001A6BC3" w:rsidP="00967595">
      <w:pPr>
        <w:jc w:val="both"/>
        <w:rPr>
          <w:rFonts w:ascii="Arial" w:hAnsi="Arial" w:cs="Arial"/>
        </w:rPr>
      </w:pPr>
    </w:p>
    <w:p w:rsidR="00967595" w:rsidRDefault="00967595" w:rsidP="00967595">
      <w:pPr>
        <w:ind w:left="708"/>
        <w:jc w:val="both"/>
        <w:rPr>
          <w:rFonts w:ascii="Arial" w:hAnsi="Arial" w:cs="Arial"/>
        </w:rPr>
      </w:pPr>
      <w:r w:rsidRPr="00967595">
        <w:rPr>
          <w:rFonts w:ascii="Arial" w:hAnsi="Arial" w:cs="Arial"/>
        </w:rPr>
        <w:t xml:space="preserve">"Lo que estamos tratando de probar aquí es una combinación de riesgos físicos y de transición en estos diferentes escenarios", dijo </w:t>
      </w:r>
      <w:proofErr w:type="spellStart"/>
      <w:r w:rsidRPr="00967595">
        <w:rPr>
          <w:rFonts w:ascii="Arial" w:hAnsi="Arial" w:cs="Arial"/>
        </w:rPr>
        <w:t>Löber</w:t>
      </w:r>
      <w:proofErr w:type="spellEnd"/>
      <w:r w:rsidRPr="00967595">
        <w:rPr>
          <w:rFonts w:ascii="Arial" w:hAnsi="Arial" w:cs="Arial"/>
        </w:rPr>
        <w:t>. "Estamos tratando de ser tan prescriptivos como podamos para que las firmas financieras puedan procesar esto, pero también para que podamos agregar los resultados para comprender cómo el sistema en su conjunto está expuesto a estos riesgos".</w:t>
      </w:r>
    </w:p>
    <w:p w:rsidR="001A6BC3" w:rsidRDefault="001A6BC3" w:rsidP="00967595">
      <w:pPr>
        <w:jc w:val="both"/>
        <w:rPr>
          <w:rFonts w:ascii="Arial" w:hAnsi="Arial" w:cs="Arial"/>
        </w:rPr>
      </w:pPr>
    </w:p>
    <w:p w:rsidR="00967595" w:rsidRDefault="00967595" w:rsidP="00967595">
      <w:pPr>
        <w:jc w:val="both"/>
        <w:rPr>
          <w:rFonts w:ascii="Arial" w:hAnsi="Arial" w:cs="Arial"/>
        </w:rPr>
      </w:pPr>
      <w:r w:rsidRPr="00967595">
        <w:rPr>
          <w:rFonts w:ascii="Arial" w:hAnsi="Arial" w:cs="Arial"/>
        </w:rPr>
        <w:t>Los panelistas difirieron sobre la utilidad de diferentes tipos de escenarios. Algunos sostuvieron que un detalle más detallado en los tipos de cantidades proyectadas en un escenario ayudaría a hacerlo más relevante; otros expresaron su preocupación por los desafíos de hacer proyecciones sólidas a ese nivel de detalle. Otra preocupación era que los modelos que generaban escenarios no tenían en cuenta los puntos de inflexión potenciales (trastornos climáticos o económicos) que podrían alterar drásticamente las proyecciones. Por último, varios participantes destacaron el desafío de conciliar escenarios climáticos y económicos a largo plazo con preocupaciones a corto plazo a nivel de la empresa.</w:t>
      </w:r>
    </w:p>
    <w:p w:rsidR="00967595" w:rsidRDefault="00967595" w:rsidP="00967595">
      <w:pPr>
        <w:jc w:val="both"/>
        <w:rPr>
          <w:rFonts w:ascii="Arial" w:hAnsi="Arial" w:cs="Arial"/>
        </w:rPr>
      </w:pPr>
    </w:p>
    <w:p w:rsidR="00967595" w:rsidRPr="00967595" w:rsidRDefault="00967595" w:rsidP="00967595">
      <w:pPr>
        <w:jc w:val="both"/>
        <w:rPr>
          <w:rFonts w:ascii="Arial" w:hAnsi="Arial" w:cs="Arial"/>
        </w:rPr>
      </w:pPr>
      <w:r w:rsidRPr="00967595">
        <w:rPr>
          <w:rFonts w:ascii="Arial" w:hAnsi="Arial" w:cs="Arial"/>
          <w:b/>
          <w:bCs/>
        </w:rPr>
        <w:t>Nuevas direcciones de investigación para el MIT y más allá</w:t>
      </w:r>
    </w:p>
    <w:p w:rsidR="00967595" w:rsidRDefault="00967595" w:rsidP="00967595">
      <w:pPr>
        <w:jc w:val="both"/>
        <w:rPr>
          <w:rFonts w:ascii="Arial" w:hAnsi="Arial" w:cs="Arial"/>
        </w:rPr>
      </w:pPr>
      <w:r w:rsidRPr="00967595">
        <w:rPr>
          <w:rFonts w:ascii="Arial" w:hAnsi="Arial" w:cs="Arial"/>
        </w:rPr>
        <w:t>Tanto los panelistas como los participantes alentaron a realizar más investigaciones sobre la divulgación financiera relacionada con el clima en el MIT e instituciones similares, incluidas las actualizaciones en curso de los modelos climáticos y económicos disponibles públicamente desarrollados por el programa conjunto.</w:t>
      </w:r>
    </w:p>
    <w:p w:rsidR="001A6BC3" w:rsidRDefault="001A6BC3" w:rsidP="00967595">
      <w:pPr>
        <w:jc w:val="both"/>
        <w:rPr>
          <w:rFonts w:ascii="Arial" w:hAnsi="Arial" w:cs="Arial"/>
        </w:rPr>
      </w:pPr>
    </w:p>
    <w:p w:rsidR="00967595" w:rsidRPr="00967595" w:rsidRDefault="00967595" w:rsidP="00967595">
      <w:pPr>
        <w:jc w:val="both"/>
        <w:rPr>
          <w:rFonts w:ascii="Arial" w:hAnsi="Arial" w:cs="Arial"/>
        </w:rPr>
      </w:pPr>
      <w:hyperlink r:id="rId12" w:history="1">
        <w:r w:rsidRPr="00967595">
          <w:rPr>
            <w:rStyle w:val="Hipervnculo"/>
            <w:rFonts w:ascii="Arial" w:hAnsi="Arial" w:cs="Arial"/>
          </w:rPr>
          <w:t xml:space="preserve">Henry </w:t>
        </w:r>
        <w:proofErr w:type="spellStart"/>
        <w:r w:rsidRPr="00967595">
          <w:rPr>
            <w:rStyle w:val="Hipervnculo"/>
            <w:rFonts w:ascii="Arial" w:hAnsi="Arial" w:cs="Arial"/>
          </w:rPr>
          <w:t>Jacoby</w:t>
        </w:r>
        <w:proofErr w:type="spellEnd"/>
      </w:hyperlink>
      <w:r w:rsidRPr="00967595">
        <w:rPr>
          <w:rFonts w:ascii="Arial" w:hAnsi="Arial" w:cs="Arial"/>
        </w:rPr>
        <w:t xml:space="preserve"> , codirector fundador (emérito) del Programa Conjunto del MIT y William F. </w:t>
      </w:r>
      <w:proofErr w:type="spellStart"/>
      <w:r w:rsidRPr="00967595">
        <w:rPr>
          <w:rFonts w:ascii="Arial" w:hAnsi="Arial" w:cs="Arial"/>
        </w:rPr>
        <w:t>Pounds</w:t>
      </w:r>
      <w:proofErr w:type="spellEnd"/>
      <w:r w:rsidRPr="00967595">
        <w:rPr>
          <w:rFonts w:ascii="Arial" w:hAnsi="Arial" w:cs="Arial"/>
        </w:rPr>
        <w:t xml:space="preserve">, profesor emérito de administración en la Escuela de Administración </w:t>
      </w:r>
      <w:proofErr w:type="spellStart"/>
      <w:r w:rsidRPr="00967595">
        <w:rPr>
          <w:rFonts w:ascii="Arial" w:hAnsi="Arial" w:cs="Arial"/>
        </w:rPr>
        <w:t>Sloan</w:t>
      </w:r>
      <w:proofErr w:type="spellEnd"/>
      <w:r w:rsidRPr="00967595">
        <w:rPr>
          <w:rFonts w:ascii="Arial" w:hAnsi="Arial" w:cs="Arial"/>
        </w:rPr>
        <w:t xml:space="preserve"> del MIT, señalaron que un taller de 2018 convocado por la Vicepresidenta de Investigación del MIT, </w:t>
      </w:r>
      <w:proofErr w:type="spellStart"/>
      <w:r w:rsidRPr="00967595">
        <w:rPr>
          <w:rFonts w:ascii="Arial" w:hAnsi="Arial" w:cs="Arial"/>
        </w:rPr>
        <w:t>Maria</w:t>
      </w:r>
      <w:proofErr w:type="spellEnd"/>
      <w:r w:rsidRPr="00967595">
        <w:rPr>
          <w:rFonts w:ascii="Arial" w:hAnsi="Arial" w:cs="Arial"/>
        </w:rPr>
        <w:t xml:space="preserve"> </w:t>
      </w:r>
      <w:proofErr w:type="spellStart"/>
      <w:r w:rsidRPr="00967595">
        <w:rPr>
          <w:rFonts w:ascii="Arial" w:hAnsi="Arial" w:cs="Arial"/>
        </w:rPr>
        <w:t>Zuber</w:t>
      </w:r>
      <w:proofErr w:type="spellEnd"/>
      <w:r w:rsidRPr="00967595">
        <w:rPr>
          <w:rFonts w:ascii="Arial" w:hAnsi="Arial" w:cs="Arial"/>
        </w:rPr>
        <w:t>, arrojó un </w:t>
      </w:r>
      <w:hyperlink r:id="rId13" w:history="1">
        <w:r w:rsidRPr="00967595">
          <w:rPr>
            <w:rStyle w:val="Hipervnculo"/>
            <w:rFonts w:ascii="Arial" w:hAnsi="Arial" w:cs="Arial"/>
          </w:rPr>
          <w:t>informe</w:t>
        </w:r>
      </w:hyperlink>
      <w:r w:rsidRPr="00967595">
        <w:rPr>
          <w:rFonts w:ascii="Arial" w:hAnsi="Arial" w:cs="Arial"/>
        </w:rPr>
        <w:t> y dos grandes orientaciones para la investigación. Una era simplemente usar los modelos existentes del MIT y desarrollar un conjunto más rico de escenarios más enfocados al riesgo financiero y al problema de la divulgación. El otro fue enriquecer estos modelos con variables y sectores más relevantes para las preocupaciones de la comunidad financiera.</w:t>
      </w:r>
    </w:p>
    <w:p w:rsidR="00967595" w:rsidRDefault="00967595" w:rsidP="00967595">
      <w:pPr>
        <w:jc w:val="both"/>
        <w:rPr>
          <w:rFonts w:ascii="Arial" w:hAnsi="Arial" w:cs="Arial"/>
        </w:rPr>
      </w:pPr>
      <w:r w:rsidRPr="00967595">
        <w:rPr>
          <w:rFonts w:ascii="Arial" w:hAnsi="Arial" w:cs="Arial"/>
        </w:rPr>
        <w:t>Para producir resultados relevantes, </w:t>
      </w:r>
      <w:hyperlink r:id="rId14" w:history="1">
        <w:r w:rsidRPr="00967595">
          <w:rPr>
            <w:rStyle w:val="Hipervnculo"/>
            <w:rFonts w:ascii="Arial" w:hAnsi="Arial" w:cs="Arial"/>
          </w:rPr>
          <w:t>John Parsons</w:t>
        </w:r>
      </w:hyperlink>
      <w:r w:rsidRPr="00967595">
        <w:rPr>
          <w:rFonts w:ascii="Arial" w:hAnsi="Arial" w:cs="Arial"/>
        </w:rPr>
        <w:t xml:space="preserve"> , profesor principal de gestión de riesgos y finanzas corporativas en MIT </w:t>
      </w:r>
      <w:proofErr w:type="spellStart"/>
      <w:r w:rsidRPr="00967595">
        <w:rPr>
          <w:rFonts w:ascii="Arial" w:hAnsi="Arial" w:cs="Arial"/>
        </w:rPr>
        <w:t>Sloan</w:t>
      </w:r>
      <w:proofErr w:type="spellEnd"/>
      <w:r w:rsidRPr="00967595">
        <w:rPr>
          <w:rFonts w:ascii="Arial" w:hAnsi="Arial" w:cs="Arial"/>
        </w:rPr>
        <w:t>, recomendó que MIT complemente su modelo económico global existente con una investigación paralela sobre el análisis microeconómico más detallado que se necesita para calcular la exposición financiera. La idea, dijo, no era necesariamente poner todo en un solo modelo, sino centrarse en aspectos de cada escenario que se relacionan con los riesgos financieros a los que están expuestas las empresas individuales.</w:t>
      </w:r>
    </w:p>
    <w:p w:rsidR="00967595" w:rsidRDefault="00967595" w:rsidP="001A6BC3">
      <w:pPr>
        <w:ind w:left="708"/>
        <w:jc w:val="both"/>
        <w:rPr>
          <w:rFonts w:ascii="Arial" w:hAnsi="Arial" w:cs="Arial"/>
        </w:rPr>
      </w:pPr>
      <w:r w:rsidRPr="00967595">
        <w:rPr>
          <w:rFonts w:ascii="Arial" w:hAnsi="Arial" w:cs="Arial"/>
        </w:rPr>
        <w:t>Spencer Dale de BP sugirió un énfasis alternativo para futuras investigaciones. “Para nosotros, lo más valioso que el MIT y otros pueden hacer no es producir escenarios prescriptivos cada vez más precisos, específicos”, dijo, “sino ayudarnos a comprender mejor el rango de niveles de incertidumbre y confianza asociados con los escenarios ".</w:t>
      </w:r>
    </w:p>
    <w:p w:rsidR="00967595" w:rsidRPr="00967595" w:rsidRDefault="00967595" w:rsidP="00967595">
      <w:pPr>
        <w:jc w:val="both"/>
        <w:rPr>
          <w:rFonts w:ascii="Arial" w:hAnsi="Arial" w:cs="Arial"/>
        </w:rPr>
      </w:pPr>
      <w:r w:rsidRPr="00967595">
        <w:rPr>
          <w:rFonts w:ascii="Arial" w:hAnsi="Arial" w:cs="Arial"/>
        </w:rPr>
        <w:t>La discusión llegó a su fin con dos preguntas principales: ¿Cómo podría el programa conjunto estructurar un programa de investigación en el MIT para que pudiera continuar trabajando en estrecha colaboración con los tomadores de decisiones que finalmente utilizarían estos escenarios, y cómo se financiaría dicho programa? En los próximos meses, </w:t>
      </w:r>
      <w:hyperlink r:id="rId15" w:history="1">
        <w:r w:rsidRPr="00967595">
          <w:rPr>
            <w:rStyle w:val="Hipervnculo"/>
            <w:rFonts w:ascii="Arial" w:hAnsi="Arial" w:cs="Arial"/>
          </w:rPr>
          <w:t xml:space="preserve">John </w:t>
        </w:r>
        <w:proofErr w:type="spellStart"/>
        <w:r w:rsidRPr="00967595">
          <w:rPr>
            <w:rStyle w:val="Hipervnculo"/>
            <w:rFonts w:ascii="Arial" w:hAnsi="Arial" w:cs="Arial"/>
          </w:rPr>
          <w:t>Reilly</w:t>
        </w:r>
        <w:proofErr w:type="spellEnd"/>
      </w:hyperlink>
      <w:r w:rsidRPr="00967595">
        <w:rPr>
          <w:rFonts w:ascii="Arial" w:hAnsi="Arial" w:cs="Arial"/>
        </w:rPr>
        <w:t xml:space="preserve"> , codirector del Programa Conjunto del MIT y profesor principal del MIT </w:t>
      </w:r>
      <w:proofErr w:type="spellStart"/>
      <w:r w:rsidRPr="00967595">
        <w:rPr>
          <w:rFonts w:ascii="Arial" w:hAnsi="Arial" w:cs="Arial"/>
        </w:rPr>
        <w:t>Sloan</w:t>
      </w:r>
      <w:proofErr w:type="spellEnd"/>
      <w:r w:rsidRPr="00967595">
        <w:rPr>
          <w:rFonts w:ascii="Arial" w:hAnsi="Arial" w:cs="Arial"/>
        </w:rPr>
        <w:t>, comprometió el programa para ayudar a coordinar un esfuerzo entre los expertos del MIT, las finanzas y la industria para abordar estas preguntas y desarrollar un plan de acción detallado. .</w:t>
      </w:r>
    </w:p>
    <w:p w:rsidR="00967595" w:rsidRPr="00967595" w:rsidRDefault="00967595" w:rsidP="00967595">
      <w:pPr>
        <w:jc w:val="both"/>
        <w:rPr>
          <w:rFonts w:ascii="Arial" w:hAnsi="Arial" w:cs="Arial"/>
        </w:rPr>
      </w:pPr>
    </w:p>
    <w:p w:rsidR="00967595" w:rsidRDefault="00967595" w:rsidP="00967595">
      <w:pPr>
        <w:jc w:val="both"/>
        <w:rPr>
          <w:rFonts w:ascii="Arial" w:hAnsi="Arial" w:cs="Arial"/>
        </w:rPr>
      </w:pPr>
    </w:p>
    <w:p w:rsidR="00967595" w:rsidRPr="00967595" w:rsidRDefault="00967595" w:rsidP="00967595">
      <w:pPr>
        <w:jc w:val="both"/>
        <w:rPr>
          <w:rFonts w:ascii="Arial" w:hAnsi="Arial" w:cs="Arial"/>
        </w:rPr>
      </w:pPr>
    </w:p>
    <w:p w:rsidR="00967595" w:rsidRDefault="00967595" w:rsidP="00967595">
      <w:pPr>
        <w:jc w:val="both"/>
        <w:rPr>
          <w:rFonts w:ascii="Arial" w:hAnsi="Arial" w:cs="Arial"/>
        </w:rPr>
      </w:pPr>
    </w:p>
    <w:p w:rsidR="00967595" w:rsidRPr="00967595" w:rsidRDefault="00967595" w:rsidP="00967595">
      <w:pPr>
        <w:jc w:val="both"/>
        <w:rPr>
          <w:rFonts w:ascii="Arial" w:hAnsi="Arial" w:cs="Arial"/>
        </w:rPr>
      </w:pPr>
    </w:p>
    <w:sectPr w:rsidR="00967595" w:rsidRPr="009675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95"/>
    <w:rsid w:val="000F4B68"/>
    <w:rsid w:val="001739B4"/>
    <w:rsid w:val="001A6BC3"/>
    <w:rsid w:val="003B63A5"/>
    <w:rsid w:val="00967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68AC-9C59-4EBF-BE87-15A8B921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7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0672">
      <w:bodyDiv w:val="1"/>
      <w:marLeft w:val="0"/>
      <w:marRight w:val="0"/>
      <w:marTop w:val="0"/>
      <w:marBottom w:val="0"/>
      <w:divBdr>
        <w:top w:val="none" w:sz="0" w:space="0" w:color="auto"/>
        <w:left w:val="none" w:sz="0" w:space="0" w:color="auto"/>
        <w:bottom w:val="none" w:sz="0" w:space="0" w:color="auto"/>
        <w:right w:val="none" w:sz="0" w:space="0" w:color="auto"/>
      </w:divBdr>
    </w:div>
    <w:div w:id="1123383575">
      <w:bodyDiv w:val="1"/>
      <w:marLeft w:val="0"/>
      <w:marRight w:val="0"/>
      <w:marTop w:val="0"/>
      <w:marBottom w:val="0"/>
      <w:divBdr>
        <w:top w:val="none" w:sz="0" w:space="0" w:color="auto"/>
        <w:left w:val="none" w:sz="0" w:space="0" w:color="auto"/>
        <w:bottom w:val="none" w:sz="0" w:space="0" w:color="auto"/>
        <w:right w:val="none" w:sz="0" w:space="0" w:color="auto"/>
      </w:divBdr>
      <w:divsChild>
        <w:div w:id="1696689693">
          <w:marLeft w:val="0"/>
          <w:marRight w:val="0"/>
          <w:marTop w:val="0"/>
          <w:marBottom w:val="0"/>
          <w:divBdr>
            <w:top w:val="none" w:sz="0" w:space="0" w:color="auto"/>
            <w:left w:val="none" w:sz="0" w:space="0" w:color="auto"/>
            <w:bottom w:val="none" w:sz="0" w:space="0" w:color="auto"/>
            <w:right w:val="none" w:sz="0" w:space="0" w:color="auto"/>
          </w:divBdr>
          <w:divsChild>
            <w:div w:id="401486294">
              <w:marLeft w:val="0"/>
              <w:marRight w:val="0"/>
              <w:marTop w:val="0"/>
              <w:marBottom w:val="0"/>
              <w:divBdr>
                <w:top w:val="none" w:sz="0" w:space="0" w:color="auto"/>
                <w:left w:val="none" w:sz="0" w:space="0" w:color="auto"/>
                <w:bottom w:val="none" w:sz="0" w:space="0" w:color="auto"/>
                <w:right w:val="none" w:sz="0" w:space="0" w:color="auto"/>
              </w:divBdr>
            </w:div>
          </w:divsChild>
        </w:div>
        <w:div w:id="435252657">
          <w:marLeft w:val="0"/>
          <w:marRight w:val="0"/>
          <w:marTop w:val="0"/>
          <w:marBottom w:val="0"/>
          <w:divBdr>
            <w:top w:val="none" w:sz="0" w:space="0" w:color="auto"/>
            <w:left w:val="none" w:sz="0" w:space="0" w:color="auto"/>
            <w:bottom w:val="none" w:sz="0" w:space="0" w:color="auto"/>
            <w:right w:val="none" w:sz="0" w:space="0" w:color="auto"/>
          </w:divBdr>
          <w:divsChild>
            <w:div w:id="1019628253">
              <w:marLeft w:val="0"/>
              <w:marRight w:val="0"/>
              <w:marTop w:val="0"/>
              <w:marBottom w:val="0"/>
              <w:divBdr>
                <w:top w:val="none" w:sz="0" w:space="0" w:color="auto"/>
                <w:left w:val="none" w:sz="0" w:space="0" w:color="auto"/>
                <w:bottom w:val="none" w:sz="0" w:space="0" w:color="auto"/>
                <w:right w:val="none" w:sz="0" w:space="0" w:color="auto"/>
              </w:divBdr>
              <w:divsChild>
                <w:div w:id="80417348">
                  <w:marLeft w:val="0"/>
                  <w:marRight w:val="0"/>
                  <w:marTop w:val="0"/>
                  <w:marBottom w:val="0"/>
                  <w:divBdr>
                    <w:top w:val="none" w:sz="0" w:space="0" w:color="auto"/>
                    <w:left w:val="none" w:sz="0" w:space="0" w:color="auto"/>
                    <w:bottom w:val="none" w:sz="0" w:space="0" w:color="auto"/>
                    <w:right w:val="none" w:sz="0" w:space="0" w:color="auto"/>
                  </w:divBdr>
                  <w:divsChild>
                    <w:div w:id="1829469162">
                      <w:marLeft w:val="0"/>
                      <w:marRight w:val="0"/>
                      <w:marTop w:val="0"/>
                      <w:marBottom w:val="300"/>
                      <w:divBdr>
                        <w:top w:val="none" w:sz="0" w:space="0" w:color="auto"/>
                        <w:left w:val="none" w:sz="0" w:space="0" w:color="auto"/>
                        <w:bottom w:val="none" w:sz="0" w:space="0" w:color="auto"/>
                        <w:right w:val="none" w:sz="0" w:space="0" w:color="auto"/>
                      </w:divBdr>
                    </w:div>
                    <w:div w:id="1822577985">
                      <w:marLeft w:val="0"/>
                      <w:marRight w:val="0"/>
                      <w:marTop w:val="0"/>
                      <w:marBottom w:val="75"/>
                      <w:divBdr>
                        <w:top w:val="none" w:sz="0" w:space="0" w:color="auto"/>
                        <w:left w:val="none" w:sz="0" w:space="0" w:color="auto"/>
                        <w:bottom w:val="none" w:sz="0" w:space="0" w:color="auto"/>
                        <w:right w:val="none" w:sz="0" w:space="0" w:color="auto"/>
                      </w:divBdr>
                    </w:div>
                    <w:div w:id="1637711074">
                      <w:marLeft w:val="0"/>
                      <w:marRight w:val="0"/>
                      <w:marTop w:val="60"/>
                      <w:marBottom w:val="450"/>
                      <w:divBdr>
                        <w:top w:val="none" w:sz="0" w:space="0" w:color="auto"/>
                        <w:left w:val="none" w:sz="0" w:space="0" w:color="auto"/>
                        <w:bottom w:val="none" w:sz="0" w:space="0" w:color="auto"/>
                        <w:right w:val="none" w:sz="0" w:space="0" w:color="auto"/>
                      </w:divBdr>
                      <w:divsChild>
                        <w:div w:id="12054796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61155">
      <w:bodyDiv w:val="1"/>
      <w:marLeft w:val="0"/>
      <w:marRight w:val="0"/>
      <w:marTop w:val="0"/>
      <w:marBottom w:val="0"/>
      <w:divBdr>
        <w:top w:val="none" w:sz="0" w:space="0" w:color="auto"/>
        <w:left w:val="none" w:sz="0" w:space="0" w:color="auto"/>
        <w:bottom w:val="none" w:sz="0" w:space="0" w:color="auto"/>
        <w:right w:val="none" w:sz="0" w:space="0" w:color="auto"/>
      </w:divBdr>
    </w:div>
    <w:div w:id="1375932007">
      <w:bodyDiv w:val="1"/>
      <w:marLeft w:val="0"/>
      <w:marRight w:val="0"/>
      <w:marTop w:val="0"/>
      <w:marBottom w:val="0"/>
      <w:divBdr>
        <w:top w:val="none" w:sz="0" w:space="0" w:color="auto"/>
        <w:left w:val="none" w:sz="0" w:space="0" w:color="auto"/>
        <w:bottom w:val="none" w:sz="0" w:space="0" w:color="auto"/>
        <w:right w:val="none" w:sz="0" w:space="0" w:color="auto"/>
      </w:divBdr>
    </w:div>
    <w:div w:id="1461729891">
      <w:bodyDiv w:val="1"/>
      <w:marLeft w:val="0"/>
      <w:marRight w:val="0"/>
      <w:marTop w:val="0"/>
      <w:marBottom w:val="0"/>
      <w:divBdr>
        <w:top w:val="none" w:sz="0" w:space="0" w:color="auto"/>
        <w:left w:val="none" w:sz="0" w:space="0" w:color="auto"/>
        <w:bottom w:val="none" w:sz="0" w:space="0" w:color="auto"/>
        <w:right w:val="none" w:sz="0" w:space="0" w:color="auto"/>
      </w:divBdr>
    </w:div>
    <w:div w:id="16795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canada.ca/profile/craig-johnston/" TargetMode="External"/><Relationship Id="rId13" Type="http://schemas.openxmlformats.org/officeDocument/2006/relationships/hyperlink" Target="https://news.mit.edu/2019/climate-financial-disclosures-1106" TargetMode="External"/><Relationship Id="rId3" Type="http://schemas.openxmlformats.org/officeDocument/2006/relationships/webSettings" Target="webSettings.xml"/><Relationship Id="rId7" Type="http://schemas.openxmlformats.org/officeDocument/2006/relationships/hyperlink" Target="https://www.globalfemaleleaders.com/speaker/theresa-lober/" TargetMode="External"/><Relationship Id="rId12" Type="http://schemas.openxmlformats.org/officeDocument/2006/relationships/hyperlink" Target="https://globalchange.mit.edu/about-us/personnel/jacoby-hen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lobalchange.mit.edu/about-us/personnel/prinn-ronald" TargetMode="External"/><Relationship Id="rId11" Type="http://schemas.openxmlformats.org/officeDocument/2006/relationships/hyperlink" Target="http://www.ipcc.ch/" TargetMode="External"/><Relationship Id="rId5" Type="http://schemas.openxmlformats.org/officeDocument/2006/relationships/hyperlink" Target="https://globalchange.mit.edu/" TargetMode="External"/><Relationship Id="rId15" Type="http://schemas.openxmlformats.org/officeDocument/2006/relationships/hyperlink" Target="https://globalchange.mit.edu/about-us/personnel/reilly-john" TargetMode="External"/><Relationship Id="rId10" Type="http://schemas.openxmlformats.org/officeDocument/2006/relationships/hyperlink" Target="https://www.bp.com/en/global/corporate/energy-economics/spencer-dale-group-chief-economist.html" TargetMode="External"/><Relationship Id="rId4" Type="http://schemas.openxmlformats.org/officeDocument/2006/relationships/hyperlink" Target="https://globalchange.mit.edu/" TargetMode="External"/><Relationship Id="rId9" Type="http://schemas.openxmlformats.org/officeDocument/2006/relationships/hyperlink" Target="https://uk.linkedin.com/in/alan-smith-365b7417" TargetMode="External"/><Relationship Id="rId14" Type="http://schemas.openxmlformats.org/officeDocument/2006/relationships/hyperlink" Target="https://globalchange.mit.edu/about-us/personnel/parsons-jo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2021-07-27T03:35:00Z</dcterms:created>
  <dcterms:modified xsi:type="dcterms:W3CDTF">2021-07-27T03:46:00Z</dcterms:modified>
</cp:coreProperties>
</file>