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EF2" w:rsidRPr="00114EF2" w:rsidRDefault="00114EF2" w:rsidP="00114EF2">
      <w:pPr>
        <w:jc w:val="both"/>
        <w:rPr>
          <w:rFonts w:ascii="Arial" w:hAnsi="Arial" w:cs="Arial"/>
          <w:b/>
          <w:bCs/>
        </w:rPr>
      </w:pPr>
      <w:r w:rsidRPr="00114EF2">
        <w:rPr>
          <w:rFonts w:ascii="Arial" w:hAnsi="Arial" w:cs="Arial"/>
          <w:b/>
          <w:bCs/>
        </w:rPr>
        <w:t>SASB apoya la acción de la SEC para promover la divulgación de ESG útil para la toma de decisiones</w:t>
      </w:r>
    </w:p>
    <w:p w:rsidR="006F2C15" w:rsidRDefault="006F2C15" w:rsidP="00114EF2">
      <w:pPr>
        <w:jc w:val="both"/>
        <w:rPr>
          <w:rFonts w:ascii="Arial" w:hAnsi="Arial" w:cs="Arial"/>
        </w:rPr>
      </w:pPr>
    </w:p>
    <w:p w:rsidR="00ED7650" w:rsidRPr="00114EF2" w:rsidRDefault="00114EF2" w:rsidP="00114EF2">
      <w:pPr>
        <w:jc w:val="both"/>
        <w:rPr>
          <w:rFonts w:ascii="Arial" w:hAnsi="Arial" w:cs="Arial"/>
        </w:rPr>
      </w:pPr>
      <w:r w:rsidRPr="00114EF2">
        <w:rPr>
          <w:rFonts w:ascii="Arial" w:hAnsi="Arial" w:cs="Arial"/>
        </w:rPr>
        <w:t>20 de mayo de 2021</w:t>
      </w:r>
    </w:p>
    <w:p w:rsidR="006F2C15" w:rsidRDefault="006F2C15" w:rsidP="00114EF2">
      <w:pPr>
        <w:jc w:val="both"/>
        <w:rPr>
          <w:rFonts w:ascii="Arial" w:hAnsi="Arial" w:cs="Arial"/>
          <w:i/>
          <w:iCs/>
        </w:rPr>
      </w:pPr>
    </w:p>
    <w:p w:rsidR="00114EF2" w:rsidRPr="00114EF2" w:rsidRDefault="00114EF2" w:rsidP="00114EF2">
      <w:pPr>
        <w:jc w:val="both"/>
        <w:rPr>
          <w:rFonts w:ascii="Arial" w:hAnsi="Arial" w:cs="Arial"/>
        </w:rPr>
      </w:pPr>
      <w:r w:rsidRPr="00114EF2">
        <w:rPr>
          <w:rFonts w:ascii="Arial" w:hAnsi="Arial" w:cs="Arial"/>
          <w:i/>
          <w:iCs/>
        </w:rPr>
        <w:t xml:space="preserve">Por Janine </w:t>
      </w:r>
      <w:proofErr w:type="spellStart"/>
      <w:r w:rsidRPr="00114EF2">
        <w:rPr>
          <w:rFonts w:ascii="Arial" w:hAnsi="Arial" w:cs="Arial"/>
          <w:i/>
          <w:iCs/>
        </w:rPr>
        <w:t>Guillot</w:t>
      </w:r>
      <w:proofErr w:type="spellEnd"/>
    </w:p>
    <w:p w:rsidR="006F2C15" w:rsidRDefault="006F2C15" w:rsidP="00114EF2">
      <w:pPr>
        <w:jc w:val="both"/>
        <w:rPr>
          <w:rFonts w:ascii="Arial" w:hAnsi="Arial" w:cs="Arial"/>
        </w:rPr>
      </w:pPr>
    </w:p>
    <w:p w:rsidR="00114EF2" w:rsidRDefault="00114EF2" w:rsidP="00114EF2">
      <w:pPr>
        <w:jc w:val="both"/>
        <w:rPr>
          <w:rFonts w:ascii="Arial" w:hAnsi="Arial" w:cs="Arial"/>
        </w:rPr>
      </w:pPr>
      <w:r w:rsidRPr="00114EF2">
        <w:rPr>
          <w:rFonts w:ascii="Arial" w:hAnsi="Arial" w:cs="Arial"/>
        </w:rPr>
        <w:t>Esta semana, SASB presentó </w:t>
      </w:r>
      <w:hyperlink r:id="rId5" w:history="1">
        <w:r w:rsidRPr="00114EF2">
          <w:rPr>
            <w:rStyle w:val="Hipervnculo"/>
            <w:rFonts w:ascii="Arial" w:hAnsi="Arial" w:cs="Arial"/>
          </w:rPr>
          <w:t>nuestra respuesta</w:t>
        </w:r>
      </w:hyperlink>
      <w:r w:rsidRPr="00114EF2">
        <w:rPr>
          <w:rFonts w:ascii="Arial" w:hAnsi="Arial" w:cs="Arial"/>
        </w:rPr>
        <w:t> a la solicitud de información de la Comisión de Bolsa y Valores de EE. UU. Sobre la divulgación del cambio climático. La </w:t>
      </w:r>
      <w:hyperlink r:id="rId6" w:history="1">
        <w:r w:rsidRPr="00114EF2">
          <w:rPr>
            <w:rStyle w:val="Hipervnculo"/>
            <w:rFonts w:ascii="Arial" w:hAnsi="Arial" w:cs="Arial"/>
          </w:rPr>
          <w:t>consulta de la SEC</w:t>
        </w:r>
      </w:hyperlink>
      <w:r w:rsidRPr="00114EF2">
        <w:rPr>
          <w:rFonts w:ascii="Arial" w:hAnsi="Arial" w:cs="Arial"/>
        </w:rPr>
        <w:t> indica un compromiso a considerar seriamente si y cómo regulación podría abordar con mayor eficacia las necesidades de información de 21 </w:t>
      </w:r>
      <w:proofErr w:type="spellStart"/>
      <w:r w:rsidRPr="00114EF2">
        <w:rPr>
          <w:rFonts w:ascii="Arial" w:hAnsi="Arial" w:cs="Arial"/>
          <w:vertAlign w:val="superscript"/>
        </w:rPr>
        <w:t>st</w:t>
      </w:r>
      <w:proofErr w:type="spellEnd"/>
      <w:r w:rsidRPr="00114EF2">
        <w:rPr>
          <w:rFonts w:ascii="Arial" w:hAnsi="Arial" w:cs="Arial"/>
        </w:rPr>
        <w:t> inversores siglo. SASB apoya el mayor interés e iniciativa de la SEC en el área de divulgación financiera relacionada con la sostenibilidad y cree que los estándares de divulgación de sostenibilidad generalmente aceptados pueden desempeñar un papel clave para abordar esta prioridad emergente.</w:t>
      </w:r>
    </w:p>
    <w:p w:rsidR="006F2C15" w:rsidRPr="006F2C15" w:rsidRDefault="006F2C15" w:rsidP="006F2C15">
      <w:pPr>
        <w:jc w:val="both"/>
        <w:rPr>
          <w:rFonts w:ascii="Arial" w:hAnsi="Arial" w:cs="Arial"/>
        </w:rPr>
      </w:pPr>
      <w:r w:rsidRPr="006F2C15">
        <w:rPr>
          <w:rFonts w:ascii="Arial" w:hAnsi="Arial" w:cs="Arial"/>
        </w:rPr>
        <w:t>SASB se estableció, y nuestros Estándares se desarrollaron posteriormente, para abordar una necesidad clara del mercado de información de sustentabilidad consistente, comparable y confiable que sea material para la creación de valor empresarial. Esperamos que los esfuerzos de la SEC se lleven a cabo de una manera que satisfaga esta necesidad del mercado. Para asegurarnos de que nuestros puntos de vista reflejen adecuadamente los de los participantes del mercado, nos hemos comprometido con empresas, inversores, asociaciones comerciales y otros expertos para absorber una variedad de perspectivas sobre la acción de la SEC e identificar áreas clave de acuerdo general.</w:t>
      </w:r>
    </w:p>
    <w:p w:rsidR="006F2C15" w:rsidRDefault="006F2C15" w:rsidP="006F2C15">
      <w:pPr>
        <w:jc w:val="both"/>
        <w:rPr>
          <w:rFonts w:ascii="Arial" w:hAnsi="Arial" w:cs="Arial"/>
        </w:rPr>
      </w:pPr>
      <w:r w:rsidRPr="006F2C15">
        <w:rPr>
          <w:rFonts w:ascii="Arial" w:hAnsi="Arial" w:cs="Arial"/>
        </w:rPr>
        <w:t>A través de este enfoque, que en muchos sentidos reflejó los esfuerzos de construcción de consenso que impulsan nuestro proceso de establecimiento de estándares, creemos que hemos desarrollado un conjunto de recomendaciones que pueden (1) brindar a los inversionistas información útil para tomar decisiones, (2) reducir la complejidad de la divulgación para las empresas, y (3) ayudar a establecer una línea de base de divulgación de sostenibilidad global que permitiría un sistema de “bloques de construcción” para equilibrar la coherencia internacional con la especificidad jurisdiccional.</w:t>
      </w:r>
    </w:p>
    <w:p w:rsidR="006F2C15" w:rsidRPr="006F2C15" w:rsidRDefault="006F2C15" w:rsidP="006F2C15">
      <w:pPr>
        <w:jc w:val="both"/>
        <w:rPr>
          <w:rFonts w:ascii="Arial" w:hAnsi="Arial" w:cs="Arial"/>
        </w:rPr>
      </w:pPr>
      <w:r w:rsidRPr="006F2C15">
        <w:rPr>
          <w:rFonts w:ascii="Arial" w:hAnsi="Arial" w:cs="Arial"/>
        </w:rPr>
        <w:t>En respuesta a la solicitud de comentarios de la SEC, SASB:</w:t>
      </w:r>
    </w:p>
    <w:p w:rsidR="006F2C15" w:rsidRPr="006F2C15" w:rsidRDefault="006F2C15" w:rsidP="006F2C15">
      <w:pPr>
        <w:numPr>
          <w:ilvl w:val="0"/>
          <w:numId w:val="1"/>
        </w:numPr>
        <w:jc w:val="both"/>
        <w:rPr>
          <w:rFonts w:ascii="Arial" w:hAnsi="Arial" w:cs="Arial"/>
        </w:rPr>
      </w:pPr>
      <w:r w:rsidRPr="006F2C15">
        <w:rPr>
          <w:rFonts w:ascii="Arial" w:hAnsi="Arial" w:cs="Arial"/>
        </w:rPr>
        <w:t>Afirma que la información sobre sostenibilidad es una infraestructura de mercado esencial para tomar decisiones informadas sobre inversiones y votaciones;</w:t>
      </w:r>
    </w:p>
    <w:p w:rsidR="006F2C15" w:rsidRPr="006F2C15" w:rsidRDefault="006F2C15" w:rsidP="006F2C15">
      <w:pPr>
        <w:numPr>
          <w:ilvl w:val="0"/>
          <w:numId w:val="1"/>
        </w:numPr>
        <w:jc w:val="both"/>
        <w:rPr>
          <w:rFonts w:ascii="Arial" w:hAnsi="Arial" w:cs="Arial"/>
        </w:rPr>
      </w:pPr>
      <w:r w:rsidRPr="006F2C15">
        <w:rPr>
          <w:rFonts w:ascii="Arial" w:hAnsi="Arial" w:cs="Arial"/>
        </w:rPr>
        <w:t>Alienta a la SEC a considerar la </w:t>
      </w:r>
      <w:hyperlink r:id="rId7" w:history="1">
        <w:r w:rsidRPr="006F2C15">
          <w:rPr>
            <w:rStyle w:val="Hipervnculo"/>
            <w:rFonts w:ascii="Arial" w:hAnsi="Arial" w:cs="Arial"/>
          </w:rPr>
          <w:t>gama completa de factores de sostenibilidad</w:t>
        </w:r>
      </w:hyperlink>
      <w:r w:rsidRPr="006F2C15">
        <w:rPr>
          <w:rFonts w:ascii="Arial" w:hAnsi="Arial" w:cs="Arial"/>
        </w:rPr>
        <w:t> que los inversores consideran en sus evaluaciones del valor empresarial, además del cambio climático;</w:t>
      </w:r>
    </w:p>
    <w:p w:rsidR="006F2C15" w:rsidRPr="006F2C15" w:rsidRDefault="006F2C15" w:rsidP="006F2C15">
      <w:pPr>
        <w:numPr>
          <w:ilvl w:val="0"/>
          <w:numId w:val="1"/>
        </w:numPr>
        <w:jc w:val="both"/>
        <w:rPr>
          <w:rFonts w:ascii="Arial" w:hAnsi="Arial" w:cs="Arial"/>
        </w:rPr>
      </w:pPr>
      <w:r w:rsidRPr="006F2C15">
        <w:rPr>
          <w:rFonts w:ascii="Arial" w:hAnsi="Arial" w:cs="Arial"/>
        </w:rPr>
        <w:t>Hace hincapié en el valor de la divulgación específica de la industria para la toma de decisiones de inversión, incluso con respecto al </w:t>
      </w:r>
      <w:hyperlink r:id="rId8" w:history="1">
        <w:r w:rsidRPr="006F2C15">
          <w:rPr>
            <w:rStyle w:val="Hipervnculo"/>
            <w:rFonts w:ascii="Arial" w:hAnsi="Arial" w:cs="Arial"/>
          </w:rPr>
          <w:t>riesgo climático</w:t>
        </w:r>
      </w:hyperlink>
      <w:r w:rsidRPr="006F2C15">
        <w:rPr>
          <w:rFonts w:ascii="Arial" w:hAnsi="Arial" w:cs="Arial"/>
        </w:rPr>
        <w:t> ;</w:t>
      </w:r>
    </w:p>
    <w:p w:rsidR="006F2C15" w:rsidRPr="006F2C15" w:rsidRDefault="006F2C15" w:rsidP="006F2C15">
      <w:pPr>
        <w:numPr>
          <w:ilvl w:val="0"/>
          <w:numId w:val="1"/>
        </w:numPr>
        <w:jc w:val="both"/>
        <w:rPr>
          <w:rFonts w:ascii="Arial" w:hAnsi="Arial" w:cs="Arial"/>
        </w:rPr>
      </w:pPr>
      <w:r w:rsidRPr="006F2C15">
        <w:rPr>
          <w:rFonts w:ascii="Arial" w:hAnsi="Arial" w:cs="Arial"/>
        </w:rPr>
        <w:lastRenderedPageBreak/>
        <w:t>Destaca la importancia de una gobernanza sólida y un </w:t>
      </w:r>
      <w:hyperlink r:id="rId9" w:history="1">
        <w:r w:rsidRPr="006F2C15">
          <w:rPr>
            <w:rStyle w:val="Hipervnculo"/>
            <w:rFonts w:ascii="Arial" w:hAnsi="Arial" w:cs="Arial"/>
          </w:rPr>
          <w:t>debido proceso</w:t>
        </w:r>
      </w:hyperlink>
      <w:r w:rsidRPr="006F2C15">
        <w:rPr>
          <w:rFonts w:ascii="Arial" w:hAnsi="Arial" w:cs="Arial"/>
        </w:rPr>
        <w:t> sólido y transparente   para garantizar que las normas de sostenibilidad puedan evolucionar junto con el mercado;</w:t>
      </w:r>
    </w:p>
    <w:p w:rsidR="006F2C15" w:rsidRPr="006F2C15" w:rsidRDefault="006F2C15" w:rsidP="006F2C15">
      <w:pPr>
        <w:numPr>
          <w:ilvl w:val="0"/>
          <w:numId w:val="1"/>
        </w:numPr>
        <w:jc w:val="both"/>
        <w:rPr>
          <w:rFonts w:ascii="Arial" w:hAnsi="Arial" w:cs="Arial"/>
        </w:rPr>
      </w:pPr>
      <w:r w:rsidRPr="006F2C15">
        <w:rPr>
          <w:rFonts w:ascii="Arial" w:hAnsi="Arial" w:cs="Arial"/>
        </w:rPr>
        <w:t>Describe el papel de los Estándares SASB en la provisión de divulgación centrada en el inversor sobre los problemas de sostenibilidad que probablemente sean </w:t>
      </w:r>
      <w:hyperlink r:id="rId10" w:history="1">
        <w:r w:rsidRPr="006F2C15">
          <w:rPr>
            <w:rStyle w:val="Hipervnculo"/>
            <w:rFonts w:ascii="Arial" w:hAnsi="Arial" w:cs="Arial"/>
          </w:rPr>
          <w:t>financieramente importantes</w:t>
        </w:r>
      </w:hyperlink>
      <w:r w:rsidRPr="006F2C15">
        <w:rPr>
          <w:rFonts w:ascii="Arial" w:hAnsi="Arial" w:cs="Arial"/>
        </w:rPr>
        <w:t> para la empresa típica de una industria;</w:t>
      </w:r>
    </w:p>
    <w:p w:rsidR="006F2C15" w:rsidRPr="006F2C15" w:rsidRDefault="006F2C15" w:rsidP="006F2C15">
      <w:pPr>
        <w:numPr>
          <w:ilvl w:val="0"/>
          <w:numId w:val="1"/>
        </w:numPr>
        <w:jc w:val="both"/>
        <w:rPr>
          <w:rFonts w:ascii="Arial" w:hAnsi="Arial" w:cs="Arial"/>
        </w:rPr>
      </w:pPr>
      <w:r w:rsidRPr="006F2C15">
        <w:rPr>
          <w:rFonts w:ascii="Arial" w:hAnsi="Arial" w:cs="Arial"/>
        </w:rPr>
        <w:t>Defiende la necesidad de aprovechar los estándares y marcos existentes (incluidos los Estándares SASB y las recomendaciones de TCFD) para establecer una estructura común para la divulgación financiera relacionada con la sostenibilidad que incluya una combinación adecuada de información cualitativa y cuantitativa, así como de industrias cruzadas y específicas de la industria. métrica;</w:t>
      </w:r>
    </w:p>
    <w:p w:rsidR="006F2C15" w:rsidRPr="006F2C15" w:rsidRDefault="006F2C15" w:rsidP="006F2C15">
      <w:pPr>
        <w:numPr>
          <w:ilvl w:val="0"/>
          <w:numId w:val="1"/>
        </w:numPr>
        <w:jc w:val="both"/>
        <w:rPr>
          <w:rFonts w:ascii="Arial" w:hAnsi="Arial" w:cs="Arial"/>
        </w:rPr>
      </w:pPr>
      <w:r w:rsidRPr="006F2C15">
        <w:rPr>
          <w:rFonts w:ascii="Arial" w:hAnsi="Arial" w:cs="Arial"/>
        </w:rPr>
        <w:t>Sugiere que la SEC fomente el uso de estándares de terceros que cumplan con los criterios especificados para divulgaciones específicas de la industria (por ejemplo, estándares SASB).</w:t>
      </w:r>
    </w:p>
    <w:p w:rsidR="006F2C15" w:rsidRPr="006F2C15" w:rsidRDefault="006F2C15" w:rsidP="006F2C15">
      <w:pPr>
        <w:numPr>
          <w:ilvl w:val="0"/>
          <w:numId w:val="1"/>
        </w:numPr>
        <w:jc w:val="both"/>
        <w:rPr>
          <w:rFonts w:ascii="Arial" w:hAnsi="Arial" w:cs="Arial"/>
        </w:rPr>
      </w:pPr>
      <w:r w:rsidRPr="006F2C15">
        <w:rPr>
          <w:rFonts w:ascii="Arial" w:hAnsi="Arial" w:cs="Arial"/>
        </w:rPr>
        <w:t>Alienta a la SEC a participar en los esfuerzos de la Fundación IFRS para garantizar la coherencia internacional.</w:t>
      </w:r>
    </w:p>
    <w:p w:rsidR="006F2C15" w:rsidRDefault="006F2C15" w:rsidP="006F2C15">
      <w:pPr>
        <w:jc w:val="both"/>
        <w:rPr>
          <w:rFonts w:ascii="Arial" w:hAnsi="Arial" w:cs="Arial"/>
        </w:rPr>
      </w:pPr>
      <w:r w:rsidRPr="006F2C15">
        <w:rPr>
          <w:rFonts w:ascii="Arial" w:hAnsi="Arial" w:cs="Arial"/>
        </w:rPr>
        <w:t>Con estas recomendaciones, creemos que la SEC puede desarrollar un enfoque para la divulgación financiera relacionada con la sostenibilidad que sirva efectivamente a su misión tripartita: proteger a los inversores; mantener mercados justos, ordenados y eficientes; y facilitar la formación de capital. Este resultado abordaría una necesidad clara y urgente del mercado, proporcionando a los inversores información útil para la toma de decisiones de una manera rentable para las empresas.</w:t>
      </w:r>
    </w:p>
    <w:p w:rsidR="006F2C15" w:rsidRPr="006F2C15" w:rsidRDefault="006F2C15" w:rsidP="006F2C15">
      <w:pPr>
        <w:jc w:val="both"/>
        <w:rPr>
          <w:rFonts w:ascii="Arial" w:hAnsi="Arial" w:cs="Arial"/>
        </w:rPr>
      </w:pPr>
      <w:r w:rsidRPr="006F2C15">
        <w:rPr>
          <w:rFonts w:ascii="Arial" w:hAnsi="Arial" w:cs="Arial"/>
        </w:rPr>
        <w:t>Con estas recomendaciones, creemos que la SEC puede desarrollar un enfoque para la divulgación financiera relacionada con la sostenibilidad que sirva efectivamente a su misión tripartita: proteger a los inversores; mantener mercados justos, ordenados y eficientes; y facilitar la formación de capital. Este resultado abordaría una necesidad clara y urgente del mercado, proporcionando a los inversores información útil para la toma de decisiones de una manera rentable para las empresas.</w:t>
      </w:r>
    </w:p>
    <w:p w:rsidR="006F2C15" w:rsidRPr="006F2C15" w:rsidRDefault="006F2C15" w:rsidP="006F2C15">
      <w:pPr>
        <w:jc w:val="both"/>
        <w:rPr>
          <w:rFonts w:ascii="Arial" w:hAnsi="Arial" w:cs="Arial"/>
        </w:rPr>
      </w:pPr>
      <w:r w:rsidRPr="006F2C15">
        <w:rPr>
          <w:rFonts w:ascii="Arial" w:hAnsi="Arial" w:cs="Arial"/>
        </w:rPr>
        <w:t>Le recomendamos que lea </w:t>
      </w:r>
      <w:hyperlink r:id="rId11" w:history="1">
        <w:r w:rsidRPr="006F2C15">
          <w:rPr>
            <w:rStyle w:val="Hipervnculo"/>
            <w:rFonts w:ascii="Arial" w:hAnsi="Arial" w:cs="Arial"/>
          </w:rPr>
          <w:t>nuestra respuesta completa</w:t>
        </w:r>
      </w:hyperlink>
      <w:r w:rsidRPr="006F2C15">
        <w:rPr>
          <w:rFonts w:ascii="Arial" w:hAnsi="Arial" w:cs="Arial"/>
        </w:rPr>
        <w:t> y agradecemos </w:t>
      </w:r>
      <w:hyperlink r:id="rId12" w:history="1">
        <w:r w:rsidRPr="006F2C15">
          <w:rPr>
            <w:rStyle w:val="Hipervnculo"/>
            <w:rFonts w:ascii="Arial" w:hAnsi="Arial" w:cs="Arial"/>
          </w:rPr>
          <w:t>sus comentarios</w:t>
        </w:r>
      </w:hyperlink>
      <w:r w:rsidRPr="006F2C15">
        <w:rPr>
          <w:rFonts w:ascii="Arial" w:hAnsi="Arial" w:cs="Arial"/>
        </w:rPr>
        <w:t> . La </w:t>
      </w:r>
      <w:hyperlink r:id="rId13" w:history="1">
        <w:r w:rsidRPr="006F2C15">
          <w:rPr>
            <w:rStyle w:val="Hipervnculo"/>
            <w:rFonts w:ascii="Arial" w:hAnsi="Arial" w:cs="Arial"/>
          </w:rPr>
          <w:t>consulta de</w:t>
        </w:r>
      </w:hyperlink>
      <w:r w:rsidRPr="006F2C15">
        <w:rPr>
          <w:rFonts w:ascii="Arial" w:hAnsi="Arial" w:cs="Arial"/>
        </w:rPr>
        <w:t> la SEC </w:t>
      </w:r>
      <w:hyperlink r:id="rId14" w:history="1">
        <w:r w:rsidRPr="006F2C15">
          <w:rPr>
            <w:rStyle w:val="Hipervnculo"/>
            <w:rFonts w:ascii="Arial" w:hAnsi="Arial" w:cs="Arial"/>
          </w:rPr>
          <w:t>permanece abierta</w:t>
        </w:r>
      </w:hyperlink>
      <w:r w:rsidRPr="006F2C15">
        <w:rPr>
          <w:rFonts w:ascii="Arial" w:hAnsi="Arial" w:cs="Arial"/>
        </w:rPr>
        <w:t> hasta el 13 de junio. Creemos que esta consulta representa una oportunidad significativa para lograr la claridad que tanto los inversores como las empresas han buscado durante mucho tiempo en el ecosistema de divulgación de sostenibilidad. Lo alentamos a usted y a su organización a responder para asegurarse de que se consideren sus propios puntos de vista, porque   la acción de la SEC en esta área solo puede ser tan efectiva como se informa.</w:t>
      </w:r>
    </w:p>
    <w:p w:rsidR="006F2C15" w:rsidRDefault="006F2C15" w:rsidP="006F2C15">
      <w:pPr>
        <w:jc w:val="both"/>
        <w:rPr>
          <w:rFonts w:ascii="Arial" w:hAnsi="Arial" w:cs="Arial"/>
          <w:b/>
          <w:bCs/>
          <w:i/>
          <w:iCs/>
        </w:rPr>
      </w:pPr>
    </w:p>
    <w:p w:rsidR="006F2C15" w:rsidRPr="006F2C15" w:rsidRDefault="006F2C15" w:rsidP="006F2C15">
      <w:pPr>
        <w:jc w:val="both"/>
        <w:rPr>
          <w:rFonts w:ascii="Arial" w:hAnsi="Arial" w:cs="Arial"/>
        </w:rPr>
      </w:pPr>
      <w:bookmarkStart w:id="0" w:name="_GoBack"/>
      <w:bookmarkEnd w:id="0"/>
      <w:r w:rsidRPr="006F2C15">
        <w:rPr>
          <w:rFonts w:ascii="Arial" w:hAnsi="Arial" w:cs="Arial"/>
          <w:b/>
          <w:bCs/>
          <w:i/>
          <w:iCs/>
        </w:rPr>
        <w:t xml:space="preserve">Janine </w:t>
      </w:r>
      <w:proofErr w:type="spellStart"/>
      <w:r w:rsidRPr="006F2C15">
        <w:rPr>
          <w:rFonts w:ascii="Arial" w:hAnsi="Arial" w:cs="Arial"/>
          <w:b/>
          <w:bCs/>
          <w:i/>
          <w:iCs/>
        </w:rPr>
        <w:t>Guillot</w:t>
      </w:r>
      <w:proofErr w:type="spellEnd"/>
      <w:r w:rsidRPr="006F2C15">
        <w:rPr>
          <w:rFonts w:ascii="Arial" w:hAnsi="Arial" w:cs="Arial"/>
          <w:b/>
          <w:bCs/>
          <w:i/>
          <w:iCs/>
        </w:rPr>
        <w:t xml:space="preserve"> es directora ejecutiva de SASB.</w:t>
      </w:r>
    </w:p>
    <w:p w:rsidR="006F2C15" w:rsidRPr="006F2C15" w:rsidRDefault="006F2C15" w:rsidP="006F2C15">
      <w:pPr>
        <w:jc w:val="both"/>
        <w:rPr>
          <w:rFonts w:ascii="Arial" w:hAnsi="Arial" w:cs="Arial"/>
        </w:rPr>
      </w:pPr>
    </w:p>
    <w:p w:rsidR="006F2C15" w:rsidRPr="006F2C15" w:rsidRDefault="006F2C15" w:rsidP="006F2C15">
      <w:pPr>
        <w:jc w:val="both"/>
        <w:rPr>
          <w:rFonts w:ascii="Arial" w:hAnsi="Arial" w:cs="Arial"/>
        </w:rPr>
      </w:pPr>
    </w:p>
    <w:p w:rsidR="006F2C15" w:rsidRPr="00114EF2" w:rsidRDefault="006F2C15" w:rsidP="00114EF2">
      <w:pPr>
        <w:jc w:val="both"/>
        <w:rPr>
          <w:rFonts w:ascii="Arial" w:hAnsi="Arial" w:cs="Arial"/>
        </w:rPr>
      </w:pPr>
    </w:p>
    <w:p w:rsidR="00114EF2" w:rsidRPr="00114EF2" w:rsidRDefault="00114EF2" w:rsidP="00114EF2">
      <w:pPr>
        <w:jc w:val="both"/>
        <w:rPr>
          <w:rFonts w:ascii="Arial" w:hAnsi="Arial" w:cs="Arial"/>
        </w:rPr>
      </w:pPr>
    </w:p>
    <w:sectPr w:rsidR="00114EF2" w:rsidRPr="00114E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354714"/>
    <w:multiLevelType w:val="multilevel"/>
    <w:tmpl w:val="0AC6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F2"/>
    <w:rsid w:val="000F4B68"/>
    <w:rsid w:val="00114EF2"/>
    <w:rsid w:val="001739B4"/>
    <w:rsid w:val="003B63A5"/>
    <w:rsid w:val="006F2C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052CD-2C31-421B-BC50-7BA900AD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14E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83004">
      <w:bodyDiv w:val="1"/>
      <w:marLeft w:val="0"/>
      <w:marRight w:val="0"/>
      <w:marTop w:val="0"/>
      <w:marBottom w:val="0"/>
      <w:divBdr>
        <w:top w:val="none" w:sz="0" w:space="0" w:color="auto"/>
        <w:left w:val="none" w:sz="0" w:space="0" w:color="auto"/>
        <w:bottom w:val="none" w:sz="0" w:space="0" w:color="auto"/>
        <w:right w:val="none" w:sz="0" w:space="0" w:color="auto"/>
      </w:divBdr>
    </w:div>
    <w:div w:id="963148986">
      <w:bodyDiv w:val="1"/>
      <w:marLeft w:val="0"/>
      <w:marRight w:val="0"/>
      <w:marTop w:val="0"/>
      <w:marBottom w:val="0"/>
      <w:divBdr>
        <w:top w:val="none" w:sz="0" w:space="0" w:color="auto"/>
        <w:left w:val="none" w:sz="0" w:space="0" w:color="auto"/>
        <w:bottom w:val="none" w:sz="0" w:space="0" w:color="auto"/>
        <w:right w:val="none" w:sz="0" w:space="0" w:color="auto"/>
      </w:divBdr>
    </w:div>
    <w:div w:id="1132557084">
      <w:bodyDiv w:val="1"/>
      <w:marLeft w:val="0"/>
      <w:marRight w:val="0"/>
      <w:marTop w:val="0"/>
      <w:marBottom w:val="0"/>
      <w:divBdr>
        <w:top w:val="none" w:sz="0" w:space="0" w:color="auto"/>
        <w:left w:val="none" w:sz="0" w:space="0" w:color="auto"/>
        <w:bottom w:val="none" w:sz="0" w:space="0" w:color="auto"/>
        <w:right w:val="none" w:sz="0" w:space="0" w:color="auto"/>
      </w:divBdr>
    </w:div>
    <w:div w:id="1169905807">
      <w:bodyDiv w:val="1"/>
      <w:marLeft w:val="0"/>
      <w:marRight w:val="0"/>
      <w:marTop w:val="0"/>
      <w:marBottom w:val="0"/>
      <w:divBdr>
        <w:top w:val="none" w:sz="0" w:space="0" w:color="auto"/>
        <w:left w:val="none" w:sz="0" w:space="0" w:color="auto"/>
        <w:bottom w:val="none" w:sz="0" w:space="0" w:color="auto"/>
        <w:right w:val="none" w:sz="0" w:space="0" w:color="auto"/>
      </w:divBdr>
    </w:div>
    <w:div w:id="185965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sb.org/knowledge-hub/climate-risk-technical-bulletin/" TargetMode="External"/><Relationship Id="rId13" Type="http://schemas.openxmlformats.org/officeDocument/2006/relationships/hyperlink" Target="https://www.sec.gov/news/public-statement/lee-climate-change-disclosures" TargetMode="External"/><Relationship Id="rId3" Type="http://schemas.openxmlformats.org/officeDocument/2006/relationships/settings" Target="settings.xml"/><Relationship Id="rId7" Type="http://schemas.openxmlformats.org/officeDocument/2006/relationships/hyperlink" Target="http://materiality.sasb.org/" TargetMode="External"/><Relationship Id="rId12" Type="http://schemas.openxmlformats.org/officeDocument/2006/relationships/hyperlink" Target="https://help.sasb.org/hc/en-us/requests/ne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ec.gov/news/public-statement/lee-climate-change-disclosures" TargetMode="External"/><Relationship Id="rId11" Type="http://schemas.openxmlformats.org/officeDocument/2006/relationships/hyperlink" Target="https://www.sasb.org/wp-content/uploads/2021/05/SASB_SEC_Climate_Letter_2021-05-19_FINAL.pdf" TargetMode="External"/><Relationship Id="rId5" Type="http://schemas.openxmlformats.org/officeDocument/2006/relationships/hyperlink" Target="https://www.sasb.org/wp-content/uploads/2021/05/SASB_SEC_Climate_Letter_2021-05-19_FINAL.pdf" TargetMode="External"/><Relationship Id="rId15" Type="http://schemas.openxmlformats.org/officeDocument/2006/relationships/fontTable" Target="fontTable.xml"/><Relationship Id="rId10" Type="http://schemas.openxmlformats.org/officeDocument/2006/relationships/hyperlink" Target="https://www.sasb.org/blog/materiality-the-word-that-launched-a-thousand-debates/" TargetMode="External"/><Relationship Id="rId4" Type="http://schemas.openxmlformats.org/officeDocument/2006/relationships/webSettings" Target="webSettings.xml"/><Relationship Id="rId9" Type="http://schemas.openxmlformats.org/officeDocument/2006/relationships/hyperlink" Target="https://www.sasb.org/standards/process/" TargetMode="External"/><Relationship Id="rId14" Type="http://schemas.openxmlformats.org/officeDocument/2006/relationships/hyperlink" Target="https://www.sec.gov/news/public-statement/lee-climate-change-disclosu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936</Words>
  <Characters>5152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3</cp:revision>
  <dcterms:created xsi:type="dcterms:W3CDTF">2021-09-21T23:30:00Z</dcterms:created>
  <dcterms:modified xsi:type="dcterms:W3CDTF">2021-09-21T23:35:00Z</dcterms:modified>
</cp:coreProperties>
</file>