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6C" w:rsidRPr="00690D6C" w:rsidRDefault="00690D6C" w:rsidP="00690D6C">
      <w:pPr>
        <w:jc w:val="both"/>
        <w:rPr>
          <w:rFonts w:ascii="Arial" w:hAnsi="Arial" w:cs="Arial"/>
          <w:b/>
          <w:bCs/>
        </w:rPr>
      </w:pPr>
      <w:r w:rsidRPr="00690D6C">
        <w:rPr>
          <w:rFonts w:ascii="Arial" w:hAnsi="Arial" w:cs="Arial"/>
          <w:b/>
          <w:bCs/>
        </w:rPr>
        <w:t xml:space="preserve">Sabine </w:t>
      </w:r>
      <w:proofErr w:type="spellStart"/>
      <w:r w:rsidRPr="00690D6C">
        <w:rPr>
          <w:rFonts w:ascii="Arial" w:hAnsi="Arial" w:cs="Arial"/>
          <w:b/>
          <w:bCs/>
        </w:rPr>
        <w:t>Mauderer</w:t>
      </w:r>
      <w:proofErr w:type="spellEnd"/>
      <w:r w:rsidRPr="00690D6C">
        <w:rPr>
          <w:rFonts w:ascii="Arial" w:hAnsi="Arial" w:cs="Arial"/>
          <w:b/>
          <w:bCs/>
        </w:rPr>
        <w:t>: Ampliación de las finanzas verdes: el papel de los bancos centrales</w:t>
      </w:r>
    </w:p>
    <w:p w:rsidR="00690D6C" w:rsidRDefault="00690D6C" w:rsidP="00690D6C">
      <w:pPr>
        <w:jc w:val="both"/>
        <w:rPr>
          <w:rFonts w:ascii="Arial" w:hAnsi="Arial" w:cs="Arial"/>
        </w:rPr>
      </w:pPr>
    </w:p>
    <w:p w:rsidR="00690D6C" w:rsidRPr="00690D6C" w:rsidRDefault="00690D6C" w:rsidP="00690D6C">
      <w:pPr>
        <w:jc w:val="both"/>
        <w:rPr>
          <w:rFonts w:ascii="Arial" w:hAnsi="Arial" w:cs="Arial"/>
        </w:rPr>
      </w:pPr>
      <w:r w:rsidRPr="00690D6C">
        <w:rPr>
          <w:rFonts w:ascii="Arial" w:hAnsi="Arial" w:cs="Arial"/>
        </w:rPr>
        <w:t>Discurso de la Dra. </w:t>
      </w:r>
      <w:hyperlink r:id="rId7" w:history="1">
        <w:r w:rsidRPr="00690D6C">
          <w:rPr>
            <w:rStyle w:val="Hipervnculo"/>
            <w:rFonts w:ascii="Arial" w:hAnsi="Arial" w:cs="Arial"/>
          </w:rPr>
          <w:t xml:space="preserve">Sabine </w:t>
        </w:r>
        <w:proofErr w:type="spellStart"/>
        <w:r w:rsidRPr="00690D6C">
          <w:rPr>
            <w:rStyle w:val="Hipervnculo"/>
            <w:rFonts w:ascii="Arial" w:hAnsi="Arial" w:cs="Arial"/>
          </w:rPr>
          <w:t>Mauderer</w:t>
        </w:r>
        <w:proofErr w:type="spellEnd"/>
      </w:hyperlink>
      <w:r w:rsidRPr="00690D6C">
        <w:rPr>
          <w:rFonts w:ascii="Arial" w:hAnsi="Arial" w:cs="Arial"/>
        </w:rPr>
        <w:t> , miembro de la junta ejecutiva del Deutsche Bundesbank, en la reunión general y conferencia anual de principios de bonos verdes y principios de bonos sociales de 2019, Fráncfort del Meno, 13 de junio de 2019.</w:t>
      </w:r>
    </w:p>
    <w:p w:rsidR="00690D6C" w:rsidRDefault="00690D6C" w:rsidP="00690D6C">
      <w:pPr>
        <w:jc w:val="both"/>
        <w:rPr>
          <w:rFonts w:ascii="Arial" w:hAnsi="Arial" w:cs="Arial"/>
        </w:rPr>
      </w:pPr>
    </w:p>
    <w:p w:rsidR="00690D6C" w:rsidRPr="00690D6C" w:rsidRDefault="00690D6C" w:rsidP="00690D6C">
      <w:pPr>
        <w:jc w:val="both"/>
        <w:rPr>
          <w:rFonts w:ascii="Arial" w:hAnsi="Arial" w:cs="Arial"/>
          <w:b/>
        </w:rPr>
      </w:pPr>
      <w:r w:rsidRPr="00690D6C">
        <w:rPr>
          <w:rFonts w:ascii="Arial" w:hAnsi="Arial" w:cs="Arial"/>
          <w:b/>
        </w:rPr>
        <w:t>Damas y caballeros,</w:t>
      </w:r>
    </w:p>
    <w:p w:rsidR="00690D6C" w:rsidRPr="00690D6C" w:rsidRDefault="00690D6C" w:rsidP="00690D6C">
      <w:pPr>
        <w:jc w:val="both"/>
        <w:rPr>
          <w:rFonts w:ascii="Arial" w:hAnsi="Arial" w:cs="Arial"/>
        </w:rPr>
      </w:pPr>
      <w:r w:rsidRPr="00690D6C">
        <w:rPr>
          <w:rFonts w:ascii="Arial" w:hAnsi="Arial" w:cs="Arial"/>
        </w:rPr>
        <w:t>Me complace hablar con ustedes aquí mismo, en medio del famoso </w:t>
      </w:r>
      <w:proofErr w:type="spellStart"/>
      <w:r w:rsidRPr="00690D6C">
        <w:rPr>
          <w:rFonts w:ascii="Arial" w:hAnsi="Arial" w:cs="Arial"/>
        </w:rPr>
        <w:t>Palmengarten</w:t>
      </w:r>
      <w:proofErr w:type="spellEnd"/>
      <w:r w:rsidRPr="00690D6C">
        <w:rPr>
          <w:rFonts w:ascii="Arial" w:hAnsi="Arial" w:cs="Arial"/>
        </w:rPr>
        <w:t xml:space="preserve"> de </w:t>
      </w:r>
      <w:proofErr w:type="gramStart"/>
      <w:r w:rsidRPr="00690D6C">
        <w:rPr>
          <w:rFonts w:ascii="Arial" w:hAnsi="Arial" w:cs="Arial"/>
        </w:rPr>
        <w:t>Frankfurt . </w:t>
      </w:r>
      <w:proofErr w:type="gramEnd"/>
      <w:r w:rsidRPr="00690D6C">
        <w:rPr>
          <w:rFonts w:ascii="Arial" w:hAnsi="Arial" w:cs="Arial"/>
        </w:rPr>
        <w:t>El </w:t>
      </w:r>
      <w:proofErr w:type="spellStart"/>
      <w:r w:rsidRPr="00690D6C">
        <w:rPr>
          <w:rFonts w:ascii="Arial" w:hAnsi="Arial" w:cs="Arial"/>
        </w:rPr>
        <w:t>Palmengarten</w:t>
      </w:r>
      <w:proofErr w:type="spellEnd"/>
      <w:r w:rsidRPr="00690D6C">
        <w:rPr>
          <w:rFonts w:ascii="Arial" w:hAnsi="Arial" w:cs="Arial"/>
        </w:rPr>
        <w:t> se inauguró en 1871 y, como muchos lugares de interés en Frankfurt en ese momento, fue financiado por una iniciativa cívica privada. Para recaudar los fondos necesarios, varios ciudadanos fundaron la sociedad anónima </w:t>
      </w:r>
      <w:proofErr w:type="spellStart"/>
      <w:proofErr w:type="gramStart"/>
      <w:r w:rsidRPr="00690D6C">
        <w:rPr>
          <w:rFonts w:ascii="Arial" w:hAnsi="Arial" w:cs="Arial"/>
        </w:rPr>
        <w:t>Palmengarten</w:t>
      </w:r>
      <w:proofErr w:type="spellEnd"/>
      <w:r w:rsidRPr="00690D6C">
        <w:rPr>
          <w:rFonts w:ascii="Arial" w:hAnsi="Arial" w:cs="Arial"/>
        </w:rPr>
        <w:t> . </w:t>
      </w:r>
      <w:proofErr w:type="gramEnd"/>
      <w:r w:rsidRPr="00690D6C">
        <w:rPr>
          <w:rFonts w:ascii="Arial" w:hAnsi="Arial" w:cs="Arial"/>
        </w:rPr>
        <w:t>El </w:t>
      </w:r>
      <w:proofErr w:type="spellStart"/>
      <w:r w:rsidRPr="00690D6C">
        <w:rPr>
          <w:rFonts w:ascii="Arial" w:hAnsi="Arial" w:cs="Arial"/>
        </w:rPr>
        <w:t>Palmengarten</w:t>
      </w:r>
      <w:proofErr w:type="spellEnd"/>
      <w:r w:rsidRPr="00690D6C">
        <w:rPr>
          <w:rFonts w:ascii="Arial" w:hAnsi="Arial" w:cs="Arial"/>
        </w:rPr>
        <w:t> es un ejemplo temprano de una combinación fructífera: verde y finanzas. Incluso ahora, el </w:t>
      </w:r>
      <w:proofErr w:type="spellStart"/>
      <w:r w:rsidRPr="00690D6C">
        <w:rPr>
          <w:rFonts w:ascii="Arial" w:hAnsi="Arial" w:cs="Arial"/>
        </w:rPr>
        <w:t>Palmengarten</w:t>
      </w:r>
      <w:proofErr w:type="spellEnd"/>
      <w:r w:rsidRPr="00690D6C">
        <w:rPr>
          <w:rFonts w:ascii="Arial" w:hAnsi="Arial" w:cs="Arial"/>
        </w:rPr>
        <w:t xml:space="preserve"> está cerca de las finanzas verdes: </w:t>
      </w:r>
      <w:proofErr w:type="spellStart"/>
      <w:r w:rsidRPr="00690D6C">
        <w:rPr>
          <w:rFonts w:ascii="Arial" w:hAnsi="Arial" w:cs="Arial"/>
        </w:rPr>
        <w:t>KfW</w:t>
      </w:r>
      <w:proofErr w:type="spellEnd"/>
      <w:r w:rsidRPr="00690D6C">
        <w:rPr>
          <w:rFonts w:ascii="Arial" w:hAnsi="Arial" w:cs="Arial"/>
        </w:rPr>
        <w:t>, el mayor emisor de bonos verdes de Alemania se encuentra cerca del </w:t>
      </w:r>
      <w:proofErr w:type="spellStart"/>
      <w:proofErr w:type="gramStart"/>
      <w:r w:rsidRPr="00690D6C">
        <w:rPr>
          <w:rFonts w:ascii="Arial" w:hAnsi="Arial" w:cs="Arial"/>
        </w:rPr>
        <w:t>Palmengarten</w:t>
      </w:r>
      <w:proofErr w:type="spellEnd"/>
      <w:r w:rsidRPr="00690D6C">
        <w:rPr>
          <w:rFonts w:ascii="Arial" w:hAnsi="Arial" w:cs="Arial"/>
        </w:rPr>
        <w:t> . </w:t>
      </w:r>
      <w:proofErr w:type="gramEnd"/>
      <w:r w:rsidRPr="00690D6C">
        <w:rPr>
          <w:rFonts w:ascii="Arial" w:hAnsi="Arial" w:cs="Arial"/>
        </w:rPr>
        <w:t>Y el Bundesbank , que también participa estrechamente en las finanzas verdes, se encuentra justo al norte de </w:t>
      </w:r>
      <w:proofErr w:type="spellStart"/>
      <w:r w:rsidRPr="00690D6C">
        <w:rPr>
          <w:rFonts w:ascii="Arial" w:hAnsi="Arial" w:cs="Arial"/>
        </w:rPr>
        <w:t>Palmengarten</w:t>
      </w:r>
      <w:proofErr w:type="spellEnd"/>
      <w:proofErr w:type="gramStart"/>
      <w:r w:rsidRPr="00690D6C">
        <w:rPr>
          <w:rFonts w:ascii="Arial" w:hAnsi="Arial" w:cs="Arial"/>
        </w:rPr>
        <w:t>..</w:t>
      </w:r>
      <w:proofErr w:type="gramEnd"/>
    </w:p>
    <w:p w:rsidR="00690D6C" w:rsidRDefault="00690D6C" w:rsidP="00690D6C">
      <w:pPr>
        <w:jc w:val="both"/>
        <w:rPr>
          <w:rFonts w:ascii="Arial" w:hAnsi="Arial" w:cs="Arial"/>
        </w:rPr>
      </w:pPr>
      <w:r w:rsidRPr="00690D6C">
        <w:rPr>
          <w:rFonts w:ascii="Arial" w:hAnsi="Arial" w:cs="Arial"/>
        </w:rPr>
        <w:t>Actualmente se está llevando a cabo una "Semana Verde" en Frankfurt, con todas las reuniones de ICMA y al margen. La "Semana Verde" fue originalmente, y sigue siendo, una gran y famosa feria agrícola en Berlín. Como Frankfurt es el centro financiero de Alemania, es el lugar perfecto para la "Semana de las Finanzas Verdes".</w:t>
      </w:r>
    </w:p>
    <w:p w:rsidR="00690D6C" w:rsidRDefault="00690D6C" w:rsidP="00690D6C">
      <w:pPr>
        <w:jc w:val="both"/>
        <w:rPr>
          <w:rFonts w:ascii="Arial" w:hAnsi="Arial" w:cs="Arial"/>
        </w:rPr>
      </w:pPr>
    </w:p>
    <w:p w:rsidR="00690D6C" w:rsidRDefault="00690D6C" w:rsidP="00690D6C">
      <w:pPr>
        <w:jc w:val="both"/>
        <w:rPr>
          <w:rFonts w:ascii="Arial" w:hAnsi="Arial" w:cs="Arial"/>
        </w:rPr>
      </w:pPr>
    </w:p>
    <w:p w:rsidR="00690D6C" w:rsidRPr="00690D6C" w:rsidRDefault="00690D6C" w:rsidP="00690D6C">
      <w:pPr>
        <w:jc w:val="both"/>
        <w:rPr>
          <w:rFonts w:ascii="Arial" w:hAnsi="Arial" w:cs="Arial"/>
          <w:b/>
        </w:rPr>
      </w:pPr>
      <w:r w:rsidRPr="00690D6C">
        <w:rPr>
          <w:rFonts w:ascii="Arial" w:hAnsi="Arial" w:cs="Arial"/>
          <w:b/>
        </w:rPr>
        <w:t>En mi discurso, deseo centrarme en tres temas:</w:t>
      </w:r>
    </w:p>
    <w:p w:rsidR="00690D6C" w:rsidRPr="00690D6C" w:rsidRDefault="00690D6C" w:rsidP="00690D6C">
      <w:pPr>
        <w:jc w:val="both"/>
        <w:rPr>
          <w:rFonts w:ascii="Arial" w:hAnsi="Arial" w:cs="Arial"/>
        </w:rPr>
      </w:pPr>
      <w:r w:rsidRPr="00690D6C">
        <w:rPr>
          <w:rFonts w:ascii="Arial" w:hAnsi="Arial" w:cs="Arial"/>
        </w:rPr>
        <w:t xml:space="preserve">En primer lugar, las actividades de financiación ecológica de la red internacional de bancos centrales y supervisores sobre </w:t>
      </w:r>
      <w:proofErr w:type="spellStart"/>
      <w:r w:rsidRPr="00690D6C">
        <w:rPr>
          <w:rFonts w:ascii="Arial" w:hAnsi="Arial" w:cs="Arial"/>
        </w:rPr>
        <w:t>ecologización</w:t>
      </w:r>
      <w:proofErr w:type="spellEnd"/>
      <w:r w:rsidRPr="00690D6C">
        <w:rPr>
          <w:rFonts w:ascii="Arial" w:hAnsi="Arial" w:cs="Arial"/>
        </w:rPr>
        <w:t xml:space="preserve"> del sistema financiero, o NGFS, de la que el Bundesbank es miembro fundador. En segundo lugar, permítanme ofrecer algunas ideas sobre las actividades del Bundesbank en materia de finanzas verdes en nuestras diferentes áreas de negocio. En tercer lugar, haré un breve balance de las actuales iniciativas políticas alemanas sobre las finanzas verdes.</w:t>
      </w:r>
    </w:p>
    <w:p w:rsidR="00690D6C" w:rsidRDefault="00690D6C" w:rsidP="00690D6C">
      <w:pPr>
        <w:jc w:val="both"/>
        <w:rPr>
          <w:rFonts w:ascii="Arial" w:hAnsi="Arial" w:cs="Arial"/>
          <w:b/>
        </w:rPr>
      </w:pPr>
    </w:p>
    <w:p w:rsidR="00690D6C" w:rsidRDefault="00690D6C" w:rsidP="00690D6C">
      <w:pPr>
        <w:jc w:val="both"/>
        <w:rPr>
          <w:rFonts w:ascii="Arial" w:hAnsi="Arial" w:cs="Arial"/>
          <w:b/>
        </w:rPr>
      </w:pPr>
    </w:p>
    <w:p w:rsidR="00690D6C" w:rsidRPr="00690D6C" w:rsidRDefault="00690D6C" w:rsidP="00690D6C">
      <w:pPr>
        <w:jc w:val="both"/>
        <w:rPr>
          <w:rFonts w:ascii="Arial" w:hAnsi="Arial" w:cs="Arial"/>
          <w:b/>
        </w:rPr>
      </w:pPr>
      <w:r w:rsidRPr="00690D6C">
        <w:rPr>
          <w:rFonts w:ascii="Arial" w:hAnsi="Arial" w:cs="Arial"/>
          <w:b/>
        </w:rPr>
        <w:t>1 Actividades de NGFS</w:t>
      </w:r>
    </w:p>
    <w:p w:rsidR="00690D6C" w:rsidRPr="00690D6C" w:rsidRDefault="00690D6C" w:rsidP="00690D6C">
      <w:pPr>
        <w:jc w:val="both"/>
        <w:rPr>
          <w:rFonts w:ascii="Arial" w:hAnsi="Arial" w:cs="Arial"/>
        </w:rPr>
      </w:pPr>
      <w:r w:rsidRPr="00690D6C">
        <w:rPr>
          <w:rFonts w:ascii="Arial" w:hAnsi="Arial" w:cs="Arial"/>
        </w:rPr>
        <w:t xml:space="preserve">Comenzando con el NGFS, permítanme primero señalar el mensaje clave de nuestra red: los bancos centrales de todo el mundo reconocen que el cambio climático es una fuente de riesgos financieros. Por lo tanto, las finanzas verdes son un campo de trabajo para los bancos centrales y todo el sector financiero. Combatir el cambio climático y preservar el medio ambiente: esto ya no es un caballo de batalla de los </w:t>
      </w:r>
      <w:proofErr w:type="spellStart"/>
      <w:r w:rsidRPr="00690D6C">
        <w:rPr>
          <w:rFonts w:ascii="Arial" w:hAnsi="Arial" w:cs="Arial"/>
        </w:rPr>
        <w:t>ecoactivistas</w:t>
      </w:r>
      <w:proofErr w:type="spellEnd"/>
      <w:r w:rsidRPr="00690D6C">
        <w:rPr>
          <w:rFonts w:ascii="Arial" w:hAnsi="Arial" w:cs="Arial"/>
        </w:rPr>
        <w:t xml:space="preserve">, sino un factor clave para los sistemas económicos y financieros. Esta conciencia se puede ver en el creciente apoyo a NGFS: comenzamos con bancos centrales y supervisores de ocho </w:t>
      </w:r>
      <w:r w:rsidRPr="00690D6C">
        <w:rPr>
          <w:rFonts w:ascii="Arial" w:hAnsi="Arial" w:cs="Arial"/>
        </w:rPr>
        <w:lastRenderedPageBreak/>
        <w:t>jurisdicciones y hemos crecido a 40 miembros y seis observadores, que representan los cinco continentes y supervisan dos tercios del sector financiero de importancia sistémica a nivel mundial. Somos, por así decirlo, una "coalición de la voluntad".</w:t>
      </w:r>
    </w:p>
    <w:p w:rsidR="00690D6C" w:rsidRPr="00690D6C" w:rsidRDefault="00690D6C" w:rsidP="00690D6C">
      <w:pPr>
        <w:jc w:val="both"/>
        <w:rPr>
          <w:rFonts w:ascii="Arial" w:hAnsi="Arial" w:cs="Arial"/>
        </w:rPr>
      </w:pPr>
      <w:r w:rsidRPr="00690D6C">
        <w:rPr>
          <w:rFonts w:ascii="Arial" w:hAnsi="Arial" w:cs="Arial"/>
        </w:rPr>
        <w:t xml:space="preserve">Los bancos centrales siempre juegan un papel clave en el sistema financiero, y este también es el caso de las finanzas verdes. En muchos sentidos, el mercado de activos ecológicos se puede comparar con las primeras etapas de otros segmentos de mercado relativamente nuevos. Para que la dinámica del mercado se desarrolle por completo, los inversores necesitan un marco de inversión estable, que incluya estándares de </w:t>
      </w:r>
      <w:proofErr w:type="gramStart"/>
      <w:r w:rsidRPr="00690D6C">
        <w:rPr>
          <w:rFonts w:ascii="Arial" w:hAnsi="Arial" w:cs="Arial"/>
        </w:rPr>
        <w:t>mercado confiables, índices</w:t>
      </w:r>
      <w:proofErr w:type="gramEnd"/>
      <w:r w:rsidRPr="00690D6C">
        <w:rPr>
          <w:rFonts w:ascii="Arial" w:hAnsi="Arial" w:cs="Arial"/>
        </w:rPr>
        <w:t xml:space="preserve"> de mercado y transparencia. Y los bancos centrales son partes de confianza. Dado nuestro papel de asesores en política y nuestro papel percibido como inversores ancla, podemos servir como catalizadores para un mayor crecimiento del mercado. Pero dado nuestro enorme poder de mercado y nuestra independencia, tenemos que actuar con responsabilidad y rendir cuentas. Para abordar el papel crucial de los bancos centrales, el NGFS se ve a sí mismo como una plataforma para las mejores prácticas y para el intercambio de opiniones y experiencias entre los banqueros centrales y los supervisores.</w:t>
      </w:r>
    </w:p>
    <w:p w:rsidR="00690D6C" w:rsidRPr="00690D6C" w:rsidRDefault="00690D6C" w:rsidP="00690D6C">
      <w:pPr>
        <w:jc w:val="both"/>
        <w:rPr>
          <w:rFonts w:ascii="Arial" w:hAnsi="Arial" w:cs="Arial"/>
        </w:rPr>
      </w:pPr>
      <w:r w:rsidRPr="00690D6C">
        <w:rPr>
          <w:rFonts w:ascii="Arial" w:hAnsi="Arial" w:cs="Arial"/>
        </w:rPr>
        <w:t>En nuestro primer informe completo, publicado a mediados de abril, presentamos seis recomendaciones prácticas.</w:t>
      </w:r>
    </w:p>
    <w:p w:rsidR="00690D6C" w:rsidRPr="00690D6C" w:rsidRDefault="00690D6C" w:rsidP="00690D6C">
      <w:pPr>
        <w:jc w:val="both"/>
        <w:rPr>
          <w:rFonts w:ascii="Arial" w:hAnsi="Arial" w:cs="Arial"/>
        </w:rPr>
      </w:pPr>
      <w:r w:rsidRPr="00690D6C">
        <w:rPr>
          <w:rFonts w:ascii="Arial" w:hAnsi="Arial" w:cs="Arial"/>
        </w:rPr>
        <w:t>Las cuatro recomendaciones dirigidas a los bancos centrales y supervisores son: </w:t>
      </w:r>
    </w:p>
    <w:p w:rsidR="00690D6C" w:rsidRPr="00690D6C" w:rsidRDefault="00690D6C" w:rsidP="00690D6C">
      <w:pPr>
        <w:numPr>
          <w:ilvl w:val="0"/>
          <w:numId w:val="1"/>
        </w:numPr>
        <w:jc w:val="both"/>
        <w:rPr>
          <w:rFonts w:ascii="Arial" w:hAnsi="Arial" w:cs="Arial"/>
        </w:rPr>
      </w:pPr>
      <w:r w:rsidRPr="00690D6C">
        <w:rPr>
          <w:rFonts w:ascii="Arial" w:hAnsi="Arial" w:cs="Arial"/>
        </w:rPr>
        <w:t xml:space="preserve">Integrar los riesgos relacionados con el clima en el seguimiento y la </w:t>
      </w:r>
      <w:proofErr w:type="spellStart"/>
      <w:r w:rsidRPr="00690D6C">
        <w:rPr>
          <w:rFonts w:ascii="Arial" w:hAnsi="Arial" w:cs="Arial"/>
        </w:rPr>
        <w:t>microsupervisión</w:t>
      </w:r>
      <w:proofErr w:type="spellEnd"/>
      <w:r w:rsidRPr="00690D6C">
        <w:rPr>
          <w:rFonts w:ascii="Arial" w:hAnsi="Arial" w:cs="Arial"/>
        </w:rPr>
        <w:t xml:space="preserve"> de la estabilidad financiera. Esto incluye evaluar los riesgos relacionados con el clima en el sistema financiero e integrarlos en la supervisión prudencial.</w:t>
      </w:r>
    </w:p>
    <w:p w:rsidR="00690D6C" w:rsidRPr="00690D6C" w:rsidRDefault="00690D6C" w:rsidP="00690D6C">
      <w:pPr>
        <w:numPr>
          <w:ilvl w:val="0"/>
          <w:numId w:val="1"/>
        </w:numPr>
        <w:jc w:val="both"/>
        <w:rPr>
          <w:rFonts w:ascii="Arial" w:hAnsi="Arial" w:cs="Arial"/>
        </w:rPr>
      </w:pPr>
      <w:r w:rsidRPr="00690D6C">
        <w:rPr>
          <w:rFonts w:ascii="Arial" w:hAnsi="Arial" w:cs="Arial"/>
        </w:rPr>
        <w:t>Integrar factores de sostenibilidad en la gestión de cartera propia. La NGFS anima a los bancos centrales a predicar con el ejemplo en sus propias operaciones.</w:t>
      </w:r>
    </w:p>
    <w:p w:rsidR="00690D6C" w:rsidRPr="00690D6C" w:rsidRDefault="00690D6C" w:rsidP="00690D6C">
      <w:pPr>
        <w:numPr>
          <w:ilvl w:val="0"/>
          <w:numId w:val="1"/>
        </w:numPr>
        <w:jc w:val="both"/>
        <w:rPr>
          <w:rFonts w:ascii="Arial" w:hAnsi="Arial" w:cs="Arial"/>
        </w:rPr>
      </w:pPr>
      <w:r w:rsidRPr="00690D6C">
        <w:rPr>
          <w:rFonts w:ascii="Arial" w:hAnsi="Arial" w:cs="Arial"/>
        </w:rPr>
        <w:t>Reducir las lagunas de datos. Se solicita a las autoridades públicas que compartan datos relevantes para la Evaluación de Riesgos Climáticos y los pongan a disposición del público.</w:t>
      </w:r>
    </w:p>
    <w:p w:rsidR="00690D6C" w:rsidRPr="00690D6C" w:rsidRDefault="00690D6C" w:rsidP="00690D6C">
      <w:pPr>
        <w:numPr>
          <w:ilvl w:val="0"/>
          <w:numId w:val="1"/>
        </w:numPr>
        <w:jc w:val="both"/>
        <w:rPr>
          <w:rFonts w:ascii="Arial" w:hAnsi="Arial" w:cs="Arial"/>
        </w:rPr>
      </w:pPr>
      <w:r w:rsidRPr="00690D6C">
        <w:rPr>
          <w:rFonts w:ascii="Arial" w:hAnsi="Arial" w:cs="Arial"/>
        </w:rPr>
        <w:t>Crear conciencia y capacidad intelectual y fomentar la asistencia técnica y el intercambio de conocimientos. El NGFS alienta a todas las instituciones financieras a desarrollar capacidad interna y a colaborar para mejorar su comprensión de cómo los factores relacionados con el clima se traducen en riesgos y oportunidades financieros.</w:t>
      </w:r>
    </w:p>
    <w:p w:rsidR="00690D6C" w:rsidRPr="00690D6C" w:rsidRDefault="00690D6C" w:rsidP="00690D6C">
      <w:pPr>
        <w:jc w:val="both"/>
        <w:rPr>
          <w:rFonts w:ascii="Arial" w:hAnsi="Arial" w:cs="Arial"/>
        </w:rPr>
      </w:pPr>
      <w:r w:rsidRPr="00690D6C">
        <w:rPr>
          <w:rFonts w:ascii="Arial" w:hAnsi="Arial" w:cs="Arial"/>
        </w:rPr>
        <w:t>Dos recomendaciones de NGFS están dirigidas a los formuladores de políticas:</w:t>
      </w:r>
    </w:p>
    <w:p w:rsidR="00690D6C" w:rsidRPr="00690D6C" w:rsidRDefault="00690D6C" w:rsidP="00690D6C">
      <w:pPr>
        <w:jc w:val="both"/>
        <w:rPr>
          <w:rFonts w:ascii="Arial" w:hAnsi="Arial" w:cs="Arial"/>
        </w:rPr>
      </w:pPr>
      <w:r w:rsidRPr="00690D6C">
        <w:rPr>
          <w:rFonts w:ascii="Arial" w:hAnsi="Arial" w:cs="Arial"/>
        </w:rPr>
        <w:t>Lograr una divulgación sólida e internacionalmente coherente sobre el clima y el medio ambiente. Los inversores deben conocer los riesgos climáticos de sus inversiones.</w:t>
      </w:r>
    </w:p>
    <w:p w:rsidR="00690D6C" w:rsidRPr="00690D6C" w:rsidRDefault="00690D6C" w:rsidP="00690D6C">
      <w:pPr>
        <w:jc w:val="both"/>
        <w:rPr>
          <w:rFonts w:ascii="Arial" w:hAnsi="Arial" w:cs="Arial"/>
        </w:rPr>
      </w:pPr>
      <w:r w:rsidRPr="00690D6C">
        <w:rPr>
          <w:rFonts w:ascii="Arial" w:hAnsi="Arial" w:cs="Arial"/>
        </w:rPr>
        <w:t>Y apoyando el desarrollo de una taxonomía de actividades económicas. Una taxonomía facilita la inversión ecológica y evita el "lavado ecológico". Crea más transparencia en el mercado sobre qué actividades son realmente ecológicas y cuáles no.</w:t>
      </w:r>
    </w:p>
    <w:p w:rsidR="00690D6C" w:rsidRPr="00690D6C" w:rsidRDefault="00690D6C" w:rsidP="00690D6C">
      <w:pPr>
        <w:jc w:val="both"/>
        <w:rPr>
          <w:rFonts w:ascii="Arial" w:hAnsi="Arial" w:cs="Arial"/>
        </w:rPr>
      </w:pPr>
      <w:r w:rsidRPr="00690D6C">
        <w:rPr>
          <w:rFonts w:ascii="Arial" w:hAnsi="Arial" w:cs="Arial"/>
        </w:rPr>
        <w:t xml:space="preserve">El NGFS está abordando estos desafíos en tres líneas de trabajo: en la supervisión bancaria, en la supervisión </w:t>
      </w:r>
      <w:proofErr w:type="spellStart"/>
      <w:r w:rsidRPr="00690D6C">
        <w:rPr>
          <w:rFonts w:ascii="Arial" w:hAnsi="Arial" w:cs="Arial"/>
        </w:rPr>
        <w:t>macrofinanciera</w:t>
      </w:r>
      <w:proofErr w:type="spellEnd"/>
      <w:r w:rsidRPr="00690D6C">
        <w:rPr>
          <w:rFonts w:ascii="Arial" w:hAnsi="Arial" w:cs="Arial"/>
        </w:rPr>
        <w:t xml:space="preserve"> y en la ampliación de las finanzas verdes. Soy miembro del comité directivo de NGFS y, a partir de abril, también asumí la presidencia de </w:t>
      </w:r>
      <w:r w:rsidRPr="00690D6C">
        <w:rPr>
          <w:rFonts w:ascii="Arial" w:hAnsi="Arial" w:cs="Arial"/>
        </w:rPr>
        <w:lastRenderedPageBreak/>
        <w:t>la línea de trabajo 3. Mañana, la línea de trabajo 3, organizada por el </w:t>
      </w:r>
      <w:proofErr w:type="gramStart"/>
      <w:r w:rsidRPr="00690D6C">
        <w:rPr>
          <w:rFonts w:ascii="Arial" w:hAnsi="Arial" w:cs="Arial"/>
        </w:rPr>
        <w:t>Bundesbank ,</w:t>
      </w:r>
      <w:proofErr w:type="gramEnd"/>
      <w:r w:rsidRPr="00690D6C">
        <w:rPr>
          <w:rFonts w:ascii="Arial" w:hAnsi="Arial" w:cs="Arial"/>
        </w:rPr>
        <w:t xml:space="preserve"> se reunirá aquí en Frankfurt. Como entregable para este año, estamos trabajando en un manual de mejores prácticas para incorporar criterios de sustentabilidad en la gestión de la cartera de los bancos centrales, con un enfoque particular en inversiones amigables con el clima. Planeamos publicar el manual para octubre de este año.</w:t>
      </w:r>
    </w:p>
    <w:p w:rsidR="00690D6C" w:rsidRDefault="00690D6C" w:rsidP="00690D6C">
      <w:pPr>
        <w:jc w:val="both"/>
        <w:rPr>
          <w:rFonts w:ascii="Arial" w:hAnsi="Arial" w:cs="Arial"/>
          <w:b/>
        </w:rPr>
      </w:pPr>
    </w:p>
    <w:p w:rsidR="00690D6C" w:rsidRPr="00690D6C" w:rsidRDefault="00690D6C" w:rsidP="00690D6C">
      <w:pPr>
        <w:jc w:val="both"/>
        <w:rPr>
          <w:rFonts w:ascii="Arial" w:hAnsi="Arial" w:cs="Arial"/>
          <w:b/>
        </w:rPr>
      </w:pPr>
      <w:r w:rsidRPr="00690D6C">
        <w:rPr>
          <w:rFonts w:ascii="Arial" w:hAnsi="Arial" w:cs="Arial"/>
          <w:b/>
        </w:rPr>
        <w:t>2  Actividades del Bundesbank</w:t>
      </w:r>
    </w:p>
    <w:p w:rsidR="00690D6C" w:rsidRPr="00690D6C" w:rsidRDefault="00690D6C" w:rsidP="00690D6C">
      <w:pPr>
        <w:jc w:val="both"/>
        <w:rPr>
          <w:rFonts w:ascii="Arial" w:hAnsi="Arial" w:cs="Arial"/>
        </w:rPr>
      </w:pPr>
      <w:r w:rsidRPr="00690D6C">
        <w:rPr>
          <w:rFonts w:ascii="Arial" w:hAnsi="Arial" w:cs="Arial"/>
        </w:rPr>
        <w:t>Como puede ver: el </w:t>
      </w:r>
      <w:proofErr w:type="spellStart"/>
      <w:r w:rsidRPr="00690D6C">
        <w:rPr>
          <w:rFonts w:ascii="Arial" w:hAnsi="Arial" w:cs="Arial"/>
        </w:rPr>
        <w:t>Bundesban</w:t>
      </w:r>
      <w:proofErr w:type="spellEnd"/>
      <w:r w:rsidRPr="00690D6C">
        <w:rPr>
          <w:rFonts w:ascii="Arial" w:hAnsi="Arial" w:cs="Arial"/>
        </w:rPr>
        <w:t> k es un miembro activo de la NGFS. Y para confirmar nuestro firme compromiso con el tema, también hemos integrado las finanzas verdes en nuestras propias áreas de negocio.</w:t>
      </w:r>
    </w:p>
    <w:p w:rsidR="00690D6C" w:rsidRPr="00690D6C" w:rsidRDefault="00690D6C" w:rsidP="00690D6C">
      <w:pPr>
        <w:jc w:val="both"/>
        <w:rPr>
          <w:rFonts w:ascii="Arial" w:hAnsi="Arial" w:cs="Arial"/>
        </w:rPr>
      </w:pPr>
      <w:r w:rsidRPr="00690D6C">
        <w:rPr>
          <w:rFonts w:ascii="Arial" w:hAnsi="Arial" w:cs="Arial"/>
        </w:rPr>
        <w:t>Bajo mi liderazgo como miembro de la junta responsable de las operaciones relacionadas con el mercado del </w:t>
      </w:r>
      <w:proofErr w:type="gramStart"/>
      <w:r w:rsidRPr="00690D6C">
        <w:rPr>
          <w:rFonts w:ascii="Arial" w:hAnsi="Arial" w:cs="Arial"/>
        </w:rPr>
        <w:t>Bundesbank ,</w:t>
      </w:r>
      <w:proofErr w:type="gramEnd"/>
      <w:r w:rsidRPr="00690D6C">
        <w:rPr>
          <w:rFonts w:ascii="Arial" w:hAnsi="Arial" w:cs="Arial"/>
        </w:rPr>
        <w:t xml:space="preserve"> administramos los fondos del sector público, así como nuestros propios fondos. En cuanto a los fondos del sector público, tenemos una larga trayectoria en inversiones sostenibles. Como agente fiscal, </w:t>
      </w:r>
      <w:proofErr w:type="spellStart"/>
      <w:r w:rsidRPr="00690D6C">
        <w:rPr>
          <w:rFonts w:ascii="Arial" w:hAnsi="Arial" w:cs="Arial"/>
        </w:rPr>
        <w:t>Bundesbankha</w:t>
      </w:r>
      <w:proofErr w:type="spellEnd"/>
      <w:r w:rsidRPr="00690D6C">
        <w:rPr>
          <w:rFonts w:ascii="Arial" w:hAnsi="Arial" w:cs="Arial"/>
        </w:rPr>
        <w:t xml:space="preserve"> gestionado varias carteras de fondos públicos de pensiones a gran escala para los estados federales y el gobierno central durante más de diez años. 4 de cada 16 carteras ya están invertidas de acuerdo con un enfoque ASG o invierten en bonos verdes. En total, estas carteras tienen un volumen en el rango de importantes miles de millones de euros de un solo dígito. Y esperamos que este número crezca en un futuro próximo. Cuatro clientes fiscales más están discutiendo actualmente la introducción de consideraciones ASG en su estrategia de inversión, mientras que otros dos ya planean hacerlo. Entonces, 10 de cada 16 de nuestros clientes fiscales están invirtiendo de manera sostenible o están en camino de hacerlo.</w:t>
      </w:r>
    </w:p>
    <w:p w:rsidR="00690D6C" w:rsidRPr="00690D6C" w:rsidRDefault="00690D6C" w:rsidP="00690D6C">
      <w:pPr>
        <w:jc w:val="both"/>
        <w:rPr>
          <w:rFonts w:ascii="Arial" w:hAnsi="Arial" w:cs="Arial"/>
        </w:rPr>
      </w:pPr>
      <w:r w:rsidRPr="00690D6C">
        <w:rPr>
          <w:rFonts w:ascii="Arial" w:hAnsi="Arial" w:cs="Arial"/>
        </w:rPr>
        <w:t>Nuestros clientes del sector público se centran principalmente en la inclusión de criterios ASG en inversiones de capital, seguidos de enfoques iniciales en carteras de renta fija. Basándonos en una estrategia de inversión pasiva, combinamos varios enfoques de primer nivel con una selección de exclusión. Nuestra experiencia en los últimos años ha demostrado que el desarrollo de una estrategia de inversión sostenible requiere una preparación minuciosa. No existe un enfoque de "talla única" para los criterios ESG. Además, cuando se habla de inversión sostenible, cada inversor tiende a definir un conjunto de criterios ASG coherentes con sus valores individuales. Además, asesoramos a nuestros clientes fiscales, a saber, los estados de Hesse, Baden-</w:t>
      </w:r>
      <w:proofErr w:type="spellStart"/>
      <w:r w:rsidRPr="00690D6C">
        <w:rPr>
          <w:rFonts w:ascii="Arial" w:hAnsi="Arial" w:cs="Arial"/>
        </w:rPr>
        <w:t>Wuerttemberg</w:t>
      </w:r>
      <w:proofErr w:type="spellEnd"/>
      <w:r w:rsidRPr="00690D6C">
        <w:rPr>
          <w:rFonts w:ascii="Arial" w:hAnsi="Arial" w:cs="Arial"/>
        </w:rPr>
        <w:t xml:space="preserve"> y Renania del Norte-Westfalia, para diseñar y crear índices de sostenibilidad y ESG a medida que utilizamos para nuestra evaluación comparativa.</w:t>
      </w:r>
    </w:p>
    <w:p w:rsidR="00690D6C" w:rsidRPr="00690D6C" w:rsidRDefault="00690D6C" w:rsidP="00690D6C">
      <w:pPr>
        <w:jc w:val="both"/>
        <w:rPr>
          <w:rFonts w:ascii="Arial" w:hAnsi="Arial" w:cs="Arial"/>
        </w:rPr>
      </w:pPr>
      <w:r w:rsidRPr="00690D6C">
        <w:rPr>
          <w:rFonts w:ascii="Arial" w:hAnsi="Arial" w:cs="Arial"/>
        </w:rPr>
        <w:t xml:space="preserve">Además, el Bundesbank también está considerando inversiones en activos sostenibles en sus propios fondos. Disfrutamos de una mayor libertad de elección con respecto a la selección de inversiones en nuestros propios fondos, a diferencia, por ejemplo, de las carteras de gestión de reservas de divisas o incluso de las operaciones de política monetaria. Actualmente estamos en el proceso de evaluar formas de ampliar el alcance de los activos y tener en cuenta criterios de inversión sostenible en nuestros propios fondos. También contribuimos a un grupo de trabajo del </w:t>
      </w:r>
      <w:proofErr w:type="spellStart"/>
      <w:r w:rsidRPr="00690D6C">
        <w:rPr>
          <w:rFonts w:ascii="Arial" w:hAnsi="Arial" w:cs="Arial"/>
        </w:rPr>
        <w:t>Eurosistema</w:t>
      </w:r>
      <w:proofErr w:type="spellEnd"/>
      <w:r w:rsidRPr="00690D6C">
        <w:rPr>
          <w:rFonts w:ascii="Arial" w:hAnsi="Arial" w:cs="Arial"/>
        </w:rPr>
        <w:t xml:space="preserve"> sobre sostenibilidad en la gestión de carteras no monetarias.</w:t>
      </w:r>
    </w:p>
    <w:p w:rsidR="00690D6C" w:rsidRPr="00690D6C" w:rsidRDefault="00690D6C" w:rsidP="00690D6C">
      <w:pPr>
        <w:jc w:val="both"/>
        <w:rPr>
          <w:rFonts w:ascii="Arial" w:hAnsi="Arial" w:cs="Arial"/>
        </w:rPr>
      </w:pPr>
      <w:r w:rsidRPr="00690D6C">
        <w:rPr>
          <w:rFonts w:ascii="Arial" w:hAnsi="Arial" w:cs="Arial"/>
        </w:rPr>
        <w:t xml:space="preserve">En lo que respecta a la política monetaria, debemos tener cuidado de no poner en peligro nuestro mandato principal de estabilidad de precios al perseguir otros objetivos de </w:t>
      </w:r>
      <w:r w:rsidRPr="00690D6C">
        <w:rPr>
          <w:rFonts w:ascii="Arial" w:hAnsi="Arial" w:cs="Arial"/>
        </w:rPr>
        <w:lastRenderedPageBreak/>
        <w:t xml:space="preserve">política. Sin embargo, dado que la neutralidad del mercado es un principio integral de nuestras operaciones de política monetaria, los activos sostenibles están junto al mercado dentro del alcance del programa de compra de activos del </w:t>
      </w:r>
      <w:proofErr w:type="spellStart"/>
      <w:r w:rsidRPr="00690D6C">
        <w:rPr>
          <w:rFonts w:ascii="Arial" w:hAnsi="Arial" w:cs="Arial"/>
        </w:rPr>
        <w:t>Eurosistema</w:t>
      </w:r>
      <w:proofErr w:type="spellEnd"/>
      <w:r w:rsidRPr="00690D6C">
        <w:rPr>
          <w:rFonts w:ascii="Arial" w:hAnsi="Arial" w:cs="Arial"/>
        </w:rPr>
        <w:t>. Por tanto, cuanto más se invierta el mercado en financiación verde, más podrán reflejar el BCE y los bancos centrales nacionales esta evolución en el programa de compra de activos.</w:t>
      </w:r>
    </w:p>
    <w:p w:rsidR="00690D6C" w:rsidRPr="00690D6C" w:rsidRDefault="00690D6C" w:rsidP="00690D6C">
      <w:pPr>
        <w:jc w:val="both"/>
        <w:rPr>
          <w:rFonts w:ascii="Arial" w:hAnsi="Arial" w:cs="Arial"/>
        </w:rPr>
      </w:pPr>
      <w:r w:rsidRPr="00690D6C">
        <w:rPr>
          <w:rFonts w:ascii="Arial" w:hAnsi="Arial" w:cs="Arial"/>
        </w:rPr>
        <w:t>Además de las inversiones, el Bundesbank está analizando de cerca los riesgos derivados del cambio climático. Consideramos los riesgos individuales en nuestra supervisión bancaria y los riesgos sistémicos en nuestra supervisión de la estabilidad financiera. Estamos defendiendo que las instituciones financieras individuales revelen sus riesgos financieros relacionados con el clima y examinen estos riesgos en la regulación y supervisión bancaria. En cuanto a la estabilidad financiera, evaluamos si el sistema financiero en su conjunto es capaz de hacer frente a las devaluaciones de activos derivadas de los riesgos climáticos físicos o de los riesgos de transformación derivados de decisiones políticas para abordar el cambio climático, por ejemplo en materia de políticas energéticas.</w:t>
      </w:r>
    </w:p>
    <w:p w:rsidR="00690D6C" w:rsidRPr="00690D6C" w:rsidRDefault="00690D6C" w:rsidP="00690D6C">
      <w:pPr>
        <w:jc w:val="both"/>
        <w:rPr>
          <w:rFonts w:ascii="Arial" w:hAnsi="Arial" w:cs="Arial"/>
        </w:rPr>
      </w:pPr>
      <w:r w:rsidRPr="00690D6C">
        <w:rPr>
          <w:rFonts w:ascii="Arial" w:hAnsi="Arial" w:cs="Arial"/>
        </w:rPr>
        <w:t>Además, el Bundesbank está intensificando el diálogo público para sensibilizar aún más a los participantes del mercado y al público en general. En el cuarto trimestre de 2019, publicaremos un informe que analiza las principales tendencias del mercado en ESG y finanzas verdes, incluyendo una perspectiva sobre el camino a seguir. Y estamos organizando una conferencia de mercados financieros sobre sostenibilidad en octubre.</w:t>
      </w:r>
    </w:p>
    <w:p w:rsidR="00690D6C" w:rsidRDefault="00690D6C" w:rsidP="00690D6C">
      <w:pPr>
        <w:jc w:val="both"/>
        <w:rPr>
          <w:rFonts w:ascii="Arial" w:hAnsi="Arial" w:cs="Arial"/>
          <w:b/>
        </w:rPr>
      </w:pPr>
    </w:p>
    <w:p w:rsidR="00690D6C" w:rsidRPr="00690D6C" w:rsidRDefault="00690D6C" w:rsidP="00690D6C">
      <w:pPr>
        <w:jc w:val="both"/>
        <w:rPr>
          <w:rFonts w:ascii="Arial" w:hAnsi="Arial" w:cs="Arial"/>
          <w:b/>
        </w:rPr>
      </w:pPr>
      <w:r w:rsidRPr="00690D6C">
        <w:rPr>
          <w:rFonts w:ascii="Arial" w:hAnsi="Arial" w:cs="Arial"/>
          <w:b/>
        </w:rPr>
        <w:t>3 Actividades gubernamentales</w:t>
      </w:r>
    </w:p>
    <w:p w:rsidR="00690D6C" w:rsidRPr="00690D6C" w:rsidRDefault="00690D6C" w:rsidP="00690D6C">
      <w:pPr>
        <w:jc w:val="both"/>
        <w:rPr>
          <w:rFonts w:ascii="Arial" w:hAnsi="Arial" w:cs="Arial"/>
        </w:rPr>
      </w:pPr>
      <w:r w:rsidRPr="00690D6C">
        <w:rPr>
          <w:rFonts w:ascii="Arial" w:hAnsi="Arial" w:cs="Arial"/>
        </w:rPr>
        <w:t>Todo esto llega en un momento en que la política alemana ha estado prestando cada vez más atención a las finanzas verdes, ya que la protección del clima cuenta con un amplio apoyo en prácticamente todo el espectro político. En febrero, el Comité de Secretarios de Estado para el Desarrollo Sostenible declaró que Alemania debería convertirse en un centro líder para las finanzas sostenibles. La canciller Merkel reafirmó esta aspiración hace apenas unas semanas.</w:t>
      </w:r>
    </w:p>
    <w:p w:rsidR="00690D6C" w:rsidRPr="00690D6C" w:rsidRDefault="00690D6C" w:rsidP="00690D6C">
      <w:pPr>
        <w:jc w:val="both"/>
        <w:rPr>
          <w:rFonts w:ascii="Arial" w:hAnsi="Arial" w:cs="Arial"/>
        </w:rPr>
      </w:pPr>
      <w:r w:rsidRPr="00690D6C">
        <w:rPr>
          <w:rFonts w:ascii="Arial" w:hAnsi="Arial" w:cs="Arial"/>
        </w:rPr>
        <w:t xml:space="preserve">Y la semana pasada, el nuevo Comité Asesor de Finanzas Sostenibles del Gobierno Federal se reunió por primera vez. El Bundesbank es miembro asesor de este comité. El comité tiene la tarea de monitorear el debate europeo sobre finanzas sostenibles, mejorar el conocimiento, fortalecer las finanzas sostenibles y, por supuesto, asesorar al gobierno. El gobierno también está planeando una estrategia para comunicarse con los consumidores y la industria financiera para promover las finanzas verdes. Y el gobierno planea discutir más a fondo la </w:t>
      </w:r>
      <w:proofErr w:type="spellStart"/>
      <w:r w:rsidRPr="00690D6C">
        <w:rPr>
          <w:rFonts w:ascii="Arial" w:hAnsi="Arial" w:cs="Arial"/>
        </w:rPr>
        <w:t>ecologización</w:t>
      </w:r>
      <w:proofErr w:type="spellEnd"/>
      <w:r w:rsidRPr="00690D6C">
        <w:rPr>
          <w:rFonts w:ascii="Arial" w:hAnsi="Arial" w:cs="Arial"/>
        </w:rPr>
        <w:t xml:space="preserve"> de sus propias carteras de fondos de pensiones.</w:t>
      </w:r>
    </w:p>
    <w:p w:rsidR="00690D6C" w:rsidRPr="00690D6C" w:rsidRDefault="00690D6C" w:rsidP="00690D6C">
      <w:pPr>
        <w:jc w:val="both"/>
        <w:rPr>
          <w:rFonts w:ascii="Arial" w:hAnsi="Arial" w:cs="Arial"/>
        </w:rPr>
      </w:pPr>
      <w:r w:rsidRPr="00690D6C">
        <w:rPr>
          <w:rFonts w:ascii="Arial" w:hAnsi="Arial" w:cs="Arial"/>
        </w:rPr>
        <w:t>Lo más importante para los participantes del mercado: la idea de emitir un Bund Verde está ganando terreno. Existen diferentes modelos e ideas sobre cómo diseñar un Green Bund. El reto es implantar este Green Bund en el mercado sin afectar la elevada liquidez del mercado secundario de los Bunds convencionales ni fragmentar los instrumentos de financiación existentes. Tomando como base la experiencia reciente de otros emisores AAA, podemos esperar una alta demanda de un Bund Verde.</w:t>
      </w:r>
    </w:p>
    <w:p w:rsidR="00690D6C" w:rsidRDefault="00690D6C" w:rsidP="00690D6C">
      <w:pPr>
        <w:jc w:val="both"/>
        <w:rPr>
          <w:rFonts w:ascii="Arial" w:hAnsi="Arial" w:cs="Arial"/>
        </w:rPr>
      </w:pPr>
    </w:p>
    <w:p w:rsidR="00690D6C" w:rsidRDefault="00690D6C" w:rsidP="00690D6C">
      <w:pPr>
        <w:jc w:val="both"/>
        <w:rPr>
          <w:rFonts w:ascii="Arial" w:hAnsi="Arial" w:cs="Arial"/>
        </w:rPr>
      </w:pPr>
    </w:p>
    <w:p w:rsidR="00690D6C" w:rsidRPr="00690D6C" w:rsidRDefault="00690D6C" w:rsidP="00690D6C">
      <w:pPr>
        <w:jc w:val="both"/>
        <w:rPr>
          <w:rFonts w:ascii="Arial" w:hAnsi="Arial" w:cs="Arial"/>
          <w:b/>
        </w:rPr>
      </w:pPr>
      <w:r w:rsidRPr="00690D6C">
        <w:rPr>
          <w:rFonts w:ascii="Arial" w:hAnsi="Arial" w:cs="Arial"/>
          <w:b/>
        </w:rPr>
        <w:lastRenderedPageBreak/>
        <w:t>4. Conclusión</w:t>
      </w:r>
    </w:p>
    <w:p w:rsidR="00690D6C" w:rsidRPr="00690D6C" w:rsidRDefault="00690D6C" w:rsidP="00690D6C">
      <w:pPr>
        <w:jc w:val="both"/>
        <w:rPr>
          <w:rFonts w:ascii="Arial" w:hAnsi="Arial" w:cs="Arial"/>
        </w:rPr>
      </w:pPr>
      <w:r w:rsidRPr="00690D6C">
        <w:rPr>
          <w:rFonts w:ascii="Arial" w:hAnsi="Arial" w:cs="Arial"/>
        </w:rPr>
        <w:t>Señoras y señores, la actual Semana de las Finanzas Verdes de Frankfurt no es una maravilla de un solo golpe, sino una hoja perenne: nuestro trabajo para ampliar las finanzas verdes continuará, como banco central, pero también en la arena política.</w:t>
      </w:r>
    </w:p>
    <w:p w:rsidR="00690D6C" w:rsidRPr="00690D6C" w:rsidRDefault="00690D6C" w:rsidP="00690D6C">
      <w:pPr>
        <w:jc w:val="both"/>
        <w:rPr>
          <w:rFonts w:ascii="Arial" w:hAnsi="Arial" w:cs="Arial"/>
        </w:rPr>
      </w:pPr>
      <w:r w:rsidRPr="00690D6C">
        <w:rPr>
          <w:rFonts w:ascii="Arial" w:hAnsi="Arial" w:cs="Arial"/>
        </w:rPr>
        <w:t>Las finanzas verdes también serán una tarea importante para el nuevo Parlamento Europeo y la Comisión Europea. El plan de acción de la UE sobre finanzas sostenibles definitivamente dará forma a nuestro trabajo en el futuro. Así que no solo tendremos "Semanas Verdes" en Berlín y Frankfurt, sino también meses y años verdes en Bruselas.</w:t>
      </w:r>
    </w:p>
    <w:p w:rsidR="00690D6C" w:rsidRPr="00690D6C" w:rsidRDefault="00690D6C" w:rsidP="00690D6C">
      <w:pPr>
        <w:jc w:val="both"/>
        <w:rPr>
          <w:rFonts w:ascii="Arial" w:hAnsi="Arial" w:cs="Arial"/>
        </w:rPr>
      </w:pPr>
      <w:r w:rsidRPr="00690D6C">
        <w:rPr>
          <w:rFonts w:ascii="Arial" w:hAnsi="Arial" w:cs="Arial"/>
        </w:rPr>
        <w:t>Mantengamos el ánimo y trabajemos juntos para ampliar las finanzas verdes. Gracias por su atención.</w:t>
      </w:r>
    </w:p>
    <w:p w:rsidR="00690D6C" w:rsidRDefault="00690D6C" w:rsidP="00690D6C">
      <w:pPr>
        <w:jc w:val="both"/>
        <w:rPr>
          <w:rFonts w:ascii="Arial" w:hAnsi="Arial" w:cs="Arial"/>
          <w:b/>
          <w:bCs/>
        </w:rPr>
      </w:pPr>
    </w:p>
    <w:p w:rsidR="00690D6C" w:rsidRDefault="00690D6C" w:rsidP="00690D6C">
      <w:pPr>
        <w:jc w:val="both"/>
        <w:rPr>
          <w:rFonts w:ascii="Arial" w:hAnsi="Arial" w:cs="Arial"/>
          <w:b/>
          <w:bCs/>
        </w:rPr>
      </w:pPr>
    </w:p>
    <w:p w:rsidR="00690D6C" w:rsidRPr="00690D6C" w:rsidRDefault="00690D6C" w:rsidP="00690D6C">
      <w:pPr>
        <w:spacing w:after="0"/>
        <w:jc w:val="both"/>
        <w:rPr>
          <w:rFonts w:ascii="Arial" w:hAnsi="Arial" w:cs="Arial"/>
          <w:b/>
          <w:bCs/>
        </w:rPr>
      </w:pPr>
      <w:r w:rsidRPr="00690D6C">
        <w:rPr>
          <w:rFonts w:ascii="Arial" w:hAnsi="Arial" w:cs="Arial"/>
          <w:b/>
          <w:bCs/>
        </w:rPr>
        <w:t>Sobre el Autor</w:t>
      </w:r>
    </w:p>
    <w:p w:rsidR="00690D6C" w:rsidRPr="00690D6C" w:rsidRDefault="00690D6C" w:rsidP="00690D6C">
      <w:pPr>
        <w:spacing w:after="0"/>
        <w:jc w:val="both"/>
        <w:rPr>
          <w:rStyle w:val="Hipervnculo"/>
          <w:rFonts w:ascii="Arial" w:hAnsi="Arial" w:cs="Arial"/>
        </w:rPr>
      </w:pPr>
      <w:r w:rsidRPr="00690D6C">
        <w:rPr>
          <w:rFonts w:ascii="Arial" w:hAnsi="Arial" w:cs="Arial"/>
        </w:rPr>
        <w:fldChar w:fldCharType="begin"/>
      </w:r>
      <w:r w:rsidRPr="00690D6C">
        <w:rPr>
          <w:rFonts w:ascii="Arial" w:hAnsi="Arial" w:cs="Arial"/>
        </w:rPr>
        <w:instrText xml:space="preserve"> HYPERLINK "https://www.bis.org/author/sabine_mauderer.htm" </w:instrText>
      </w:r>
      <w:r w:rsidRPr="00690D6C">
        <w:rPr>
          <w:rFonts w:ascii="Arial" w:hAnsi="Arial" w:cs="Arial"/>
        </w:rPr>
        <w:fldChar w:fldCharType="separate"/>
      </w:r>
    </w:p>
    <w:p w:rsidR="00690D6C" w:rsidRPr="00690D6C" w:rsidRDefault="00690D6C" w:rsidP="00690D6C">
      <w:pPr>
        <w:spacing w:after="0"/>
        <w:jc w:val="both"/>
        <w:rPr>
          <w:rStyle w:val="Hipervnculo"/>
          <w:rFonts w:ascii="Arial" w:hAnsi="Arial" w:cs="Arial"/>
          <w:b/>
          <w:bCs/>
        </w:rPr>
      </w:pPr>
      <w:r w:rsidRPr="00690D6C">
        <w:rPr>
          <w:rStyle w:val="Hipervnculo"/>
          <w:rFonts w:ascii="Arial" w:hAnsi="Arial" w:cs="Arial"/>
          <w:b/>
          <w:bCs/>
        </w:rPr>
        <w:t xml:space="preserve">Sabine </w:t>
      </w:r>
      <w:proofErr w:type="spellStart"/>
      <w:r w:rsidRPr="00690D6C">
        <w:rPr>
          <w:rStyle w:val="Hipervnculo"/>
          <w:rFonts w:ascii="Arial" w:hAnsi="Arial" w:cs="Arial"/>
          <w:b/>
          <w:bCs/>
        </w:rPr>
        <w:t>Mauderer</w:t>
      </w:r>
      <w:proofErr w:type="spellEnd"/>
    </w:p>
    <w:p w:rsidR="00690D6C" w:rsidRPr="00690D6C" w:rsidRDefault="00690D6C" w:rsidP="00690D6C">
      <w:pPr>
        <w:spacing w:after="0"/>
        <w:jc w:val="both"/>
        <w:rPr>
          <w:rStyle w:val="Hipervnculo"/>
          <w:rFonts w:ascii="Arial" w:hAnsi="Arial" w:cs="Arial"/>
        </w:rPr>
      </w:pPr>
      <w:r w:rsidRPr="00690D6C">
        <w:rPr>
          <w:rStyle w:val="Hipervnculo"/>
          <w:rFonts w:ascii="Arial" w:hAnsi="Arial" w:cs="Arial"/>
        </w:rPr>
        <w:t>Más de este autor</w:t>
      </w:r>
    </w:p>
    <w:p w:rsidR="00690D6C" w:rsidRPr="00690D6C" w:rsidRDefault="00690D6C" w:rsidP="00690D6C">
      <w:pPr>
        <w:spacing w:after="0"/>
        <w:jc w:val="both"/>
        <w:rPr>
          <w:rFonts w:ascii="Arial" w:hAnsi="Arial" w:cs="Arial"/>
        </w:rPr>
      </w:pPr>
      <w:r w:rsidRPr="00690D6C">
        <w:rPr>
          <w:rFonts w:ascii="Arial" w:hAnsi="Arial" w:cs="Arial"/>
        </w:rPr>
        <w:fldChar w:fldCharType="end"/>
      </w:r>
    </w:p>
    <w:p w:rsidR="00690D6C" w:rsidRPr="00690D6C" w:rsidRDefault="00690D6C" w:rsidP="00690D6C">
      <w:pPr>
        <w:spacing w:after="0"/>
        <w:jc w:val="both"/>
        <w:rPr>
          <w:rFonts w:ascii="Arial" w:hAnsi="Arial" w:cs="Arial"/>
        </w:rPr>
      </w:pPr>
    </w:p>
    <w:p w:rsidR="00ED7650" w:rsidRPr="00690D6C" w:rsidRDefault="003B1819" w:rsidP="00690D6C">
      <w:pPr>
        <w:jc w:val="both"/>
        <w:rPr>
          <w:rFonts w:ascii="Arial" w:hAnsi="Arial" w:cs="Arial"/>
        </w:rPr>
      </w:pPr>
    </w:p>
    <w:sectPr w:rsidR="00ED7650" w:rsidRPr="00690D6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819" w:rsidRDefault="003B1819" w:rsidP="00C52E90">
      <w:pPr>
        <w:spacing w:after="0" w:line="240" w:lineRule="auto"/>
      </w:pPr>
      <w:r>
        <w:separator/>
      </w:r>
    </w:p>
  </w:endnote>
  <w:endnote w:type="continuationSeparator" w:id="0">
    <w:p w:rsidR="003B1819" w:rsidRDefault="003B1819" w:rsidP="00C5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90" w:rsidRDefault="00C52E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965214"/>
      <w:docPartObj>
        <w:docPartGallery w:val="Page Numbers (Bottom of Page)"/>
        <w:docPartUnique/>
      </w:docPartObj>
    </w:sdtPr>
    <w:sdtContent>
      <w:bookmarkStart w:id="0" w:name="_GoBack" w:displacedByCustomXml="prev"/>
      <w:bookmarkEnd w:id="0" w:displacedByCustomXml="prev"/>
      <w:p w:rsidR="00C52E90" w:rsidRDefault="00C52E90">
        <w:pPr>
          <w:pStyle w:val="Piedepgina"/>
          <w:jc w:val="right"/>
        </w:pPr>
        <w:r>
          <w:fldChar w:fldCharType="begin"/>
        </w:r>
        <w:r>
          <w:instrText>PAGE   \* MERGEFORMAT</w:instrText>
        </w:r>
        <w:r>
          <w:fldChar w:fldCharType="separate"/>
        </w:r>
        <w:r w:rsidRPr="00C52E90">
          <w:rPr>
            <w:noProof/>
            <w:lang w:val="es-ES"/>
          </w:rPr>
          <w:t>5</w:t>
        </w:r>
        <w:r>
          <w:fldChar w:fldCharType="end"/>
        </w:r>
      </w:p>
    </w:sdtContent>
  </w:sdt>
  <w:p w:rsidR="00C52E90" w:rsidRDefault="00C52E9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90" w:rsidRDefault="00C52E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819" w:rsidRDefault="003B1819" w:rsidP="00C52E90">
      <w:pPr>
        <w:spacing w:after="0" w:line="240" w:lineRule="auto"/>
      </w:pPr>
      <w:r>
        <w:separator/>
      </w:r>
    </w:p>
  </w:footnote>
  <w:footnote w:type="continuationSeparator" w:id="0">
    <w:p w:rsidR="003B1819" w:rsidRDefault="003B1819" w:rsidP="00C52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90" w:rsidRDefault="00C52E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90" w:rsidRDefault="00C52E9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90" w:rsidRDefault="00C52E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3DBB"/>
    <w:multiLevelType w:val="multilevel"/>
    <w:tmpl w:val="D692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6C"/>
    <w:rsid w:val="000F4B68"/>
    <w:rsid w:val="001739B4"/>
    <w:rsid w:val="003B1819"/>
    <w:rsid w:val="003B63A5"/>
    <w:rsid w:val="00690D6C"/>
    <w:rsid w:val="00C52E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44EE8-45F4-4FFE-AD0F-33F5740A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0D6C"/>
    <w:rPr>
      <w:color w:val="0563C1" w:themeColor="hyperlink"/>
      <w:u w:val="single"/>
    </w:rPr>
  </w:style>
  <w:style w:type="paragraph" w:styleId="Encabezado">
    <w:name w:val="header"/>
    <w:basedOn w:val="Normal"/>
    <w:link w:val="EncabezadoCar"/>
    <w:uiPriority w:val="99"/>
    <w:unhideWhenUsed/>
    <w:rsid w:val="00C52E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2E90"/>
  </w:style>
  <w:style w:type="paragraph" w:styleId="Piedepgina">
    <w:name w:val="footer"/>
    <w:basedOn w:val="Normal"/>
    <w:link w:val="PiedepginaCar"/>
    <w:uiPriority w:val="99"/>
    <w:unhideWhenUsed/>
    <w:rsid w:val="00C52E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793">
      <w:bodyDiv w:val="1"/>
      <w:marLeft w:val="0"/>
      <w:marRight w:val="0"/>
      <w:marTop w:val="0"/>
      <w:marBottom w:val="0"/>
      <w:divBdr>
        <w:top w:val="none" w:sz="0" w:space="0" w:color="auto"/>
        <w:left w:val="none" w:sz="0" w:space="0" w:color="auto"/>
        <w:bottom w:val="none" w:sz="0" w:space="0" w:color="auto"/>
        <w:right w:val="none" w:sz="0" w:space="0" w:color="auto"/>
      </w:divBdr>
    </w:div>
    <w:div w:id="118763755">
      <w:bodyDiv w:val="1"/>
      <w:marLeft w:val="0"/>
      <w:marRight w:val="0"/>
      <w:marTop w:val="0"/>
      <w:marBottom w:val="0"/>
      <w:divBdr>
        <w:top w:val="none" w:sz="0" w:space="0" w:color="auto"/>
        <w:left w:val="none" w:sz="0" w:space="0" w:color="auto"/>
        <w:bottom w:val="none" w:sz="0" w:space="0" w:color="auto"/>
        <w:right w:val="none" w:sz="0" w:space="0" w:color="auto"/>
      </w:divBdr>
      <w:divsChild>
        <w:div w:id="1386375689">
          <w:marLeft w:val="0"/>
          <w:marRight w:val="0"/>
          <w:marTop w:val="0"/>
          <w:marBottom w:val="0"/>
          <w:divBdr>
            <w:top w:val="none" w:sz="0" w:space="0" w:color="auto"/>
            <w:left w:val="none" w:sz="0" w:space="0" w:color="auto"/>
            <w:bottom w:val="none" w:sz="0" w:space="0" w:color="auto"/>
            <w:right w:val="none" w:sz="0" w:space="0" w:color="auto"/>
          </w:divBdr>
        </w:div>
      </w:divsChild>
    </w:div>
    <w:div w:id="197813695">
      <w:bodyDiv w:val="1"/>
      <w:marLeft w:val="0"/>
      <w:marRight w:val="0"/>
      <w:marTop w:val="0"/>
      <w:marBottom w:val="0"/>
      <w:divBdr>
        <w:top w:val="none" w:sz="0" w:space="0" w:color="auto"/>
        <w:left w:val="none" w:sz="0" w:space="0" w:color="auto"/>
        <w:bottom w:val="none" w:sz="0" w:space="0" w:color="auto"/>
        <w:right w:val="none" w:sz="0" w:space="0" w:color="auto"/>
      </w:divBdr>
    </w:div>
    <w:div w:id="456798545">
      <w:bodyDiv w:val="1"/>
      <w:marLeft w:val="0"/>
      <w:marRight w:val="0"/>
      <w:marTop w:val="0"/>
      <w:marBottom w:val="0"/>
      <w:divBdr>
        <w:top w:val="none" w:sz="0" w:space="0" w:color="auto"/>
        <w:left w:val="none" w:sz="0" w:space="0" w:color="auto"/>
        <w:bottom w:val="none" w:sz="0" w:space="0" w:color="auto"/>
        <w:right w:val="none" w:sz="0" w:space="0" w:color="auto"/>
      </w:divBdr>
    </w:div>
    <w:div w:id="538518448">
      <w:bodyDiv w:val="1"/>
      <w:marLeft w:val="0"/>
      <w:marRight w:val="0"/>
      <w:marTop w:val="0"/>
      <w:marBottom w:val="0"/>
      <w:divBdr>
        <w:top w:val="none" w:sz="0" w:space="0" w:color="auto"/>
        <w:left w:val="none" w:sz="0" w:space="0" w:color="auto"/>
        <w:bottom w:val="none" w:sz="0" w:space="0" w:color="auto"/>
        <w:right w:val="none" w:sz="0" w:space="0" w:color="auto"/>
      </w:divBdr>
      <w:divsChild>
        <w:div w:id="2063672928">
          <w:marLeft w:val="0"/>
          <w:marRight w:val="0"/>
          <w:marTop w:val="0"/>
          <w:marBottom w:val="0"/>
          <w:divBdr>
            <w:top w:val="none" w:sz="0" w:space="0" w:color="auto"/>
            <w:left w:val="none" w:sz="0" w:space="0" w:color="auto"/>
            <w:bottom w:val="none" w:sz="0" w:space="0" w:color="auto"/>
            <w:right w:val="none" w:sz="0" w:space="0" w:color="auto"/>
          </w:divBdr>
        </w:div>
        <w:div w:id="1992951499">
          <w:marLeft w:val="0"/>
          <w:marRight w:val="0"/>
          <w:marTop w:val="600"/>
          <w:marBottom w:val="0"/>
          <w:divBdr>
            <w:top w:val="none" w:sz="0" w:space="0" w:color="auto"/>
            <w:left w:val="none" w:sz="0" w:space="0" w:color="auto"/>
            <w:bottom w:val="none" w:sz="0" w:space="0" w:color="auto"/>
            <w:right w:val="none" w:sz="0" w:space="0" w:color="auto"/>
          </w:divBdr>
          <w:divsChild>
            <w:div w:id="1040088617">
              <w:marLeft w:val="0"/>
              <w:marRight w:val="0"/>
              <w:marTop w:val="0"/>
              <w:marBottom w:val="0"/>
              <w:divBdr>
                <w:top w:val="none" w:sz="0" w:space="0" w:color="auto"/>
                <w:left w:val="none" w:sz="0" w:space="0" w:color="auto"/>
                <w:bottom w:val="none" w:sz="0" w:space="0" w:color="auto"/>
                <w:right w:val="none" w:sz="0" w:space="0" w:color="auto"/>
              </w:divBdr>
            </w:div>
            <w:div w:id="1178303623">
              <w:marLeft w:val="0"/>
              <w:marRight w:val="0"/>
              <w:marTop w:val="0"/>
              <w:marBottom w:val="0"/>
              <w:divBdr>
                <w:top w:val="none" w:sz="0" w:space="0" w:color="auto"/>
                <w:left w:val="none" w:sz="0" w:space="0" w:color="auto"/>
                <w:bottom w:val="none" w:sz="0" w:space="0" w:color="auto"/>
                <w:right w:val="none" w:sz="0" w:space="0" w:color="auto"/>
              </w:divBdr>
              <w:divsChild>
                <w:div w:id="1498306451">
                  <w:marLeft w:val="-450"/>
                  <w:marRight w:val="0"/>
                  <w:marTop w:val="0"/>
                  <w:marBottom w:val="450"/>
                  <w:divBdr>
                    <w:top w:val="none" w:sz="0" w:space="0" w:color="auto"/>
                    <w:left w:val="none" w:sz="0" w:space="0" w:color="auto"/>
                    <w:bottom w:val="none" w:sz="0" w:space="0" w:color="auto"/>
                    <w:right w:val="none" w:sz="0" w:space="0" w:color="auto"/>
                  </w:divBdr>
                  <w:divsChild>
                    <w:div w:id="1471829564">
                      <w:marLeft w:val="0"/>
                      <w:marRight w:val="0"/>
                      <w:marTop w:val="0"/>
                      <w:marBottom w:val="0"/>
                      <w:divBdr>
                        <w:top w:val="none" w:sz="0" w:space="0" w:color="auto"/>
                        <w:left w:val="none" w:sz="0" w:space="0" w:color="auto"/>
                        <w:bottom w:val="none" w:sz="0" w:space="0" w:color="auto"/>
                        <w:right w:val="none" w:sz="0" w:space="0" w:color="auto"/>
                      </w:divBdr>
                      <w:divsChild>
                        <w:div w:id="1861702514">
                          <w:marLeft w:val="0"/>
                          <w:marRight w:val="0"/>
                          <w:marTop w:val="0"/>
                          <w:marBottom w:val="0"/>
                          <w:divBdr>
                            <w:top w:val="none" w:sz="0" w:space="0" w:color="auto"/>
                            <w:left w:val="none" w:sz="0" w:space="0" w:color="auto"/>
                            <w:bottom w:val="none" w:sz="0" w:space="0" w:color="auto"/>
                            <w:right w:val="none" w:sz="0" w:space="0" w:color="auto"/>
                          </w:divBdr>
                          <w:divsChild>
                            <w:div w:id="1519586271">
                              <w:marLeft w:val="0"/>
                              <w:marRight w:val="0"/>
                              <w:marTop w:val="0"/>
                              <w:marBottom w:val="0"/>
                              <w:divBdr>
                                <w:top w:val="none" w:sz="0" w:space="0" w:color="auto"/>
                                <w:left w:val="none" w:sz="0" w:space="0" w:color="auto"/>
                                <w:bottom w:val="none" w:sz="0" w:space="0" w:color="auto"/>
                                <w:right w:val="none" w:sz="0" w:space="0" w:color="auto"/>
                              </w:divBdr>
                            </w:div>
                            <w:div w:id="13862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354554">
      <w:bodyDiv w:val="1"/>
      <w:marLeft w:val="0"/>
      <w:marRight w:val="0"/>
      <w:marTop w:val="0"/>
      <w:marBottom w:val="0"/>
      <w:divBdr>
        <w:top w:val="none" w:sz="0" w:space="0" w:color="auto"/>
        <w:left w:val="none" w:sz="0" w:space="0" w:color="auto"/>
        <w:bottom w:val="none" w:sz="0" w:space="0" w:color="auto"/>
        <w:right w:val="none" w:sz="0" w:space="0" w:color="auto"/>
      </w:divBdr>
    </w:div>
    <w:div w:id="1316641921">
      <w:bodyDiv w:val="1"/>
      <w:marLeft w:val="0"/>
      <w:marRight w:val="0"/>
      <w:marTop w:val="0"/>
      <w:marBottom w:val="0"/>
      <w:divBdr>
        <w:top w:val="none" w:sz="0" w:space="0" w:color="auto"/>
        <w:left w:val="none" w:sz="0" w:space="0" w:color="auto"/>
        <w:bottom w:val="none" w:sz="0" w:space="0" w:color="auto"/>
        <w:right w:val="none" w:sz="0" w:space="0" w:color="auto"/>
      </w:divBdr>
    </w:div>
    <w:div w:id="1477986280">
      <w:bodyDiv w:val="1"/>
      <w:marLeft w:val="0"/>
      <w:marRight w:val="0"/>
      <w:marTop w:val="0"/>
      <w:marBottom w:val="0"/>
      <w:divBdr>
        <w:top w:val="none" w:sz="0" w:space="0" w:color="auto"/>
        <w:left w:val="none" w:sz="0" w:space="0" w:color="auto"/>
        <w:bottom w:val="none" w:sz="0" w:space="0" w:color="auto"/>
        <w:right w:val="none" w:sz="0" w:space="0" w:color="auto"/>
      </w:divBdr>
    </w:div>
    <w:div w:id="1981956648">
      <w:bodyDiv w:val="1"/>
      <w:marLeft w:val="0"/>
      <w:marRight w:val="0"/>
      <w:marTop w:val="0"/>
      <w:marBottom w:val="0"/>
      <w:divBdr>
        <w:top w:val="none" w:sz="0" w:space="0" w:color="auto"/>
        <w:left w:val="none" w:sz="0" w:space="0" w:color="auto"/>
        <w:bottom w:val="none" w:sz="0" w:space="0" w:color="auto"/>
        <w:right w:val="none" w:sz="0" w:space="0" w:color="auto"/>
      </w:divBdr>
      <w:divsChild>
        <w:div w:id="1689716508">
          <w:marLeft w:val="0"/>
          <w:marRight w:val="0"/>
          <w:marTop w:val="0"/>
          <w:marBottom w:val="0"/>
          <w:divBdr>
            <w:top w:val="none" w:sz="0" w:space="0" w:color="auto"/>
            <w:left w:val="none" w:sz="0" w:space="0" w:color="auto"/>
            <w:bottom w:val="none" w:sz="0" w:space="0" w:color="auto"/>
            <w:right w:val="none" w:sz="0" w:space="0" w:color="auto"/>
          </w:divBdr>
        </w:div>
        <w:div w:id="269819585">
          <w:marLeft w:val="0"/>
          <w:marRight w:val="0"/>
          <w:marTop w:val="600"/>
          <w:marBottom w:val="0"/>
          <w:divBdr>
            <w:top w:val="none" w:sz="0" w:space="0" w:color="auto"/>
            <w:left w:val="none" w:sz="0" w:space="0" w:color="auto"/>
            <w:bottom w:val="none" w:sz="0" w:space="0" w:color="auto"/>
            <w:right w:val="none" w:sz="0" w:space="0" w:color="auto"/>
          </w:divBdr>
          <w:divsChild>
            <w:div w:id="1440370230">
              <w:marLeft w:val="0"/>
              <w:marRight w:val="0"/>
              <w:marTop w:val="0"/>
              <w:marBottom w:val="0"/>
              <w:divBdr>
                <w:top w:val="none" w:sz="0" w:space="0" w:color="auto"/>
                <w:left w:val="none" w:sz="0" w:space="0" w:color="auto"/>
                <w:bottom w:val="none" w:sz="0" w:space="0" w:color="auto"/>
                <w:right w:val="none" w:sz="0" w:space="0" w:color="auto"/>
              </w:divBdr>
            </w:div>
            <w:div w:id="811484182">
              <w:marLeft w:val="0"/>
              <w:marRight w:val="0"/>
              <w:marTop w:val="0"/>
              <w:marBottom w:val="0"/>
              <w:divBdr>
                <w:top w:val="none" w:sz="0" w:space="0" w:color="auto"/>
                <w:left w:val="none" w:sz="0" w:space="0" w:color="auto"/>
                <w:bottom w:val="none" w:sz="0" w:space="0" w:color="auto"/>
                <w:right w:val="none" w:sz="0" w:space="0" w:color="auto"/>
              </w:divBdr>
              <w:divsChild>
                <w:div w:id="2053187334">
                  <w:marLeft w:val="-450"/>
                  <w:marRight w:val="0"/>
                  <w:marTop w:val="0"/>
                  <w:marBottom w:val="450"/>
                  <w:divBdr>
                    <w:top w:val="none" w:sz="0" w:space="0" w:color="auto"/>
                    <w:left w:val="none" w:sz="0" w:space="0" w:color="auto"/>
                    <w:bottom w:val="none" w:sz="0" w:space="0" w:color="auto"/>
                    <w:right w:val="none" w:sz="0" w:space="0" w:color="auto"/>
                  </w:divBdr>
                  <w:divsChild>
                    <w:div w:id="365985667">
                      <w:marLeft w:val="0"/>
                      <w:marRight w:val="0"/>
                      <w:marTop w:val="0"/>
                      <w:marBottom w:val="0"/>
                      <w:divBdr>
                        <w:top w:val="none" w:sz="0" w:space="0" w:color="auto"/>
                        <w:left w:val="none" w:sz="0" w:space="0" w:color="auto"/>
                        <w:bottom w:val="none" w:sz="0" w:space="0" w:color="auto"/>
                        <w:right w:val="none" w:sz="0" w:space="0" w:color="auto"/>
                      </w:divBdr>
                      <w:divsChild>
                        <w:div w:id="112943615">
                          <w:marLeft w:val="0"/>
                          <w:marRight w:val="0"/>
                          <w:marTop w:val="0"/>
                          <w:marBottom w:val="0"/>
                          <w:divBdr>
                            <w:top w:val="none" w:sz="0" w:space="0" w:color="auto"/>
                            <w:left w:val="none" w:sz="0" w:space="0" w:color="auto"/>
                            <w:bottom w:val="none" w:sz="0" w:space="0" w:color="auto"/>
                            <w:right w:val="none" w:sz="0" w:space="0" w:color="auto"/>
                          </w:divBdr>
                          <w:divsChild>
                            <w:div w:id="384111448">
                              <w:marLeft w:val="0"/>
                              <w:marRight w:val="0"/>
                              <w:marTop w:val="0"/>
                              <w:marBottom w:val="0"/>
                              <w:divBdr>
                                <w:top w:val="none" w:sz="0" w:space="0" w:color="auto"/>
                                <w:left w:val="none" w:sz="0" w:space="0" w:color="auto"/>
                                <w:bottom w:val="none" w:sz="0" w:space="0" w:color="auto"/>
                                <w:right w:val="none" w:sz="0" w:space="0" w:color="auto"/>
                              </w:divBdr>
                            </w:div>
                            <w:div w:id="11403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s.org/author/sabine_mauderer.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2036</Words>
  <Characters>11199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2021-06-23T04:47:00Z</dcterms:created>
  <dcterms:modified xsi:type="dcterms:W3CDTF">2021-06-23T04:57:00Z</dcterms:modified>
</cp:coreProperties>
</file>