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49E" w:rsidRPr="0076249E" w:rsidRDefault="0076249E" w:rsidP="0076249E">
      <w:pPr>
        <w:jc w:val="both"/>
        <w:rPr>
          <w:rFonts w:ascii="Arial" w:hAnsi="Arial" w:cs="Arial"/>
          <w:b/>
          <w:bCs/>
        </w:rPr>
      </w:pPr>
      <w:r w:rsidRPr="0076249E">
        <w:rPr>
          <w:rFonts w:ascii="Arial" w:hAnsi="Arial" w:cs="Arial"/>
          <w:b/>
          <w:bCs/>
        </w:rPr>
        <w:t>Una guía de ocho pasos para el proceso de divulgación de las normas SASB</w:t>
      </w:r>
    </w:p>
    <w:p w:rsidR="0076249E" w:rsidRDefault="0076249E" w:rsidP="0076249E">
      <w:pPr>
        <w:jc w:val="both"/>
        <w:rPr>
          <w:rFonts w:ascii="Arial" w:hAnsi="Arial" w:cs="Arial"/>
        </w:rPr>
      </w:pPr>
    </w:p>
    <w:p w:rsidR="0076249E" w:rsidRPr="0076249E" w:rsidRDefault="0076249E" w:rsidP="0076249E">
      <w:pPr>
        <w:jc w:val="both"/>
        <w:rPr>
          <w:rFonts w:ascii="Arial" w:hAnsi="Arial" w:cs="Arial"/>
        </w:rPr>
      </w:pPr>
      <w:r w:rsidRPr="0076249E">
        <w:rPr>
          <w:rFonts w:ascii="Arial" w:hAnsi="Arial" w:cs="Arial"/>
        </w:rPr>
        <w:t>20 de julio de 2021</w:t>
      </w:r>
      <w:bookmarkStart w:id="0" w:name="_GoBack"/>
      <w:bookmarkEnd w:id="0"/>
    </w:p>
    <w:p w:rsidR="0076249E" w:rsidRPr="0076249E" w:rsidRDefault="0076249E" w:rsidP="0076249E">
      <w:pPr>
        <w:jc w:val="both"/>
        <w:rPr>
          <w:rFonts w:ascii="Arial" w:hAnsi="Arial" w:cs="Arial"/>
        </w:rPr>
      </w:pPr>
    </w:p>
    <w:p w:rsidR="0076249E" w:rsidRPr="0076249E" w:rsidRDefault="0076249E" w:rsidP="0076249E">
      <w:pPr>
        <w:spacing w:after="0"/>
        <w:jc w:val="both"/>
        <w:rPr>
          <w:rFonts w:ascii="Arial" w:hAnsi="Arial" w:cs="Arial"/>
          <w:b/>
        </w:rPr>
      </w:pPr>
      <w:r w:rsidRPr="0076249E">
        <w:rPr>
          <w:rFonts w:ascii="Arial" w:hAnsi="Arial" w:cs="Arial"/>
          <w:b/>
        </w:rPr>
        <w:t xml:space="preserve">Hope </w:t>
      </w:r>
      <w:proofErr w:type="spellStart"/>
      <w:r w:rsidRPr="0076249E">
        <w:rPr>
          <w:rFonts w:ascii="Arial" w:hAnsi="Arial" w:cs="Arial"/>
          <w:b/>
        </w:rPr>
        <w:t>Mehlman</w:t>
      </w:r>
      <w:proofErr w:type="spellEnd"/>
    </w:p>
    <w:p w:rsidR="0076249E" w:rsidRPr="0076249E" w:rsidRDefault="0076249E" w:rsidP="0076249E">
      <w:pPr>
        <w:spacing w:after="0"/>
        <w:jc w:val="both"/>
        <w:rPr>
          <w:rFonts w:ascii="Arial" w:hAnsi="Arial" w:cs="Arial"/>
        </w:rPr>
      </w:pPr>
      <w:r w:rsidRPr="0076249E">
        <w:rPr>
          <w:rFonts w:ascii="Arial" w:hAnsi="Arial" w:cs="Arial"/>
        </w:rPr>
        <w:t xml:space="preserve">Asesor Jurídico y Secretario Corporativo, Bank of </w:t>
      </w:r>
      <w:proofErr w:type="spellStart"/>
      <w:r w:rsidRPr="0076249E">
        <w:rPr>
          <w:rFonts w:ascii="Arial" w:hAnsi="Arial" w:cs="Arial"/>
        </w:rPr>
        <w:t>the</w:t>
      </w:r>
      <w:proofErr w:type="spellEnd"/>
      <w:r w:rsidRPr="0076249E">
        <w:rPr>
          <w:rFonts w:ascii="Arial" w:hAnsi="Arial" w:cs="Arial"/>
        </w:rPr>
        <w:t xml:space="preserve"> West; Secretario Corporativo, BNP </w:t>
      </w:r>
      <w:proofErr w:type="spellStart"/>
      <w:r w:rsidRPr="0076249E">
        <w:rPr>
          <w:rFonts w:ascii="Arial" w:hAnsi="Arial" w:cs="Arial"/>
        </w:rPr>
        <w:t>Paribas</w:t>
      </w:r>
      <w:proofErr w:type="spellEnd"/>
      <w:r w:rsidRPr="0076249E">
        <w:rPr>
          <w:rFonts w:ascii="Arial" w:hAnsi="Arial" w:cs="Arial"/>
        </w:rPr>
        <w:t>, EE. UU.</w:t>
      </w:r>
    </w:p>
    <w:p w:rsidR="0076249E" w:rsidRPr="0076249E" w:rsidRDefault="0076249E" w:rsidP="0076249E">
      <w:pPr>
        <w:jc w:val="both"/>
        <w:rPr>
          <w:rFonts w:ascii="Arial" w:hAnsi="Arial" w:cs="Arial"/>
        </w:rPr>
      </w:pPr>
    </w:p>
    <w:p w:rsidR="0076249E" w:rsidRDefault="0076249E" w:rsidP="0076249E">
      <w:pPr>
        <w:jc w:val="both"/>
        <w:rPr>
          <w:rFonts w:ascii="Arial" w:hAnsi="Arial" w:cs="Arial"/>
        </w:rPr>
      </w:pPr>
      <w:r w:rsidRPr="0076249E">
        <w:rPr>
          <w:rFonts w:ascii="Arial" w:hAnsi="Arial" w:cs="Arial"/>
        </w:rPr>
        <w:t>Con el creciente enfoque en el medio ambiente, social y gobernanza ("ESG") por parte de accionistas, reguladores, clientes, empleados y comunidades y la gran cantidad de clasificadores y calificadores en el mercado actual, todos los cuales esperan ver mayores niveles de divulgación, Puede ser difícil para las empresas públicas discernir dónde concentrar sus recursos para garantizar que estos grupos reciban información ESG precisa y comparable.</w:t>
      </w:r>
    </w:p>
    <w:p w:rsidR="0076249E" w:rsidRDefault="0076249E" w:rsidP="0076249E">
      <w:pPr>
        <w:jc w:val="both"/>
        <w:rPr>
          <w:rFonts w:ascii="Arial" w:hAnsi="Arial" w:cs="Arial"/>
        </w:rPr>
      </w:pPr>
      <w:r w:rsidRPr="0076249E">
        <w:rPr>
          <w:rFonts w:ascii="Arial" w:hAnsi="Arial" w:cs="Arial"/>
        </w:rPr>
        <w:t>Los diversos marcos de ESG de hoy aún no habían surgido cuando comencé a relacionarme con los accionistas hace varios años, mientras estaba en una empresa pública, con el objetivo de comprender sus perspectivas sobre los asuntos que consideran más importantes y la forma más efectiva de divulgar la información que buscaban. Esto presentó desafíos tanto para los emisores como para los accionistas porque no había estándares uniformes que pudieran usarse para comparar las divulgaciones de ESG entre diferentes compañías dentro de la misma industria. Pero después de que comenzaron a surgir los marcos de ESG, muchos inversores alentaron constantemente el uso de los estándares SASB porque brindan un marco para la generación de información comparable y confiable que permite a una empresa proporcionar datos ESG transparentes, útiles y relevantes en lo que respecta al negocio de esa empresa. ,</w:t>
      </w:r>
    </w:p>
    <w:p w:rsidR="0076249E" w:rsidRDefault="0076249E" w:rsidP="0076249E">
      <w:pPr>
        <w:jc w:val="both"/>
        <w:rPr>
          <w:rFonts w:ascii="Arial" w:hAnsi="Arial" w:cs="Arial"/>
        </w:rPr>
      </w:pPr>
      <w:r w:rsidRPr="0076249E">
        <w:rPr>
          <w:rFonts w:ascii="Arial" w:hAnsi="Arial" w:cs="Arial"/>
        </w:rPr>
        <w:t>¿Cómo se logra en la práctica la publicación de una divulgación inicial de los estándares SASB? </w:t>
      </w:r>
      <w:hyperlink r:id="rId5" w:history="1">
        <w:r w:rsidRPr="0076249E">
          <w:rPr>
            <w:rStyle w:val="Hipervnculo"/>
            <w:rFonts w:ascii="Arial" w:hAnsi="Arial" w:cs="Arial"/>
          </w:rPr>
          <w:t>Esta guía paso a paso</w:t>
        </w:r>
      </w:hyperlink>
      <w:r w:rsidRPr="0076249E">
        <w:rPr>
          <w:rFonts w:ascii="Arial" w:hAnsi="Arial" w:cs="Arial"/>
        </w:rPr>
        <w:t> se creó para ayudarlo a lograrlo. Si bien el completo </w:t>
      </w:r>
      <w:hyperlink r:id="rId6" w:history="1">
        <w:r w:rsidRPr="0076249E">
          <w:rPr>
            <w:rStyle w:val="Hipervnculo"/>
            <w:rFonts w:ascii="Arial" w:hAnsi="Arial" w:cs="Arial"/>
          </w:rPr>
          <w:t>Manual de implementación de estándares SASB</w:t>
        </w:r>
      </w:hyperlink>
      <w:r w:rsidRPr="0076249E">
        <w:rPr>
          <w:rFonts w:ascii="Arial" w:hAnsi="Arial" w:cs="Arial"/>
        </w:rPr>
        <w:t> profundiza, con estudios de casos, entrevistas y hojas de trabajo para ayudar a las empresas a identificar y realizar un seguimiento de su progreso en los elementos de acción clave, originalmente escribí esta </w:t>
      </w:r>
      <w:hyperlink r:id="rId7" w:history="1">
        <w:r w:rsidRPr="0076249E">
          <w:rPr>
            <w:rStyle w:val="Hipervnculo"/>
            <w:rFonts w:ascii="Arial" w:hAnsi="Arial" w:cs="Arial"/>
          </w:rPr>
          <w:t>guía paso a paso</w:t>
        </w:r>
      </w:hyperlink>
      <w:r w:rsidRPr="0076249E">
        <w:rPr>
          <w:rFonts w:ascii="Arial" w:hAnsi="Arial" w:cs="Arial"/>
        </w:rPr>
        <w:t> como una lista de verificación breve y práctica para encajar hechos y circunstancias singulares de mi empresa. Espero que a usted también le resulte un suplemento útil: un enfoque de ocho pasos que guía a los emisores a través del proceso de divulgación de las normas SASB:</w:t>
      </w:r>
    </w:p>
    <w:p w:rsidR="0076249E" w:rsidRPr="0076249E" w:rsidRDefault="0076249E" w:rsidP="0076249E">
      <w:pPr>
        <w:jc w:val="both"/>
        <w:rPr>
          <w:rFonts w:ascii="Arial" w:hAnsi="Arial" w:cs="Arial"/>
        </w:rPr>
      </w:pPr>
    </w:p>
    <w:p w:rsidR="0076249E" w:rsidRPr="0076249E" w:rsidRDefault="0076249E" w:rsidP="0076249E">
      <w:pPr>
        <w:numPr>
          <w:ilvl w:val="0"/>
          <w:numId w:val="1"/>
        </w:numPr>
        <w:jc w:val="both"/>
        <w:rPr>
          <w:rFonts w:ascii="Arial" w:hAnsi="Arial" w:cs="Arial"/>
        </w:rPr>
      </w:pPr>
      <w:r w:rsidRPr="0076249E">
        <w:rPr>
          <w:rFonts w:ascii="Arial" w:hAnsi="Arial" w:cs="Arial"/>
        </w:rPr>
        <w:t>Comprenda las expectativas de sus partes interesadas</w:t>
      </w:r>
    </w:p>
    <w:p w:rsidR="0076249E" w:rsidRPr="0076249E" w:rsidRDefault="0076249E" w:rsidP="0076249E">
      <w:pPr>
        <w:numPr>
          <w:ilvl w:val="0"/>
          <w:numId w:val="1"/>
        </w:numPr>
        <w:jc w:val="both"/>
        <w:rPr>
          <w:rFonts w:ascii="Arial" w:hAnsi="Arial" w:cs="Arial"/>
        </w:rPr>
      </w:pPr>
      <w:r w:rsidRPr="0076249E">
        <w:rPr>
          <w:rFonts w:ascii="Arial" w:hAnsi="Arial" w:cs="Arial"/>
        </w:rPr>
        <w:t>Identifique qué estándares SASB son aplicables a su negocio</w:t>
      </w:r>
    </w:p>
    <w:p w:rsidR="0076249E" w:rsidRPr="0076249E" w:rsidRDefault="0076249E" w:rsidP="0076249E">
      <w:pPr>
        <w:numPr>
          <w:ilvl w:val="0"/>
          <w:numId w:val="1"/>
        </w:numPr>
        <w:jc w:val="both"/>
        <w:rPr>
          <w:rFonts w:ascii="Arial" w:hAnsi="Arial" w:cs="Arial"/>
        </w:rPr>
      </w:pPr>
      <w:r w:rsidRPr="0076249E">
        <w:rPr>
          <w:rFonts w:ascii="Arial" w:hAnsi="Arial" w:cs="Arial"/>
        </w:rPr>
        <w:t>Realice un análisis de brechas de sus prácticas ESG y divulgaciones actuales</w:t>
      </w:r>
    </w:p>
    <w:p w:rsidR="0076249E" w:rsidRPr="0076249E" w:rsidRDefault="0076249E" w:rsidP="0076249E">
      <w:pPr>
        <w:numPr>
          <w:ilvl w:val="0"/>
          <w:numId w:val="1"/>
        </w:numPr>
        <w:jc w:val="both"/>
        <w:rPr>
          <w:rFonts w:ascii="Arial" w:hAnsi="Arial" w:cs="Arial"/>
        </w:rPr>
      </w:pPr>
      <w:r w:rsidRPr="0076249E">
        <w:rPr>
          <w:rFonts w:ascii="Arial" w:hAnsi="Arial" w:cs="Arial"/>
        </w:rPr>
        <w:t>Considere cambios en las prácticas actuales, si es necesario</w:t>
      </w:r>
    </w:p>
    <w:p w:rsidR="0076249E" w:rsidRPr="0076249E" w:rsidRDefault="0076249E" w:rsidP="0076249E">
      <w:pPr>
        <w:numPr>
          <w:ilvl w:val="0"/>
          <w:numId w:val="1"/>
        </w:numPr>
        <w:jc w:val="both"/>
        <w:rPr>
          <w:rFonts w:ascii="Arial" w:hAnsi="Arial" w:cs="Arial"/>
        </w:rPr>
      </w:pPr>
      <w:r w:rsidRPr="0076249E">
        <w:rPr>
          <w:rFonts w:ascii="Arial" w:hAnsi="Arial" w:cs="Arial"/>
        </w:rPr>
        <w:t>Redacte su divulgación de estándares SASB</w:t>
      </w:r>
    </w:p>
    <w:p w:rsidR="0076249E" w:rsidRPr="0076249E" w:rsidRDefault="0076249E" w:rsidP="0076249E">
      <w:pPr>
        <w:numPr>
          <w:ilvl w:val="0"/>
          <w:numId w:val="1"/>
        </w:numPr>
        <w:jc w:val="both"/>
        <w:rPr>
          <w:rFonts w:ascii="Arial" w:hAnsi="Arial" w:cs="Arial"/>
        </w:rPr>
      </w:pPr>
      <w:r w:rsidRPr="0076249E">
        <w:rPr>
          <w:rFonts w:ascii="Arial" w:hAnsi="Arial" w:cs="Arial"/>
        </w:rPr>
        <w:lastRenderedPageBreak/>
        <w:t>Discutir con la gerencia ejecutiva</w:t>
      </w:r>
    </w:p>
    <w:p w:rsidR="0076249E" w:rsidRPr="0076249E" w:rsidRDefault="0076249E" w:rsidP="0076249E">
      <w:pPr>
        <w:numPr>
          <w:ilvl w:val="0"/>
          <w:numId w:val="1"/>
        </w:numPr>
        <w:jc w:val="both"/>
        <w:rPr>
          <w:rFonts w:ascii="Arial" w:hAnsi="Arial" w:cs="Arial"/>
        </w:rPr>
      </w:pPr>
      <w:r w:rsidRPr="0076249E">
        <w:rPr>
          <w:rFonts w:ascii="Arial" w:hAnsi="Arial" w:cs="Arial"/>
        </w:rPr>
        <w:t xml:space="preserve">Divulgación de </w:t>
      </w:r>
      <w:proofErr w:type="spellStart"/>
      <w:r w:rsidRPr="0076249E">
        <w:rPr>
          <w:rFonts w:ascii="Arial" w:hAnsi="Arial" w:cs="Arial"/>
        </w:rPr>
        <w:t>Socialize</w:t>
      </w:r>
      <w:proofErr w:type="spellEnd"/>
      <w:r w:rsidRPr="0076249E">
        <w:rPr>
          <w:rFonts w:ascii="Arial" w:hAnsi="Arial" w:cs="Arial"/>
        </w:rPr>
        <w:t xml:space="preserve"> </w:t>
      </w:r>
      <w:proofErr w:type="spellStart"/>
      <w:r w:rsidRPr="0076249E">
        <w:rPr>
          <w:rFonts w:ascii="Arial" w:hAnsi="Arial" w:cs="Arial"/>
        </w:rPr>
        <w:t>Your</w:t>
      </w:r>
      <w:proofErr w:type="spellEnd"/>
      <w:r w:rsidRPr="0076249E">
        <w:rPr>
          <w:rFonts w:ascii="Arial" w:hAnsi="Arial" w:cs="Arial"/>
        </w:rPr>
        <w:t xml:space="preserve"> SASB </w:t>
      </w:r>
      <w:proofErr w:type="spellStart"/>
      <w:r w:rsidRPr="0076249E">
        <w:rPr>
          <w:rFonts w:ascii="Arial" w:hAnsi="Arial" w:cs="Arial"/>
        </w:rPr>
        <w:t>Standards</w:t>
      </w:r>
      <w:proofErr w:type="spellEnd"/>
    </w:p>
    <w:p w:rsidR="0076249E" w:rsidRPr="0076249E" w:rsidRDefault="0076249E" w:rsidP="0076249E">
      <w:pPr>
        <w:numPr>
          <w:ilvl w:val="0"/>
          <w:numId w:val="1"/>
        </w:numPr>
        <w:jc w:val="both"/>
        <w:rPr>
          <w:rFonts w:ascii="Arial" w:hAnsi="Arial" w:cs="Arial"/>
        </w:rPr>
      </w:pPr>
      <w:r w:rsidRPr="0076249E">
        <w:rPr>
          <w:rFonts w:ascii="Arial" w:hAnsi="Arial" w:cs="Arial"/>
        </w:rPr>
        <w:t>Lleve a cabo discusiones posteriores sobre la participación de los accionistas.</w:t>
      </w:r>
    </w:p>
    <w:p w:rsidR="0076249E" w:rsidRDefault="0076249E" w:rsidP="0076249E">
      <w:pPr>
        <w:jc w:val="both"/>
        <w:rPr>
          <w:rFonts w:ascii="Arial" w:hAnsi="Arial" w:cs="Arial"/>
        </w:rPr>
      </w:pPr>
    </w:p>
    <w:p w:rsidR="0076249E" w:rsidRPr="0076249E" w:rsidRDefault="0076249E" w:rsidP="0076249E">
      <w:pPr>
        <w:jc w:val="both"/>
        <w:rPr>
          <w:rFonts w:ascii="Arial" w:hAnsi="Arial" w:cs="Arial"/>
        </w:rPr>
      </w:pPr>
      <w:r w:rsidRPr="0076249E">
        <w:rPr>
          <w:rFonts w:ascii="Arial" w:hAnsi="Arial" w:cs="Arial"/>
        </w:rPr>
        <w:t>Animo a las empresas a que consideren trabajar para publicar su propia divulgación de normas SASB. Al proporcionar al mercado la información que buscan los inversores y otros, todos se benefician. Tanto los inversores como las empresas comprenden mejor cómo se abordan los riesgos de ESG y cómo se optimizan las oportunidades de ESG.</w:t>
      </w:r>
    </w:p>
    <w:p w:rsidR="0076249E" w:rsidRDefault="0076249E" w:rsidP="0076249E">
      <w:pPr>
        <w:jc w:val="both"/>
        <w:rPr>
          <w:rFonts w:ascii="Arial" w:hAnsi="Arial" w:cs="Arial"/>
        </w:rPr>
      </w:pPr>
    </w:p>
    <w:p w:rsidR="0076249E" w:rsidRPr="0076249E" w:rsidRDefault="0076249E" w:rsidP="0076249E">
      <w:pPr>
        <w:jc w:val="both"/>
        <w:rPr>
          <w:rFonts w:ascii="Arial" w:hAnsi="Arial" w:cs="Arial"/>
          <w:sz w:val="18"/>
          <w:szCs w:val="18"/>
        </w:rPr>
      </w:pPr>
      <w:r w:rsidRPr="0076249E">
        <w:rPr>
          <w:rFonts w:ascii="Arial" w:hAnsi="Arial" w:cs="Arial"/>
          <w:sz w:val="18"/>
          <w:szCs w:val="18"/>
        </w:rPr>
        <w:t xml:space="preserve">Los puntos de vista y opiniones expresados ​​en este documento son únicamente los del autor individual y no pretenden reflejar los puntos de vista u opiniones de Bank of </w:t>
      </w:r>
      <w:proofErr w:type="spellStart"/>
      <w:r w:rsidRPr="0076249E">
        <w:rPr>
          <w:rFonts w:ascii="Arial" w:hAnsi="Arial" w:cs="Arial"/>
          <w:sz w:val="18"/>
          <w:szCs w:val="18"/>
        </w:rPr>
        <w:t>the</w:t>
      </w:r>
      <w:proofErr w:type="spellEnd"/>
      <w:r w:rsidRPr="0076249E">
        <w:rPr>
          <w:rFonts w:ascii="Arial" w:hAnsi="Arial" w:cs="Arial"/>
          <w:sz w:val="18"/>
          <w:szCs w:val="18"/>
        </w:rPr>
        <w:t xml:space="preserve"> West o cualquiera de sus afiliadas. La información y los materiales proporcionados en este documento son solo para fines informativos. No se proporcionan con el propósito de brindar asesoría legal, ni para transmitir o constituir asesoría legal, ni como sustituto de la obtención de asesoría legal de un abogado calificado.</w:t>
      </w:r>
    </w:p>
    <w:p w:rsidR="0076249E" w:rsidRPr="0076249E" w:rsidRDefault="0076249E" w:rsidP="0076249E">
      <w:pPr>
        <w:jc w:val="both"/>
        <w:rPr>
          <w:rFonts w:ascii="Arial" w:hAnsi="Arial" w:cs="Arial"/>
          <w:sz w:val="18"/>
          <w:szCs w:val="18"/>
        </w:rPr>
      </w:pPr>
    </w:p>
    <w:p w:rsidR="00ED7650" w:rsidRPr="0076249E" w:rsidRDefault="0076249E" w:rsidP="0076249E">
      <w:pPr>
        <w:jc w:val="both"/>
        <w:rPr>
          <w:rFonts w:ascii="Arial" w:hAnsi="Arial" w:cs="Arial"/>
        </w:rPr>
      </w:pPr>
    </w:p>
    <w:sectPr w:rsidR="00ED7650" w:rsidRPr="007624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2625"/>
    <w:multiLevelType w:val="multilevel"/>
    <w:tmpl w:val="2BAC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9E"/>
    <w:rsid w:val="000F4B68"/>
    <w:rsid w:val="001739B4"/>
    <w:rsid w:val="003B63A5"/>
    <w:rsid w:val="007624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8F075-13CF-414F-8F3E-2EBCE964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2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9673">
      <w:bodyDiv w:val="1"/>
      <w:marLeft w:val="0"/>
      <w:marRight w:val="0"/>
      <w:marTop w:val="0"/>
      <w:marBottom w:val="0"/>
      <w:divBdr>
        <w:top w:val="none" w:sz="0" w:space="0" w:color="auto"/>
        <w:left w:val="none" w:sz="0" w:space="0" w:color="auto"/>
        <w:bottom w:val="none" w:sz="0" w:space="0" w:color="auto"/>
        <w:right w:val="none" w:sz="0" w:space="0" w:color="auto"/>
      </w:divBdr>
      <w:divsChild>
        <w:div w:id="612634946">
          <w:marLeft w:val="0"/>
          <w:marRight w:val="0"/>
          <w:marTop w:val="0"/>
          <w:marBottom w:val="375"/>
          <w:divBdr>
            <w:top w:val="none" w:sz="0" w:space="0" w:color="auto"/>
            <w:left w:val="none" w:sz="0" w:space="0" w:color="auto"/>
            <w:bottom w:val="none" w:sz="0" w:space="0" w:color="auto"/>
            <w:right w:val="none" w:sz="0" w:space="0" w:color="auto"/>
          </w:divBdr>
        </w:div>
      </w:divsChild>
    </w:div>
    <w:div w:id="415710916">
      <w:bodyDiv w:val="1"/>
      <w:marLeft w:val="0"/>
      <w:marRight w:val="0"/>
      <w:marTop w:val="0"/>
      <w:marBottom w:val="0"/>
      <w:divBdr>
        <w:top w:val="none" w:sz="0" w:space="0" w:color="auto"/>
        <w:left w:val="none" w:sz="0" w:space="0" w:color="auto"/>
        <w:bottom w:val="none" w:sz="0" w:space="0" w:color="auto"/>
        <w:right w:val="none" w:sz="0" w:space="0" w:color="auto"/>
      </w:divBdr>
      <w:divsChild>
        <w:div w:id="858003606">
          <w:marLeft w:val="0"/>
          <w:marRight w:val="0"/>
          <w:marTop w:val="0"/>
          <w:marBottom w:val="885"/>
          <w:divBdr>
            <w:top w:val="none" w:sz="0" w:space="30" w:color="auto"/>
            <w:left w:val="none" w:sz="0" w:space="0" w:color="auto"/>
            <w:bottom w:val="single" w:sz="6" w:space="30" w:color="979797"/>
            <w:right w:val="none" w:sz="0" w:space="0" w:color="auto"/>
          </w:divBdr>
          <w:divsChild>
            <w:div w:id="1747528937">
              <w:marLeft w:val="0"/>
              <w:marRight w:val="0"/>
              <w:marTop w:val="0"/>
              <w:marBottom w:val="0"/>
              <w:divBdr>
                <w:top w:val="none" w:sz="0" w:space="0" w:color="auto"/>
                <w:left w:val="none" w:sz="0" w:space="0" w:color="auto"/>
                <w:bottom w:val="none" w:sz="0" w:space="0" w:color="auto"/>
                <w:right w:val="none" w:sz="0" w:space="0" w:color="auto"/>
              </w:divBdr>
              <w:divsChild>
                <w:div w:id="721637327">
                  <w:marLeft w:val="0"/>
                  <w:marRight w:val="0"/>
                  <w:marTop w:val="0"/>
                  <w:marBottom w:val="0"/>
                  <w:divBdr>
                    <w:top w:val="none" w:sz="0" w:space="0" w:color="auto"/>
                    <w:left w:val="none" w:sz="0" w:space="0" w:color="auto"/>
                    <w:bottom w:val="none" w:sz="0" w:space="0" w:color="auto"/>
                    <w:right w:val="none" w:sz="0" w:space="0" w:color="auto"/>
                  </w:divBdr>
                </w:div>
              </w:divsChild>
            </w:div>
            <w:div w:id="2061241927">
              <w:marLeft w:val="0"/>
              <w:marRight w:val="210"/>
              <w:marTop w:val="525"/>
              <w:marBottom w:val="0"/>
              <w:divBdr>
                <w:top w:val="none" w:sz="0" w:space="0" w:color="auto"/>
                <w:left w:val="none" w:sz="0" w:space="0" w:color="auto"/>
                <w:bottom w:val="none" w:sz="0" w:space="0" w:color="auto"/>
                <w:right w:val="none" w:sz="0" w:space="0" w:color="auto"/>
              </w:divBdr>
            </w:div>
          </w:divsChild>
        </w:div>
        <w:div w:id="795830306">
          <w:marLeft w:val="0"/>
          <w:marRight w:val="0"/>
          <w:marTop w:val="0"/>
          <w:marBottom w:val="0"/>
          <w:divBdr>
            <w:top w:val="none" w:sz="0" w:space="0" w:color="auto"/>
            <w:left w:val="none" w:sz="0" w:space="0" w:color="auto"/>
            <w:bottom w:val="single" w:sz="6" w:space="31" w:color="979797"/>
            <w:right w:val="none" w:sz="0" w:space="0" w:color="auto"/>
          </w:divBdr>
        </w:div>
      </w:divsChild>
    </w:div>
    <w:div w:id="10576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sb.org/knowledge-hub/a-guest-experts-guide-to-sasb-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sb.org/implementation-primer/" TargetMode="External"/><Relationship Id="rId5" Type="http://schemas.openxmlformats.org/officeDocument/2006/relationships/hyperlink" Target="https://www.sasb.org/knowledge-hub/a-guest-experts-guide-to-sasb-stand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2021-10-06T19:00:00Z</dcterms:created>
  <dcterms:modified xsi:type="dcterms:W3CDTF">2021-10-06T19:04:00Z</dcterms:modified>
</cp:coreProperties>
</file>