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90D" w:rsidRPr="0001690D" w:rsidRDefault="0001690D" w:rsidP="0001690D">
      <w:pPr>
        <w:jc w:val="both"/>
        <w:rPr>
          <w:rFonts w:ascii="Arial" w:hAnsi="Arial" w:cs="Arial"/>
          <w:b/>
        </w:rPr>
      </w:pPr>
      <w:r w:rsidRPr="0001690D">
        <w:rPr>
          <w:rFonts w:ascii="Arial" w:hAnsi="Arial" w:cs="Arial"/>
          <w:b/>
        </w:rPr>
        <w:t>El cuarto informe de estado de TCFD destaca el mayor progreso hasta la fecha en la adopción de TCFD</w:t>
      </w:r>
    </w:p>
    <w:p w:rsidR="0001690D" w:rsidRDefault="0001690D" w:rsidP="0001690D">
      <w:pPr>
        <w:jc w:val="both"/>
        <w:rPr>
          <w:rFonts w:ascii="Arial" w:hAnsi="Arial" w:cs="Arial"/>
        </w:rPr>
      </w:pPr>
    </w:p>
    <w:p w:rsidR="0001690D" w:rsidRPr="0001690D" w:rsidRDefault="0001690D" w:rsidP="0001690D">
      <w:pPr>
        <w:jc w:val="both"/>
        <w:rPr>
          <w:rFonts w:ascii="Arial" w:hAnsi="Arial" w:cs="Arial"/>
        </w:rPr>
      </w:pPr>
      <w:r w:rsidRPr="0001690D">
        <w:rPr>
          <w:rFonts w:ascii="Arial" w:hAnsi="Arial" w:cs="Arial"/>
        </w:rPr>
        <w:t>14 de octubre de 2021</w:t>
      </w:r>
      <w:bookmarkStart w:id="0" w:name="_GoBack"/>
      <w:bookmarkEnd w:id="0"/>
    </w:p>
    <w:p w:rsidR="0001690D" w:rsidRDefault="0001690D" w:rsidP="0001690D">
      <w:pPr>
        <w:jc w:val="both"/>
        <w:rPr>
          <w:rFonts w:ascii="Arial" w:hAnsi="Arial" w:cs="Arial"/>
          <w:i/>
          <w:iCs/>
        </w:rPr>
      </w:pPr>
    </w:p>
    <w:p w:rsidR="0001690D" w:rsidRPr="0001690D" w:rsidRDefault="0001690D" w:rsidP="0001690D">
      <w:pPr>
        <w:jc w:val="both"/>
        <w:rPr>
          <w:rFonts w:ascii="Arial" w:hAnsi="Arial" w:cs="Arial"/>
        </w:rPr>
      </w:pPr>
      <w:r w:rsidRPr="0001690D">
        <w:rPr>
          <w:rFonts w:ascii="Arial" w:hAnsi="Arial" w:cs="Arial"/>
          <w:i/>
          <w:iCs/>
        </w:rPr>
        <w:t>El TCFD también publicó una nueva guía para que las empresas divulguen sus planes para una transición neta cero en línea con el Acuerdo de París, incluida la divulgación de siete categorías de métricas intersectoriales como las emisiones de GEI de Alcance 1, 2 y 3.</w:t>
      </w:r>
    </w:p>
    <w:p w:rsidR="0001690D" w:rsidRDefault="0001690D" w:rsidP="0001690D">
      <w:pPr>
        <w:jc w:val="both"/>
        <w:rPr>
          <w:rFonts w:ascii="Arial" w:hAnsi="Arial" w:cs="Arial"/>
          <w:i/>
          <w:iCs/>
        </w:rPr>
      </w:pPr>
    </w:p>
    <w:p w:rsidR="00ED7650" w:rsidRDefault="0001690D" w:rsidP="0001690D">
      <w:pPr>
        <w:jc w:val="both"/>
        <w:rPr>
          <w:rFonts w:ascii="Arial" w:hAnsi="Arial" w:cs="Arial"/>
          <w:i/>
          <w:iCs/>
        </w:rPr>
      </w:pPr>
      <w:r w:rsidRPr="0001690D">
        <w:rPr>
          <w:rFonts w:ascii="Arial" w:hAnsi="Arial" w:cs="Arial"/>
          <w:i/>
          <w:iCs/>
        </w:rPr>
        <w:t>La divulgación de TCFD aumentó más entre 2019 y 2020 que en años anteriores, 83 de las 100 empresas más grandes del mundo ahora respaldan o informan de acuerdo con las recomendaciones de TCFD</w:t>
      </w:r>
    </w:p>
    <w:p w:rsidR="0001690D" w:rsidRDefault="0001690D" w:rsidP="0001690D">
      <w:pPr>
        <w:jc w:val="both"/>
        <w:rPr>
          <w:rFonts w:ascii="Arial" w:hAnsi="Arial" w:cs="Arial"/>
          <w:i/>
          <w:iCs/>
        </w:rPr>
      </w:pPr>
    </w:p>
    <w:p w:rsidR="0001690D" w:rsidRPr="0001690D" w:rsidRDefault="0001690D" w:rsidP="0001690D">
      <w:pPr>
        <w:jc w:val="both"/>
        <w:rPr>
          <w:rFonts w:ascii="Arial" w:hAnsi="Arial" w:cs="Arial"/>
        </w:rPr>
      </w:pPr>
      <w:r w:rsidRPr="0001690D">
        <w:rPr>
          <w:rFonts w:ascii="Arial" w:hAnsi="Arial" w:cs="Arial"/>
          <w:i/>
          <w:iCs/>
        </w:rPr>
        <w:t>Nueva York, 14 de octubre de 2021 -</w:t>
      </w:r>
      <w:r w:rsidRPr="0001690D">
        <w:rPr>
          <w:rFonts w:ascii="Arial" w:hAnsi="Arial" w:cs="Arial"/>
        </w:rPr>
        <w:t> El Grupo de Trabajo sobre Divulgaciones Financieras Relacionadas con el Clima (TCFD), establecido por la Junta de Estabilidad Financiera (FSB), publicó su </w:t>
      </w:r>
      <w:hyperlink r:id="rId4" w:tgtFrame="_blank" w:history="1">
        <w:r w:rsidRPr="0001690D">
          <w:rPr>
            <w:rStyle w:val="Hipervnculo"/>
            <w:rFonts w:ascii="Arial" w:hAnsi="Arial" w:cs="Arial"/>
            <w:i/>
            <w:iCs/>
          </w:rPr>
          <w:t>Informe de Estado de 2021</w:t>
        </w:r>
      </w:hyperlink>
      <w:r w:rsidRPr="0001690D">
        <w:rPr>
          <w:rFonts w:ascii="Arial" w:hAnsi="Arial" w:cs="Arial"/>
        </w:rPr>
        <w:t xml:space="preserve">hoy </w:t>
      </w:r>
      <w:proofErr w:type="spellStart"/>
      <w:r w:rsidRPr="0001690D">
        <w:rPr>
          <w:rFonts w:ascii="Arial" w:hAnsi="Arial" w:cs="Arial"/>
        </w:rPr>
        <w:t>dia</w:t>
      </w:r>
      <w:proofErr w:type="spellEnd"/>
      <w:r w:rsidRPr="0001690D">
        <w:rPr>
          <w:rFonts w:ascii="Arial" w:hAnsi="Arial" w:cs="Arial"/>
        </w:rPr>
        <w:t>. Después de revisar más de 1,650 informes de empresas, de 69 países y jurisdicciones en ocho industrias, el Grupo de Trabajo descubrió que la divulgación en línea con las recomendaciones del TCFD se aceleró durante el año pasado y creció nueve puntos porcentuales desde 2019-2020 en comparación con los cuatro puntos porcentuales crecimiento de 2018-2019. Por primera vez, más del 50% de las empresas analizadas revelaron sus riesgos y oportunidades relacionados con el clima. Este crecimiento se vio reforzado por los anuncios oficiales de los requisitos de informes climáticos alineados con TCFD de varias jurisdicciones, así como por el apoyo a TCFD de inversores, emisores de normas internacionales y reguladores. A pesar del progreso significativo, todavía falta una divulgación general.</w:t>
      </w:r>
    </w:p>
    <w:p w:rsidR="0001690D" w:rsidRPr="0001690D" w:rsidRDefault="0001690D" w:rsidP="0001690D">
      <w:pPr>
        <w:jc w:val="both"/>
        <w:rPr>
          <w:rFonts w:ascii="Arial" w:hAnsi="Arial" w:cs="Arial"/>
        </w:rPr>
      </w:pPr>
      <w:r w:rsidRPr="0001690D">
        <w:rPr>
          <w:rFonts w:ascii="Arial" w:hAnsi="Arial" w:cs="Arial"/>
        </w:rPr>
        <w:t>“Cuando las empresas divulgan información clara, coherente y precisa sobre los riesgos a los que se enfrentan debido al cambio climático, los inversores y los líderes empresariales pueden tomar decisiones financieras más informadas y sostenibles. Eso fortalece nuestra economía global, mejora la salud y ayuda a abordar la crisis climática”, dijo </w:t>
      </w:r>
      <w:r w:rsidRPr="0001690D">
        <w:rPr>
          <w:rFonts w:ascii="Arial" w:hAnsi="Arial" w:cs="Arial"/>
          <w:b/>
          <w:bCs/>
        </w:rPr>
        <w:t xml:space="preserve">Michael R. </w:t>
      </w:r>
      <w:proofErr w:type="spellStart"/>
      <w:r w:rsidRPr="0001690D">
        <w:rPr>
          <w:rFonts w:ascii="Arial" w:hAnsi="Arial" w:cs="Arial"/>
          <w:b/>
          <w:bCs/>
        </w:rPr>
        <w:t>Bloomberg</w:t>
      </w:r>
      <w:proofErr w:type="spellEnd"/>
      <w:r w:rsidRPr="0001690D">
        <w:rPr>
          <w:rFonts w:ascii="Arial" w:hAnsi="Arial" w:cs="Arial"/>
          <w:b/>
          <w:bCs/>
        </w:rPr>
        <w:t xml:space="preserve">, presidente del grupo de trabajo y fundador de </w:t>
      </w:r>
      <w:proofErr w:type="spellStart"/>
      <w:r w:rsidRPr="0001690D">
        <w:rPr>
          <w:rFonts w:ascii="Arial" w:hAnsi="Arial" w:cs="Arial"/>
          <w:b/>
          <w:bCs/>
        </w:rPr>
        <w:t>Bloomberg</w:t>
      </w:r>
      <w:proofErr w:type="spellEnd"/>
      <w:r w:rsidRPr="0001690D">
        <w:rPr>
          <w:rFonts w:ascii="Arial" w:hAnsi="Arial" w:cs="Arial"/>
          <w:b/>
          <w:bCs/>
        </w:rPr>
        <w:t xml:space="preserve"> LP y </w:t>
      </w:r>
      <w:proofErr w:type="spellStart"/>
      <w:r w:rsidRPr="0001690D">
        <w:rPr>
          <w:rFonts w:ascii="Arial" w:hAnsi="Arial" w:cs="Arial"/>
          <w:b/>
          <w:bCs/>
        </w:rPr>
        <w:t>Bloomberg</w:t>
      </w:r>
      <w:proofErr w:type="spellEnd"/>
      <w:r w:rsidRPr="0001690D">
        <w:rPr>
          <w:rFonts w:ascii="Arial" w:hAnsi="Arial" w:cs="Arial"/>
          <w:b/>
          <w:bCs/>
        </w:rPr>
        <w:t xml:space="preserve"> </w:t>
      </w:r>
      <w:proofErr w:type="spellStart"/>
      <w:proofErr w:type="gramStart"/>
      <w:r w:rsidRPr="0001690D">
        <w:rPr>
          <w:rFonts w:ascii="Arial" w:hAnsi="Arial" w:cs="Arial"/>
          <w:b/>
          <w:bCs/>
        </w:rPr>
        <w:t>Philanthropies</w:t>
      </w:r>
      <w:proofErr w:type="spellEnd"/>
      <w:r w:rsidRPr="0001690D">
        <w:rPr>
          <w:rFonts w:ascii="Arial" w:hAnsi="Arial" w:cs="Arial"/>
        </w:rPr>
        <w:t> . </w:t>
      </w:r>
      <w:proofErr w:type="gramEnd"/>
      <w:r w:rsidRPr="0001690D">
        <w:rPr>
          <w:rFonts w:ascii="Arial" w:hAnsi="Arial" w:cs="Arial"/>
        </w:rPr>
        <w:t>“El Grupo de Trabajo ha tenido un año excepcional en la obtención de apoyo mundial para la presentación de informes sobre riesgos climáticos, pero aún nos queda un largo camino por recorrer. A medida que los gobiernos y las empresas de todo el mundo trabajan para acelerar la transición a una economía de energía limpia, deben seguir basándose en las recomendaciones de TCFD como una herramienta fundamental en sus esfuerzos”.</w:t>
      </w:r>
    </w:p>
    <w:p w:rsidR="0001690D" w:rsidRPr="0001690D" w:rsidRDefault="0001690D" w:rsidP="0001690D">
      <w:pPr>
        <w:jc w:val="both"/>
        <w:rPr>
          <w:rFonts w:ascii="Arial" w:hAnsi="Arial" w:cs="Arial"/>
        </w:rPr>
      </w:pPr>
      <w:r w:rsidRPr="0001690D">
        <w:rPr>
          <w:rFonts w:ascii="Arial" w:hAnsi="Arial" w:cs="Arial"/>
        </w:rPr>
        <w:t xml:space="preserve">Desde el informe del año pasado, el número de patrocinadores de TCFD ha aumentado en más de un tercio; más de 1.000 nuevas organizaciones ahora apoyan las recomendaciones de TCFD, lo que eleva el total a más de 2.600 en todo el mundo. Los partidarios de TCFD ahora abarcan 89 países y jurisdicciones y casi todos los sectores de la economía, con una capitalización de mercado combinada de más de $ 25,1 billones, un aumento del 99% desde </w:t>
      </w:r>
      <w:r w:rsidRPr="0001690D">
        <w:rPr>
          <w:rFonts w:ascii="Arial" w:hAnsi="Arial" w:cs="Arial"/>
        </w:rPr>
        <w:lastRenderedPageBreak/>
        <w:t>el año pasado. A medida que ha aumentado el apoyo del sector privado, los gobiernos y las organizaciones de todo el mundo están avanzando hacia la exigencia de divulgaciones climáticas a través de la legislación y la regulación. Solo en este año, las entidades oficiales en ocho jurisdicciones han hecho referencia al TCFD en anuncios para exigir informes relacionados con el clima. Los emisores de normas y reguladores internacionales también han expresado su apoyo para alinear sus esfuerzos con las recomendaciones de TCFD,</w:t>
      </w:r>
    </w:p>
    <w:p w:rsidR="0001690D" w:rsidRPr="0001690D" w:rsidRDefault="0001690D" w:rsidP="0001690D">
      <w:pPr>
        <w:jc w:val="both"/>
        <w:rPr>
          <w:rFonts w:ascii="Arial" w:hAnsi="Arial" w:cs="Arial"/>
        </w:rPr>
      </w:pPr>
      <w:r w:rsidRPr="0001690D">
        <w:rPr>
          <w:rFonts w:ascii="Arial" w:hAnsi="Arial" w:cs="Arial"/>
        </w:rPr>
        <w:t>“Existe un consenso claro y creciente entre inversionistas y reguladores sobre la importancia de la divulgación relacionada con el clima y la necesidad de datos estandarizados y transparentes para respaldar las decisiones de asignación de capital. A medida que los países y las empresas de todo el mundo establecen objetivos netos cero, el marco de TCFD se está convirtiendo cada vez más en la base de los estándares y requisitos necesarios para trazar la transición a una economía baja en carbono ”, comentó </w:t>
      </w:r>
      <w:r w:rsidRPr="0001690D">
        <w:rPr>
          <w:rFonts w:ascii="Arial" w:hAnsi="Arial" w:cs="Arial"/>
          <w:b/>
          <w:bCs/>
        </w:rPr>
        <w:t xml:space="preserve">Mary </w:t>
      </w:r>
      <w:proofErr w:type="spellStart"/>
      <w:r w:rsidRPr="0001690D">
        <w:rPr>
          <w:rFonts w:ascii="Arial" w:hAnsi="Arial" w:cs="Arial"/>
          <w:b/>
          <w:bCs/>
        </w:rPr>
        <w:t>Schapiro</w:t>
      </w:r>
      <w:proofErr w:type="spellEnd"/>
      <w:r w:rsidRPr="0001690D">
        <w:rPr>
          <w:rFonts w:ascii="Arial" w:hAnsi="Arial" w:cs="Arial"/>
          <w:b/>
          <w:bCs/>
        </w:rPr>
        <w:t xml:space="preserve">, directora de la Secretaría de TCFD y vicepresidenta de Política pública global en </w:t>
      </w:r>
      <w:proofErr w:type="spellStart"/>
      <w:r w:rsidRPr="0001690D">
        <w:rPr>
          <w:rFonts w:ascii="Arial" w:hAnsi="Arial" w:cs="Arial"/>
          <w:b/>
          <w:bCs/>
        </w:rPr>
        <w:t>Bloomberg</w:t>
      </w:r>
      <w:proofErr w:type="spellEnd"/>
      <w:r w:rsidRPr="0001690D">
        <w:rPr>
          <w:rFonts w:ascii="Arial" w:hAnsi="Arial" w:cs="Arial"/>
          <w:b/>
          <w:bCs/>
        </w:rPr>
        <w:t xml:space="preserve"> LP </w:t>
      </w:r>
      <w:r w:rsidRPr="0001690D">
        <w:rPr>
          <w:rFonts w:ascii="Arial" w:hAnsi="Arial" w:cs="Arial"/>
        </w:rPr>
        <w:t> “Es por eso que hoy también publicamos guías para ayudar a las empresas a divulgar sus planes y avances para la transición a una economía baja en carbono, métricas intersectoriales más consistentes y, para las firmas financieras, cómo alinean sus carteras se encuentran en un escenario muy por debajo de los 2 ° C ".</w:t>
      </w:r>
    </w:p>
    <w:p w:rsidR="0001690D" w:rsidRDefault="0001690D" w:rsidP="0001690D">
      <w:pPr>
        <w:jc w:val="both"/>
        <w:rPr>
          <w:rFonts w:ascii="Arial" w:hAnsi="Arial" w:cs="Arial"/>
          <w:b/>
          <w:bCs/>
        </w:rPr>
      </w:pPr>
      <w:r w:rsidRPr="0001690D">
        <w:rPr>
          <w:rFonts w:ascii="Arial" w:hAnsi="Arial" w:cs="Arial"/>
        </w:rPr>
        <w:t>“Las divulgaciones consistentes y comparables son fundamentales para permitir una evaluación de riesgos precisa. Las recomendaciones del TCFD han recibido un amplio apoyo de los sectores privado y oficial como base para las divulgaciones relacionadas con el clima, y ​​el informe de este año muestra un mayor impulso, pero también donde persisten las brechas de divulgación. A medida que la Fundación IFRS continúa desarrollando un estándar global de informes de sostenibilidad, trabajando con una alianza de emisores de estándares, me complace que puedan aprovechar el sólido trabajo del TCFD”, dijo el </w:t>
      </w:r>
      <w:r w:rsidRPr="0001690D">
        <w:rPr>
          <w:rFonts w:ascii="Arial" w:hAnsi="Arial" w:cs="Arial"/>
          <w:b/>
          <w:bCs/>
        </w:rPr>
        <w:t xml:space="preserve">presidente del FSB, </w:t>
      </w:r>
      <w:proofErr w:type="spellStart"/>
      <w:r w:rsidRPr="0001690D">
        <w:rPr>
          <w:rFonts w:ascii="Arial" w:hAnsi="Arial" w:cs="Arial"/>
          <w:b/>
          <w:bCs/>
        </w:rPr>
        <w:t>Randal</w:t>
      </w:r>
      <w:proofErr w:type="spellEnd"/>
      <w:r w:rsidRPr="0001690D">
        <w:rPr>
          <w:rFonts w:ascii="Arial" w:hAnsi="Arial" w:cs="Arial"/>
          <w:b/>
          <w:bCs/>
        </w:rPr>
        <w:t xml:space="preserve"> K. </w:t>
      </w:r>
      <w:proofErr w:type="spellStart"/>
      <w:r w:rsidRPr="0001690D">
        <w:rPr>
          <w:rFonts w:ascii="Arial" w:hAnsi="Arial" w:cs="Arial"/>
          <w:b/>
          <w:bCs/>
        </w:rPr>
        <w:t>Quarles</w:t>
      </w:r>
      <w:proofErr w:type="spellEnd"/>
      <w:r w:rsidRPr="0001690D">
        <w:rPr>
          <w:rFonts w:ascii="Arial" w:hAnsi="Arial" w:cs="Arial"/>
          <w:b/>
          <w:bCs/>
        </w:rPr>
        <w:t>.</w:t>
      </w:r>
    </w:p>
    <w:p w:rsidR="0001690D" w:rsidRPr="0001690D" w:rsidRDefault="0001690D" w:rsidP="0001690D">
      <w:pPr>
        <w:jc w:val="both"/>
        <w:rPr>
          <w:rFonts w:ascii="Arial" w:hAnsi="Arial" w:cs="Arial"/>
        </w:rPr>
      </w:pPr>
      <w:r w:rsidRPr="0001690D">
        <w:rPr>
          <w:rFonts w:ascii="Arial" w:hAnsi="Arial" w:cs="Arial"/>
        </w:rPr>
        <w:t>Reconociendo que los informes relacionados con el clima han evolucionado desde que el Grupo de Trabajo publicó inicialmente sus recomendaciones en 2017, el TCFD publicó dos documentos adicionales para respaldar la divulgación útil para la toma de decisiones. Por primera vez, el Grupo de Trabajo publicó actualizaciones de </w:t>
      </w:r>
      <w:hyperlink r:id="rId5" w:tgtFrame="_blank" w:history="1">
        <w:r w:rsidRPr="0001690D">
          <w:rPr>
            <w:rStyle w:val="Hipervnculo"/>
            <w:rFonts w:ascii="Arial" w:hAnsi="Arial" w:cs="Arial"/>
          </w:rPr>
          <w:t>la guía de implementación (Anexo)</w:t>
        </w:r>
      </w:hyperlink>
      <w:r w:rsidRPr="0001690D">
        <w:rPr>
          <w:rFonts w:ascii="Arial" w:hAnsi="Arial" w:cs="Arial"/>
        </w:rPr>
        <w:t> publicada inicialmente en 2017 con el Informe de recomendaciones de TCFD. El Anexo revisado de 2021 actualiza elementos específicos de la guía de implementación para todos los sectores y la guía complementaria para el sector financiero para ciertas divulgaciones recomendadas dentro de las recomendaciones de Estrategia y Métricas y Metas.</w:t>
      </w:r>
    </w:p>
    <w:p w:rsidR="0001690D" w:rsidRPr="0001690D" w:rsidRDefault="0001690D" w:rsidP="0001690D">
      <w:pPr>
        <w:jc w:val="both"/>
        <w:rPr>
          <w:rFonts w:ascii="Arial" w:hAnsi="Arial" w:cs="Arial"/>
          <w:lang w:val="en-US"/>
        </w:rPr>
      </w:pPr>
      <w:r w:rsidRPr="0001690D">
        <w:rPr>
          <w:rFonts w:ascii="Arial" w:hAnsi="Arial" w:cs="Arial"/>
          <w:lang w:val="en-US"/>
        </w:rPr>
        <w:t>To help drive comparability in reporting, the updated guidance elevates seven categories of cross-industry metrics as particularly important for assessing financial impact: Scope 1, Scope 2, and Scope 3 GHG emissions, metrics on climate-related transition and physical risks and opportunities, capital deployment, internal carbon price, and remuneration. It also includes disclosure on companies’ plans to transition to a net zero economy, among other updates.</w:t>
      </w:r>
    </w:p>
    <w:p w:rsidR="0001690D" w:rsidRPr="0001690D" w:rsidRDefault="0001690D" w:rsidP="0001690D">
      <w:pPr>
        <w:jc w:val="both"/>
        <w:rPr>
          <w:rFonts w:ascii="Arial" w:hAnsi="Arial" w:cs="Arial"/>
        </w:rPr>
      </w:pPr>
      <w:r w:rsidRPr="0001690D">
        <w:rPr>
          <w:rFonts w:ascii="Arial" w:hAnsi="Arial" w:cs="Arial"/>
        </w:rPr>
        <w:t>El Grupo de Trabajo también publicó </w:t>
      </w:r>
      <w:hyperlink r:id="rId6" w:tgtFrame="_blank" w:history="1">
        <w:r w:rsidRPr="0001690D">
          <w:rPr>
            <w:rStyle w:val="Hipervnculo"/>
            <w:rFonts w:ascii="Arial" w:hAnsi="Arial" w:cs="Arial"/>
          </w:rPr>
          <w:t>Orientaciones sobre métricas, objetivos y planes de transición</w:t>
        </w:r>
      </w:hyperlink>
      <w:r w:rsidRPr="0001690D">
        <w:rPr>
          <w:rFonts w:ascii="Arial" w:hAnsi="Arial" w:cs="Arial"/>
        </w:rPr>
        <w:t xml:space="preserve"> para apoyar aún más a los preparadores de estados financieros en la divulgación de información útil para la toma de decisiones y vincular esas divulgaciones con </w:t>
      </w:r>
      <w:r w:rsidRPr="0001690D">
        <w:rPr>
          <w:rFonts w:ascii="Arial" w:hAnsi="Arial" w:cs="Arial"/>
        </w:rPr>
        <w:lastRenderedPageBreak/>
        <w:t>estimaciones de impactos financieros. Dicha información ayudará a los usuarios a evaluar mejor sus riesgos de inversión, préstamos y suscripción, e informará las rutas y el progreso hacia el cero neto. La sección de impactos financieros describe cómo las métricas, los objetivos y la información relacionados con el clima de los planes de transición brindan información útil para estimar los impactos financieros de los problemas relacionados con el clima.</w:t>
      </w:r>
    </w:p>
    <w:p w:rsidR="0001690D" w:rsidRPr="0001690D" w:rsidRDefault="0001690D" w:rsidP="0001690D">
      <w:pPr>
        <w:jc w:val="both"/>
        <w:rPr>
          <w:rFonts w:ascii="Arial" w:hAnsi="Arial" w:cs="Arial"/>
        </w:rPr>
      </w:pPr>
      <w:r w:rsidRPr="0001690D">
        <w:rPr>
          <w:rFonts w:ascii="Arial" w:hAnsi="Arial" w:cs="Arial"/>
        </w:rPr>
        <w:t>El </w:t>
      </w:r>
      <w:r w:rsidRPr="0001690D">
        <w:rPr>
          <w:rFonts w:ascii="Arial" w:hAnsi="Arial" w:cs="Arial"/>
          <w:i/>
          <w:iCs/>
        </w:rPr>
        <w:t>informe de estado</w:t>
      </w:r>
      <w:r w:rsidRPr="0001690D">
        <w:rPr>
          <w:rFonts w:ascii="Arial" w:hAnsi="Arial" w:cs="Arial"/>
        </w:rPr>
        <w:t> completo de </w:t>
      </w:r>
      <w:r w:rsidRPr="0001690D">
        <w:rPr>
          <w:rFonts w:ascii="Arial" w:hAnsi="Arial" w:cs="Arial"/>
          <w:i/>
          <w:iCs/>
        </w:rPr>
        <w:t>2021</w:t>
      </w:r>
      <w:r w:rsidRPr="0001690D">
        <w:rPr>
          <w:rFonts w:ascii="Arial" w:hAnsi="Arial" w:cs="Arial"/>
        </w:rPr>
        <w:t>, el anexo actualizado y el documento de orientación están disponibles en el </w:t>
      </w:r>
      <w:hyperlink r:id="rId7" w:history="1">
        <w:r w:rsidRPr="0001690D">
          <w:rPr>
            <w:rStyle w:val="Hipervnculo"/>
            <w:rFonts w:ascii="Arial" w:hAnsi="Arial" w:cs="Arial"/>
          </w:rPr>
          <w:t>sitio web de TCFD</w:t>
        </w:r>
      </w:hyperlink>
      <w:r w:rsidRPr="0001690D">
        <w:rPr>
          <w:rFonts w:ascii="Arial" w:hAnsi="Arial" w:cs="Arial"/>
        </w:rPr>
        <w:t> . El Grupo de Trabajo entregará su próximo informe de estado al FSB en septiembre de 2022.</w:t>
      </w:r>
    </w:p>
    <w:p w:rsidR="0001690D" w:rsidRPr="0001690D" w:rsidRDefault="0001690D" w:rsidP="0001690D">
      <w:pPr>
        <w:jc w:val="both"/>
        <w:rPr>
          <w:rFonts w:ascii="Arial" w:hAnsi="Arial" w:cs="Arial"/>
        </w:rPr>
      </w:pPr>
      <w:r w:rsidRPr="0001690D">
        <w:rPr>
          <w:rFonts w:ascii="Arial" w:hAnsi="Arial" w:cs="Arial"/>
        </w:rPr>
        <w:t>Para obtener más información sobre cómo convertirse en </w:t>
      </w:r>
      <w:hyperlink r:id="rId8" w:history="1">
        <w:r w:rsidRPr="0001690D">
          <w:rPr>
            <w:rStyle w:val="Hipervnculo"/>
            <w:rFonts w:ascii="Arial" w:hAnsi="Arial" w:cs="Arial"/>
          </w:rPr>
          <w:t>colaborador</w:t>
        </w:r>
      </w:hyperlink>
      <w:r w:rsidRPr="0001690D">
        <w:rPr>
          <w:rFonts w:ascii="Arial" w:hAnsi="Arial" w:cs="Arial"/>
        </w:rPr>
        <w:t> , visite el </w:t>
      </w:r>
      <w:hyperlink r:id="rId9" w:history="1">
        <w:r w:rsidRPr="0001690D">
          <w:rPr>
            <w:rStyle w:val="Hipervnculo"/>
            <w:rFonts w:ascii="Arial" w:hAnsi="Arial" w:cs="Arial"/>
          </w:rPr>
          <w:t>sitio web de TCFD</w:t>
        </w:r>
      </w:hyperlink>
      <w:r w:rsidRPr="0001690D">
        <w:rPr>
          <w:rFonts w:ascii="Arial" w:hAnsi="Arial" w:cs="Arial"/>
        </w:rPr>
        <w:t> . Se pueden encontrar recursos adicionales en </w:t>
      </w:r>
      <w:hyperlink r:id="rId10" w:history="1">
        <w:r w:rsidRPr="0001690D">
          <w:rPr>
            <w:rStyle w:val="Hipervnculo"/>
            <w:rFonts w:ascii="Arial" w:hAnsi="Arial" w:cs="Arial"/>
          </w:rPr>
          <w:t xml:space="preserve">TCFD </w:t>
        </w:r>
        <w:proofErr w:type="spellStart"/>
        <w:r w:rsidRPr="0001690D">
          <w:rPr>
            <w:rStyle w:val="Hipervnculo"/>
            <w:rFonts w:ascii="Arial" w:hAnsi="Arial" w:cs="Arial"/>
          </w:rPr>
          <w:t>Knowledge</w:t>
        </w:r>
        <w:proofErr w:type="spellEnd"/>
        <w:r w:rsidRPr="0001690D">
          <w:rPr>
            <w:rStyle w:val="Hipervnculo"/>
            <w:rFonts w:ascii="Arial" w:hAnsi="Arial" w:cs="Arial"/>
          </w:rPr>
          <w:t xml:space="preserve"> </w:t>
        </w:r>
        <w:proofErr w:type="spellStart"/>
        <w:r w:rsidRPr="0001690D">
          <w:rPr>
            <w:rStyle w:val="Hipervnculo"/>
            <w:rFonts w:ascii="Arial" w:hAnsi="Arial" w:cs="Arial"/>
          </w:rPr>
          <w:t>Hub</w:t>
        </w:r>
        <w:proofErr w:type="spellEnd"/>
      </w:hyperlink>
      <w:r w:rsidRPr="0001690D">
        <w:rPr>
          <w:rFonts w:ascii="Arial" w:hAnsi="Arial" w:cs="Arial"/>
        </w:rPr>
        <w:t> .</w:t>
      </w:r>
    </w:p>
    <w:p w:rsidR="0001690D" w:rsidRPr="0001690D" w:rsidRDefault="0001690D" w:rsidP="0001690D">
      <w:pPr>
        <w:jc w:val="both"/>
        <w:rPr>
          <w:rFonts w:ascii="Arial" w:hAnsi="Arial" w:cs="Arial"/>
        </w:rPr>
      </w:pPr>
      <w:r w:rsidRPr="0001690D">
        <w:rPr>
          <w:rFonts w:ascii="Arial" w:hAnsi="Arial" w:cs="Arial"/>
        </w:rPr>
        <w:t> </w:t>
      </w:r>
    </w:p>
    <w:p w:rsidR="0001690D" w:rsidRDefault="0001690D" w:rsidP="0001690D">
      <w:pPr>
        <w:spacing w:after="0"/>
        <w:jc w:val="both"/>
        <w:rPr>
          <w:rFonts w:ascii="Arial" w:hAnsi="Arial" w:cs="Arial"/>
          <w:b/>
          <w:bCs/>
        </w:rPr>
      </w:pPr>
      <w:r w:rsidRPr="0001690D">
        <w:rPr>
          <w:rFonts w:ascii="Arial" w:hAnsi="Arial" w:cs="Arial"/>
          <w:b/>
          <w:bCs/>
        </w:rPr>
        <w:t>Contacto con los medios</w:t>
      </w:r>
    </w:p>
    <w:p w:rsidR="0001690D" w:rsidRDefault="0001690D" w:rsidP="0001690D">
      <w:pPr>
        <w:spacing w:after="0"/>
        <w:jc w:val="both"/>
        <w:rPr>
          <w:rFonts w:ascii="Arial" w:hAnsi="Arial" w:cs="Arial"/>
        </w:rPr>
      </w:pPr>
      <w:proofErr w:type="spellStart"/>
      <w:r w:rsidRPr="0001690D">
        <w:rPr>
          <w:rFonts w:ascii="Arial" w:hAnsi="Arial" w:cs="Arial"/>
        </w:rPr>
        <w:t>Liidia</w:t>
      </w:r>
      <w:proofErr w:type="spellEnd"/>
      <w:r w:rsidRPr="0001690D">
        <w:rPr>
          <w:rFonts w:ascii="Arial" w:hAnsi="Arial" w:cs="Arial"/>
        </w:rPr>
        <w:t xml:space="preserve"> </w:t>
      </w:r>
      <w:proofErr w:type="spellStart"/>
      <w:r w:rsidRPr="0001690D">
        <w:rPr>
          <w:rFonts w:ascii="Arial" w:hAnsi="Arial" w:cs="Arial"/>
        </w:rPr>
        <w:t>Liuksila</w:t>
      </w:r>
      <w:proofErr w:type="spellEnd"/>
    </w:p>
    <w:p w:rsidR="0001690D" w:rsidRDefault="0001690D" w:rsidP="0001690D">
      <w:pPr>
        <w:spacing w:after="0"/>
        <w:jc w:val="both"/>
        <w:rPr>
          <w:rFonts w:ascii="Arial" w:hAnsi="Arial" w:cs="Arial"/>
        </w:rPr>
      </w:pPr>
      <w:proofErr w:type="spellStart"/>
      <w:r w:rsidRPr="0001690D">
        <w:rPr>
          <w:rFonts w:ascii="Arial" w:hAnsi="Arial" w:cs="Arial"/>
        </w:rPr>
        <w:t>Task</w:t>
      </w:r>
      <w:proofErr w:type="spellEnd"/>
      <w:r w:rsidRPr="0001690D">
        <w:rPr>
          <w:rFonts w:ascii="Arial" w:hAnsi="Arial" w:cs="Arial"/>
        </w:rPr>
        <w:t xml:space="preserve"> </w:t>
      </w:r>
      <w:proofErr w:type="spellStart"/>
      <w:r w:rsidRPr="0001690D">
        <w:rPr>
          <w:rFonts w:ascii="Arial" w:hAnsi="Arial" w:cs="Arial"/>
        </w:rPr>
        <w:t>Force</w:t>
      </w:r>
      <w:proofErr w:type="spellEnd"/>
      <w:r w:rsidRPr="0001690D">
        <w:rPr>
          <w:rFonts w:ascii="Arial" w:hAnsi="Arial" w:cs="Arial"/>
        </w:rPr>
        <w:t xml:space="preserve"> sobre divulgaciones financieras relacionadas con el clima</w:t>
      </w:r>
    </w:p>
    <w:p w:rsidR="0001690D" w:rsidRPr="0001690D" w:rsidRDefault="0001690D" w:rsidP="0001690D">
      <w:pPr>
        <w:spacing w:after="0"/>
        <w:jc w:val="both"/>
        <w:rPr>
          <w:rFonts w:ascii="Arial" w:hAnsi="Arial" w:cs="Arial"/>
        </w:rPr>
      </w:pPr>
      <w:r w:rsidRPr="0001690D">
        <w:rPr>
          <w:rFonts w:ascii="Arial" w:hAnsi="Arial" w:cs="Arial"/>
        </w:rPr>
        <w:t>+1.212.617.5424</w:t>
      </w:r>
      <w:r w:rsidRPr="0001690D">
        <w:rPr>
          <w:rFonts w:ascii="Arial" w:hAnsi="Arial" w:cs="Arial"/>
        </w:rPr>
        <w:br/>
      </w:r>
      <w:hyperlink r:id="rId11" w:history="1">
        <w:r w:rsidRPr="0001690D">
          <w:rPr>
            <w:rStyle w:val="Hipervnculo"/>
            <w:rFonts w:ascii="Arial" w:hAnsi="Arial" w:cs="Arial"/>
          </w:rPr>
          <w:t>lliuksila@bloomberg.net</w:t>
        </w:r>
      </w:hyperlink>
    </w:p>
    <w:p w:rsidR="0001690D" w:rsidRPr="0001690D" w:rsidRDefault="0001690D" w:rsidP="0001690D">
      <w:pPr>
        <w:jc w:val="both"/>
        <w:rPr>
          <w:rFonts w:ascii="Arial" w:hAnsi="Arial" w:cs="Arial"/>
        </w:rPr>
      </w:pPr>
      <w:r w:rsidRPr="0001690D">
        <w:rPr>
          <w:rFonts w:ascii="Arial" w:hAnsi="Arial" w:cs="Arial"/>
        </w:rPr>
        <w:t> </w:t>
      </w:r>
    </w:p>
    <w:p w:rsidR="0001690D" w:rsidRPr="0001690D" w:rsidRDefault="0001690D" w:rsidP="0001690D">
      <w:pPr>
        <w:jc w:val="both"/>
        <w:rPr>
          <w:rFonts w:ascii="Arial" w:hAnsi="Arial" w:cs="Arial"/>
        </w:rPr>
      </w:pPr>
    </w:p>
    <w:p w:rsidR="0001690D" w:rsidRPr="0001690D" w:rsidRDefault="0001690D" w:rsidP="0001690D">
      <w:pPr>
        <w:jc w:val="both"/>
        <w:rPr>
          <w:rFonts w:ascii="Arial" w:hAnsi="Arial" w:cs="Arial"/>
        </w:rPr>
      </w:pPr>
    </w:p>
    <w:sectPr w:rsidR="0001690D" w:rsidRPr="000169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90D"/>
    <w:rsid w:val="0001690D"/>
    <w:rsid w:val="000F4B68"/>
    <w:rsid w:val="001739B4"/>
    <w:rsid w:val="003B63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8B800-EC2A-4B51-A979-EB0BACE2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169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05956">
      <w:bodyDiv w:val="1"/>
      <w:marLeft w:val="0"/>
      <w:marRight w:val="0"/>
      <w:marTop w:val="0"/>
      <w:marBottom w:val="0"/>
      <w:divBdr>
        <w:top w:val="none" w:sz="0" w:space="0" w:color="auto"/>
        <w:left w:val="none" w:sz="0" w:space="0" w:color="auto"/>
        <w:bottom w:val="none" w:sz="0" w:space="0" w:color="auto"/>
        <w:right w:val="none" w:sz="0" w:space="0" w:color="auto"/>
      </w:divBdr>
      <w:divsChild>
        <w:div w:id="228880040">
          <w:marLeft w:val="0"/>
          <w:marRight w:val="0"/>
          <w:marTop w:val="0"/>
          <w:marBottom w:val="0"/>
          <w:divBdr>
            <w:top w:val="none" w:sz="0" w:space="0" w:color="auto"/>
            <w:left w:val="none" w:sz="0" w:space="0" w:color="auto"/>
            <w:bottom w:val="none" w:sz="0" w:space="0" w:color="auto"/>
            <w:right w:val="none" w:sz="0" w:space="0" w:color="auto"/>
          </w:divBdr>
          <w:divsChild>
            <w:div w:id="1422990959">
              <w:marLeft w:val="0"/>
              <w:marRight w:val="0"/>
              <w:marTop w:val="0"/>
              <w:marBottom w:val="0"/>
              <w:divBdr>
                <w:top w:val="none" w:sz="0" w:space="0" w:color="auto"/>
                <w:left w:val="none" w:sz="0" w:space="0" w:color="auto"/>
                <w:bottom w:val="none" w:sz="0" w:space="0" w:color="auto"/>
                <w:right w:val="none" w:sz="0" w:space="0" w:color="auto"/>
              </w:divBdr>
              <w:divsChild>
                <w:div w:id="1575774928">
                  <w:marLeft w:val="0"/>
                  <w:marRight w:val="0"/>
                  <w:marTop w:val="0"/>
                  <w:marBottom w:val="0"/>
                  <w:divBdr>
                    <w:top w:val="none" w:sz="0" w:space="0" w:color="auto"/>
                    <w:left w:val="none" w:sz="0" w:space="0" w:color="auto"/>
                    <w:bottom w:val="none" w:sz="0" w:space="0" w:color="auto"/>
                    <w:right w:val="none" w:sz="0" w:space="0" w:color="auto"/>
                  </w:divBdr>
                  <w:divsChild>
                    <w:div w:id="72125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29219">
          <w:marLeft w:val="0"/>
          <w:marRight w:val="0"/>
          <w:marTop w:val="0"/>
          <w:marBottom w:val="0"/>
          <w:divBdr>
            <w:top w:val="none" w:sz="0" w:space="0" w:color="auto"/>
            <w:left w:val="none" w:sz="0" w:space="0" w:color="auto"/>
            <w:bottom w:val="none" w:sz="0" w:space="0" w:color="auto"/>
            <w:right w:val="none" w:sz="0" w:space="0" w:color="auto"/>
          </w:divBdr>
          <w:divsChild>
            <w:div w:id="1935744335">
              <w:marLeft w:val="0"/>
              <w:marRight w:val="0"/>
              <w:marTop w:val="0"/>
              <w:marBottom w:val="0"/>
              <w:divBdr>
                <w:top w:val="none" w:sz="0" w:space="0" w:color="auto"/>
                <w:left w:val="none" w:sz="0" w:space="0" w:color="auto"/>
                <w:bottom w:val="none" w:sz="0" w:space="0" w:color="auto"/>
                <w:right w:val="none" w:sz="0" w:space="0" w:color="auto"/>
              </w:divBdr>
              <w:divsChild>
                <w:div w:id="676621202">
                  <w:marLeft w:val="0"/>
                  <w:marRight w:val="0"/>
                  <w:marTop w:val="0"/>
                  <w:marBottom w:val="0"/>
                  <w:divBdr>
                    <w:top w:val="none" w:sz="0" w:space="0" w:color="auto"/>
                    <w:left w:val="none" w:sz="0" w:space="0" w:color="auto"/>
                    <w:bottom w:val="none" w:sz="0" w:space="0" w:color="auto"/>
                    <w:right w:val="none" w:sz="0" w:space="0" w:color="auto"/>
                  </w:divBdr>
                  <w:divsChild>
                    <w:div w:id="127297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34857">
      <w:bodyDiv w:val="1"/>
      <w:marLeft w:val="0"/>
      <w:marRight w:val="0"/>
      <w:marTop w:val="0"/>
      <w:marBottom w:val="0"/>
      <w:divBdr>
        <w:top w:val="none" w:sz="0" w:space="0" w:color="auto"/>
        <w:left w:val="none" w:sz="0" w:space="0" w:color="auto"/>
        <w:bottom w:val="none" w:sz="0" w:space="0" w:color="auto"/>
        <w:right w:val="none" w:sz="0" w:space="0" w:color="auto"/>
      </w:divBdr>
    </w:div>
    <w:div w:id="120228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b-tcfd.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sb-tcfd.org/publication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sets.bbhub.io/company/sites/60/2021/07/2021-Metrics_Targets_Guidance-1.pdf" TargetMode="External"/><Relationship Id="rId11" Type="http://schemas.openxmlformats.org/officeDocument/2006/relationships/hyperlink" Target="mailto:lliuksila@bloomberg.net" TargetMode="External"/><Relationship Id="rId5" Type="http://schemas.openxmlformats.org/officeDocument/2006/relationships/hyperlink" Target="https://assets.bbhub.io/company/sites/60/2021/07/2021-TCFD-Implementing_Guidance.pdf" TargetMode="External"/><Relationship Id="rId10" Type="http://schemas.openxmlformats.org/officeDocument/2006/relationships/hyperlink" Target="https://www.tcfdhub.org/" TargetMode="External"/><Relationship Id="rId4" Type="http://schemas.openxmlformats.org/officeDocument/2006/relationships/hyperlink" Target="https://assets.bbhub.io/company/sites/60/2021/07/2021-TCFD-Status_Report.pdf" TargetMode="External"/><Relationship Id="rId9" Type="http://schemas.openxmlformats.org/officeDocument/2006/relationships/hyperlink" Target="https://www.fsb-tcfd.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1231</Words>
  <Characters>6774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2021-11-03T12:05:00Z</dcterms:created>
  <dcterms:modified xsi:type="dcterms:W3CDTF">2021-11-03T12:10:00Z</dcterms:modified>
</cp:coreProperties>
</file>