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E2BE" w14:textId="4BB2734C" w:rsidR="00D947A2" w:rsidRPr="00D947A2" w:rsidRDefault="00D947A2" w:rsidP="00D947A2">
      <w:pPr>
        <w:pBdr>
          <w:bottom w:val="single" w:sz="6" w:space="4" w:color="E6E6E6"/>
        </w:pBdr>
        <w:shd w:val="clear" w:color="auto" w:fill="FFFFFF"/>
        <w:spacing w:after="75" w:line="240" w:lineRule="auto"/>
        <w:textAlignment w:val="baseline"/>
        <w:outlineLvl w:val="0"/>
        <w:rPr>
          <w:rFonts w:ascii="Helvetica" w:eastAsia="Times New Roman" w:hAnsi="Helvetica" w:cs="Times New Roman"/>
          <w:color w:val="00A1DE"/>
          <w:kern w:val="36"/>
          <w:sz w:val="30"/>
          <w:szCs w:val="30"/>
          <w:lang w:eastAsia="es-MX"/>
        </w:rPr>
      </w:pPr>
      <w:r w:rsidRPr="00D947A2">
        <w:rPr>
          <w:rFonts w:ascii="Helvetica" w:eastAsia="Times New Roman" w:hAnsi="Helvetica" w:cs="Times New Roman"/>
          <w:color w:val="00A1DE"/>
          <w:kern w:val="36"/>
          <w:sz w:val="30"/>
          <w:szCs w:val="30"/>
          <w:lang w:eastAsia="es-MX"/>
        </w:rPr>
        <w:t>Evolución reciente de la sostenibilidad y la presentación de informes integrado</w:t>
      </w:r>
      <w:r>
        <w:rPr>
          <w:rFonts w:ascii="Helvetica" w:eastAsia="Times New Roman" w:hAnsi="Helvetica" w:cs="Times New Roman"/>
          <w:color w:val="00A1DE"/>
          <w:kern w:val="36"/>
          <w:sz w:val="30"/>
          <w:szCs w:val="30"/>
          <w:lang w:eastAsia="es-MX"/>
        </w:rPr>
        <w:t>s</w:t>
      </w:r>
    </w:p>
    <w:p w14:paraId="441FFFF8" w14:textId="1AABB2B3" w:rsidR="00D947A2" w:rsidRDefault="00D947A2"/>
    <w:p w14:paraId="47F33C31" w14:textId="17FE026E" w:rsidR="00D947A2" w:rsidRDefault="00D947A2">
      <w:r w:rsidRPr="00D947A2">
        <w:rPr>
          <w:noProof/>
        </w:rPr>
        <w:drawing>
          <wp:inline distT="0" distB="0" distL="0" distR="0" wp14:anchorId="73E856FD" wp14:editId="71DAF2E8">
            <wp:extent cx="1028050" cy="8458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43019" cy="858136"/>
                    </a:xfrm>
                    <a:prstGeom prst="rect">
                      <a:avLst/>
                    </a:prstGeom>
                  </pic:spPr>
                </pic:pic>
              </a:graphicData>
            </a:graphic>
          </wp:inline>
        </w:drawing>
      </w:r>
    </w:p>
    <w:p w14:paraId="06AFE4F2" w14:textId="3E0DE89D" w:rsidR="00D947A2" w:rsidRDefault="00CD08E9">
      <w:r w:rsidRPr="00CD08E9">
        <w:t>27 octubre 2021</w:t>
      </w:r>
    </w:p>
    <w:p w14:paraId="69671801" w14:textId="69D6EBFF" w:rsidR="00A55BAC" w:rsidRDefault="00A55BAC" w:rsidP="00CC4C5B">
      <w:pPr>
        <w:spacing w:after="0"/>
        <w:rPr>
          <w:sz w:val="24"/>
          <w:szCs w:val="24"/>
        </w:rPr>
      </w:pPr>
      <w:r w:rsidRPr="00CC4C5B">
        <w:rPr>
          <w:sz w:val="24"/>
          <w:szCs w:val="24"/>
        </w:rPr>
        <w:t xml:space="preserve">Un resumen de los desarrollos recientes en WBCSD, la iniciativa </w:t>
      </w:r>
      <w:proofErr w:type="spellStart"/>
      <w:r w:rsidRPr="00CC4C5B">
        <w:rPr>
          <w:sz w:val="24"/>
          <w:szCs w:val="24"/>
        </w:rPr>
        <w:t>Carbon</w:t>
      </w:r>
      <w:proofErr w:type="spellEnd"/>
      <w:r w:rsidRPr="00CC4C5B">
        <w:rPr>
          <w:sz w:val="24"/>
          <w:szCs w:val="24"/>
        </w:rPr>
        <w:t xml:space="preserve"> </w:t>
      </w:r>
      <w:proofErr w:type="spellStart"/>
      <w:r w:rsidRPr="00CC4C5B">
        <w:rPr>
          <w:sz w:val="24"/>
          <w:szCs w:val="24"/>
        </w:rPr>
        <w:t>Tracker</w:t>
      </w:r>
      <w:proofErr w:type="spellEnd"/>
      <w:r w:rsidRPr="00CC4C5B">
        <w:rPr>
          <w:sz w:val="24"/>
          <w:szCs w:val="24"/>
        </w:rPr>
        <w:t>, UNEP FI, G20, CAQ, GRI, IIRC, FRC, A4S, SASB, XRB, FASF, CSA, EFAA, EFRAG y Deloitte.</w:t>
      </w:r>
    </w:p>
    <w:p w14:paraId="752880EE" w14:textId="77777777" w:rsidR="00CC4C5B" w:rsidRPr="00CC4C5B" w:rsidRDefault="00CC4C5B" w:rsidP="00CC4C5B">
      <w:pPr>
        <w:spacing w:after="0"/>
        <w:rPr>
          <w:sz w:val="24"/>
          <w:szCs w:val="24"/>
        </w:rPr>
      </w:pPr>
    </w:p>
    <w:p w14:paraId="3310C95D" w14:textId="721329D8" w:rsidR="00A55BAC" w:rsidRPr="00A55BAC" w:rsidRDefault="00A55BAC" w:rsidP="00CC4C5B">
      <w:pPr>
        <w:jc w:val="both"/>
      </w:pPr>
      <w:r w:rsidRPr="00A55BAC">
        <w:t>El Consejo Empresarial Mundial para el Desarrollo Sostenible</w:t>
      </w:r>
      <w:r>
        <w:t xml:space="preserve"> </w:t>
      </w:r>
      <w:r w:rsidRPr="00A55BAC">
        <w:rPr>
          <w:b/>
          <w:bCs/>
        </w:rPr>
        <w:t>(WBCSD)</w:t>
      </w:r>
      <w:r w:rsidR="00CC4C5B">
        <w:rPr>
          <w:b/>
          <w:bCs/>
        </w:rPr>
        <w:t xml:space="preserve"> </w:t>
      </w:r>
      <w:r w:rsidRPr="00A55BAC">
        <w:t>ha publicado la edición 2021 de </w:t>
      </w:r>
      <w:proofErr w:type="spellStart"/>
      <w:r w:rsidRPr="00A55BAC">
        <w:rPr>
          <w:i/>
          <w:iCs/>
        </w:rPr>
        <w:t>Reporting</w:t>
      </w:r>
      <w:proofErr w:type="spellEnd"/>
      <w:r w:rsidRPr="00A55BAC">
        <w:rPr>
          <w:i/>
          <w:iCs/>
        </w:rPr>
        <w:t xml:space="preserve"> </w:t>
      </w:r>
      <w:proofErr w:type="spellStart"/>
      <w:r w:rsidRPr="00A55BAC">
        <w:rPr>
          <w:i/>
          <w:iCs/>
        </w:rPr>
        <w:t>matters</w:t>
      </w:r>
      <w:proofErr w:type="spellEnd"/>
      <w:r w:rsidRPr="00A55BAC">
        <w:rPr>
          <w:i/>
          <w:iCs/>
        </w:rPr>
        <w:t>.</w:t>
      </w:r>
      <w:r w:rsidRPr="00A55BAC">
        <w:t> El </w:t>
      </w:r>
      <w:hyperlink r:id="rId5" w:tgtFrame="_blank" w:history="1">
        <w:r w:rsidRPr="00A55BAC">
          <w:rPr>
            <w:rStyle w:val="Hipervnculo"/>
          </w:rPr>
          <w:t>comunicado de prensa</w:t>
        </w:r>
      </w:hyperlink>
      <w:r w:rsidRPr="00A55BAC">
        <w:t> en el sitio web del WBCSD ofrece un resumen de los hallazgos clave y acceso al informe completo.</w:t>
      </w:r>
    </w:p>
    <w:p w14:paraId="2609B6F3" w14:textId="77777777" w:rsidR="00A55BAC" w:rsidRPr="00A55BAC" w:rsidRDefault="00A55BAC" w:rsidP="00CC4C5B">
      <w:pPr>
        <w:jc w:val="both"/>
      </w:pPr>
      <w:r w:rsidRPr="00A55BAC">
        <w:t>La iniciativa </w:t>
      </w:r>
      <w:proofErr w:type="spellStart"/>
      <w:r w:rsidRPr="00A55BAC">
        <w:rPr>
          <w:b/>
          <w:bCs/>
        </w:rPr>
        <w:t>Carbon</w:t>
      </w:r>
      <w:proofErr w:type="spellEnd"/>
      <w:r w:rsidRPr="00A55BAC">
        <w:rPr>
          <w:b/>
          <w:bCs/>
        </w:rPr>
        <w:t xml:space="preserve"> </w:t>
      </w:r>
      <w:proofErr w:type="spellStart"/>
      <w:r w:rsidRPr="00A55BAC">
        <w:rPr>
          <w:b/>
          <w:bCs/>
        </w:rPr>
        <w:t>Tracker</w:t>
      </w:r>
      <w:proofErr w:type="spellEnd"/>
      <w:r w:rsidRPr="00A55BAC">
        <w:rPr>
          <w:b/>
          <w:bCs/>
        </w:rPr>
        <w:t> </w:t>
      </w:r>
      <w:r w:rsidRPr="00A55BAC">
        <w:t>ha publicado </w:t>
      </w:r>
      <w:proofErr w:type="spellStart"/>
      <w:r w:rsidRPr="00A55BAC">
        <w:rPr>
          <w:i/>
          <w:iCs/>
        </w:rPr>
        <w:t>Flying</w:t>
      </w:r>
      <w:proofErr w:type="spellEnd"/>
      <w:r w:rsidRPr="00A55BAC">
        <w:rPr>
          <w:i/>
          <w:iCs/>
        </w:rPr>
        <w:t xml:space="preserve"> </w:t>
      </w:r>
      <w:proofErr w:type="spellStart"/>
      <w:r w:rsidRPr="00A55BAC">
        <w:rPr>
          <w:i/>
          <w:iCs/>
        </w:rPr>
        <w:t>blind</w:t>
      </w:r>
      <w:proofErr w:type="spellEnd"/>
      <w:r w:rsidRPr="00A55BAC">
        <w:rPr>
          <w:i/>
          <w:iCs/>
        </w:rPr>
        <w:t xml:space="preserve">: </w:t>
      </w:r>
      <w:proofErr w:type="spellStart"/>
      <w:r w:rsidRPr="00A55BAC">
        <w:rPr>
          <w:i/>
          <w:iCs/>
        </w:rPr>
        <w:t>The</w:t>
      </w:r>
      <w:proofErr w:type="spellEnd"/>
      <w:r w:rsidRPr="00A55BAC">
        <w:rPr>
          <w:i/>
          <w:iCs/>
        </w:rPr>
        <w:t xml:space="preserve"> </w:t>
      </w:r>
      <w:proofErr w:type="spellStart"/>
      <w:r w:rsidRPr="00A55BAC">
        <w:rPr>
          <w:i/>
          <w:iCs/>
        </w:rPr>
        <w:t>glaring</w:t>
      </w:r>
      <w:proofErr w:type="spellEnd"/>
      <w:r w:rsidRPr="00A55BAC">
        <w:rPr>
          <w:i/>
          <w:iCs/>
        </w:rPr>
        <w:t xml:space="preserve"> </w:t>
      </w:r>
      <w:proofErr w:type="spellStart"/>
      <w:r w:rsidRPr="00A55BAC">
        <w:rPr>
          <w:i/>
          <w:iCs/>
        </w:rPr>
        <w:t>absence</w:t>
      </w:r>
      <w:proofErr w:type="spellEnd"/>
      <w:r w:rsidRPr="00A55BAC">
        <w:rPr>
          <w:i/>
          <w:iCs/>
        </w:rPr>
        <w:t xml:space="preserve"> </w:t>
      </w:r>
      <w:proofErr w:type="spellStart"/>
      <w:r w:rsidRPr="00A55BAC">
        <w:rPr>
          <w:i/>
          <w:iCs/>
        </w:rPr>
        <w:t>of</w:t>
      </w:r>
      <w:proofErr w:type="spellEnd"/>
      <w:r w:rsidRPr="00A55BAC">
        <w:rPr>
          <w:i/>
          <w:iCs/>
        </w:rPr>
        <w:t xml:space="preserve"> </w:t>
      </w:r>
      <w:proofErr w:type="spellStart"/>
      <w:r w:rsidRPr="00A55BAC">
        <w:rPr>
          <w:i/>
          <w:iCs/>
        </w:rPr>
        <w:t>climate</w:t>
      </w:r>
      <w:proofErr w:type="spellEnd"/>
      <w:r w:rsidRPr="00A55BAC">
        <w:rPr>
          <w:i/>
          <w:iCs/>
        </w:rPr>
        <w:t xml:space="preserve"> </w:t>
      </w:r>
      <w:proofErr w:type="spellStart"/>
      <w:r w:rsidRPr="00A55BAC">
        <w:rPr>
          <w:i/>
          <w:iCs/>
        </w:rPr>
        <w:t>risks</w:t>
      </w:r>
      <w:proofErr w:type="spellEnd"/>
      <w:r w:rsidRPr="00A55BAC">
        <w:rPr>
          <w:i/>
          <w:iCs/>
        </w:rPr>
        <w:t xml:space="preserve"> in </w:t>
      </w:r>
      <w:proofErr w:type="spellStart"/>
      <w:r w:rsidRPr="00A55BAC">
        <w:rPr>
          <w:i/>
          <w:iCs/>
        </w:rPr>
        <w:t>financial</w:t>
      </w:r>
      <w:proofErr w:type="spellEnd"/>
      <w:r w:rsidRPr="00A55BAC">
        <w:rPr>
          <w:i/>
          <w:iCs/>
        </w:rPr>
        <w:t xml:space="preserve"> </w:t>
      </w:r>
      <w:proofErr w:type="spellStart"/>
      <w:r w:rsidRPr="00A55BAC">
        <w:rPr>
          <w:i/>
          <w:iCs/>
        </w:rPr>
        <w:t>reporting</w:t>
      </w:r>
      <w:proofErr w:type="spellEnd"/>
      <w:r w:rsidRPr="00A55BAC">
        <w:rPr>
          <w:i/>
          <w:iCs/>
        </w:rPr>
        <w:t xml:space="preserve"> (Volando a ciegas: la evidente ausencia de riesgos climáticos en los informes financieros)</w:t>
      </w:r>
      <w:r w:rsidRPr="00A55BAC">
        <w:t> muestra que más del 70% de las empresas revisadas no revelan el riesgo climático en sus informes financieros. Los hallazgos clave y el acceso al informe completo están disponibles en el </w:t>
      </w:r>
      <w:hyperlink r:id="rId6" w:tgtFrame="_blank" w:history="1">
        <w:r w:rsidRPr="00A55BAC">
          <w:rPr>
            <w:rStyle w:val="Hipervnculo"/>
          </w:rPr>
          <w:t xml:space="preserve">sitio web de </w:t>
        </w:r>
        <w:proofErr w:type="spellStart"/>
        <w:r w:rsidRPr="00A55BAC">
          <w:rPr>
            <w:rStyle w:val="Hipervnculo"/>
          </w:rPr>
          <w:t>Carbon</w:t>
        </w:r>
        <w:proofErr w:type="spellEnd"/>
        <w:r w:rsidRPr="00A55BAC">
          <w:rPr>
            <w:rStyle w:val="Hipervnculo"/>
          </w:rPr>
          <w:t xml:space="preserve"> </w:t>
        </w:r>
        <w:proofErr w:type="spellStart"/>
        <w:r w:rsidRPr="00A55BAC">
          <w:rPr>
            <w:rStyle w:val="Hipervnculo"/>
          </w:rPr>
          <w:t>Tracker</w:t>
        </w:r>
        <w:proofErr w:type="spellEnd"/>
        <w:r w:rsidRPr="00A55BAC">
          <w:rPr>
            <w:rStyle w:val="Hipervnculo"/>
          </w:rPr>
          <w:t>.</w:t>
        </w:r>
      </w:hyperlink>
    </w:p>
    <w:p w14:paraId="5DBC4AAA" w14:textId="2073C1A4" w:rsidR="00A55BAC" w:rsidRPr="00A55BAC" w:rsidRDefault="00A55BAC" w:rsidP="00CC4C5B">
      <w:pPr>
        <w:jc w:val="both"/>
      </w:pPr>
      <w:r w:rsidRPr="00A55BAC">
        <w:t>La Iniciativa Financiera del Programa de las Naciones Unidas para el Medio Ambiente</w:t>
      </w:r>
      <w:r>
        <w:t xml:space="preserve"> </w:t>
      </w:r>
      <w:r w:rsidRPr="00A55BAC">
        <w:rPr>
          <w:b/>
          <w:bCs/>
        </w:rPr>
        <w:t>(UNEP FI)</w:t>
      </w:r>
      <w:r>
        <w:rPr>
          <w:b/>
          <w:bCs/>
        </w:rPr>
        <w:t xml:space="preserve"> </w:t>
      </w:r>
      <w:r w:rsidRPr="00A55BAC">
        <w:t>ha publicado una declaración de los inversores mundiales instando a los gobiernos a emprender cinco acciones prioritarias antes de la COP26, incluido el compromiso de implementar requisitos obligatorios de divulgación de riesgos climáticos alineados con las recomendaciones del TCFD. Se puede acceder a la declaración </w:t>
      </w:r>
      <w:hyperlink r:id="rId7" w:tgtFrame="_blank" w:history="1">
        <w:r w:rsidRPr="00A55BAC">
          <w:rPr>
            <w:rStyle w:val="Hipervnculo"/>
          </w:rPr>
          <w:t>aquí.</w:t>
        </w:r>
      </w:hyperlink>
    </w:p>
    <w:p w14:paraId="1B89330D" w14:textId="77777777" w:rsidR="00A55BAC" w:rsidRPr="00A55BAC" w:rsidRDefault="00A55BAC" w:rsidP="00CC4C5B">
      <w:pPr>
        <w:jc w:val="both"/>
      </w:pPr>
      <w:r w:rsidRPr="00A55BAC">
        <w:t>La Presidencia del </w:t>
      </w:r>
      <w:r w:rsidRPr="00A55BAC">
        <w:rPr>
          <w:b/>
          <w:bCs/>
        </w:rPr>
        <w:t>G20</w:t>
      </w:r>
      <w:r w:rsidRPr="00A55BAC">
        <w:t> ha publicado la </w:t>
      </w:r>
      <w:r w:rsidRPr="00A55BAC">
        <w:rPr>
          <w:i/>
          <w:iCs/>
        </w:rPr>
        <w:t>Hoja de Ruta de Finanzas Sostenibles del G20</w:t>
      </w:r>
      <w:r w:rsidRPr="00A55BAC">
        <w:t> que contiene como Acción 6 "El G20 para dar la bienvenida al programa de trabajo de la Fundación NIIF para desarrollar un conjunto de estándares de referencia internacionalmente consistentes, comparables y confiables para la divulgación de información relacionada con la sostenibilidad sobre la creación de valor empresarial". Se puede acceder a la </w:t>
      </w:r>
      <w:hyperlink r:id="rId8" w:tgtFrame="_blank" w:history="1">
        <w:r w:rsidRPr="00A55BAC">
          <w:rPr>
            <w:rStyle w:val="Hipervnculo"/>
          </w:rPr>
          <w:t>hoja de ruta</w:t>
        </w:r>
      </w:hyperlink>
      <w:r w:rsidRPr="00A55BAC">
        <w:t> en el sitio web del G20, la Acción 6 completa está en la página 9.</w:t>
      </w:r>
    </w:p>
    <w:p w14:paraId="797844A6" w14:textId="6B0320EE" w:rsidR="00A55BAC" w:rsidRPr="00A55BAC" w:rsidRDefault="00A55BAC" w:rsidP="00CC4C5B">
      <w:pPr>
        <w:jc w:val="both"/>
      </w:pPr>
      <w:r w:rsidRPr="00A55BAC">
        <w:t>El Centro para la Calidad de la Auditoría</w:t>
      </w:r>
      <w:r>
        <w:t xml:space="preserve"> </w:t>
      </w:r>
      <w:r w:rsidRPr="00A55BAC">
        <w:rPr>
          <w:b/>
          <w:bCs/>
        </w:rPr>
        <w:t>(CAQ)</w:t>
      </w:r>
      <w:r w:rsidR="00CC4C5B">
        <w:rPr>
          <w:b/>
          <w:bCs/>
        </w:rPr>
        <w:t xml:space="preserve"> </w:t>
      </w:r>
      <w:r w:rsidRPr="00A55BAC">
        <w:t>del Instituto Americano de Contadores Públicos Certificados (AICPA) ha publicado </w:t>
      </w:r>
      <w:r w:rsidRPr="00A55BAC">
        <w:rPr>
          <w:i/>
          <w:iCs/>
        </w:rPr>
        <w:t>Estados Financieros Auditados y Consideraciones de Riesgo Relacionadas con el Clima</w:t>
      </w:r>
      <w:r w:rsidRPr="00A55BAC">
        <w:t> que discuten los elementos que las empresas públicas están reportando actualmente y cómo esa información es importante para sus estados financieros. El informe se puede descargar desde el sitio web de </w:t>
      </w:r>
      <w:hyperlink r:id="rId9" w:tgtFrame="_blank" w:history="1">
        <w:r w:rsidRPr="00A55BAC">
          <w:rPr>
            <w:rStyle w:val="Hipervnculo"/>
          </w:rPr>
          <w:t>CAQ.</w:t>
        </w:r>
      </w:hyperlink>
    </w:p>
    <w:p w14:paraId="15EE86B9" w14:textId="18FD8644" w:rsidR="00A55BAC" w:rsidRPr="00A55BAC" w:rsidRDefault="00A55BAC" w:rsidP="00CC4C5B">
      <w:pPr>
        <w:jc w:val="both"/>
      </w:pPr>
      <w:r w:rsidRPr="00A55BAC">
        <w:t xml:space="preserve">La Global </w:t>
      </w:r>
      <w:proofErr w:type="spellStart"/>
      <w:r w:rsidRPr="00A55BAC">
        <w:t>Reporting</w:t>
      </w:r>
      <w:proofErr w:type="spellEnd"/>
      <w:r w:rsidRPr="00A55BAC">
        <w:t xml:space="preserve"> </w:t>
      </w:r>
      <w:proofErr w:type="spellStart"/>
      <w:r w:rsidRPr="00A55BAC">
        <w:t>Initiative</w:t>
      </w:r>
      <w:proofErr w:type="spellEnd"/>
      <w:r w:rsidR="00CC4C5B">
        <w:t xml:space="preserve"> </w:t>
      </w:r>
      <w:r w:rsidRPr="00A55BAC">
        <w:rPr>
          <w:b/>
          <w:bCs/>
        </w:rPr>
        <w:t>(GRI)</w:t>
      </w:r>
      <w:r w:rsidR="00CC4C5B">
        <w:rPr>
          <w:b/>
          <w:bCs/>
        </w:rPr>
        <w:t xml:space="preserve"> </w:t>
      </w:r>
      <w:r w:rsidRPr="00A55BAC">
        <w:t>ha anunciado que han revisado y fortalecido sus Estándares Universales y han publicado su primer estándar específico del sector (para petróleo y gas). Más información está disponible en el sitio web de </w:t>
      </w:r>
      <w:hyperlink r:id="rId10" w:tgtFrame="_blank" w:history="1">
        <w:r w:rsidRPr="00A55BAC">
          <w:rPr>
            <w:rStyle w:val="Hipervnculo"/>
          </w:rPr>
          <w:t>GRI.</w:t>
        </w:r>
      </w:hyperlink>
    </w:p>
    <w:p w14:paraId="7AB328C4" w14:textId="35431ED8" w:rsidR="00A55BAC" w:rsidRPr="00A55BAC" w:rsidRDefault="00A55BAC" w:rsidP="00CC4C5B">
      <w:pPr>
        <w:jc w:val="both"/>
      </w:pPr>
      <w:r w:rsidRPr="00A55BAC">
        <w:lastRenderedPageBreak/>
        <w:t>El Consejo Internacional de Informes Integrados</w:t>
      </w:r>
      <w:r>
        <w:t xml:space="preserve"> </w:t>
      </w:r>
      <w:r w:rsidRPr="00A55BAC">
        <w:rPr>
          <w:b/>
          <w:bCs/>
        </w:rPr>
        <w:t>(IIRC)</w:t>
      </w:r>
      <w:r w:rsidR="00CC4C5B">
        <w:rPr>
          <w:b/>
          <w:bCs/>
        </w:rPr>
        <w:t xml:space="preserve"> </w:t>
      </w:r>
      <w:r w:rsidRPr="00A55BAC">
        <w:t>ha publicado </w:t>
      </w:r>
      <w:proofErr w:type="spellStart"/>
      <w:r w:rsidRPr="00A55BAC">
        <w:fldChar w:fldCharType="begin"/>
      </w:r>
      <w:r w:rsidRPr="00A55BAC">
        <w:instrText xml:space="preserve"> HYPERLINK "https://www.integratedreporting.org/news/transition-to-integrated-reporting-a-guide-to-getting-started/" \t "_blank" </w:instrText>
      </w:r>
      <w:r w:rsidRPr="00A55BAC">
        <w:fldChar w:fldCharType="separate"/>
      </w:r>
      <w:r w:rsidRPr="00A55BAC">
        <w:rPr>
          <w:rStyle w:val="Hipervnculo"/>
        </w:rPr>
        <w:t>Transition</w:t>
      </w:r>
      <w:proofErr w:type="spellEnd"/>
      <w:r w:rsidRPr="00A55BAC">
        <w:rPr>
          <w:rStyle w:val="Hipervnculo"/>
        </w:rPr>
        <w:t xml:space="preserve"> </w:t>
      </w:r>
      <w:proofErr w:type="spellStart"/>
      <w:r w:rsidRPr="00A55BAC">
        <w:rPr>
          <w:rStyle w:val="Hipervnculo"/>
        </w:rPr>
        <w:t>to</w:t>
      </w:r>
      <w:proofErr w:type="spellEnd"/>
      <w:r w:rsidRPr="00A55BAC">
        <w:rPr>
          <w:rStyle w:val="Hipervnculo"/>
        </w:rPr>
        <w:t xml:space="preserve"> </w:t>
      </w:r>
      <w:proofErr w:type="spellStart"/>
      <w:r w:rsidRPr="00A55BAC">
        <w:rPr>
          <w:rStyle w:val="Hipervnculo"/>
        </w:rPr>
        <w:t>integrated</w:t>
      </w:r>
      <w:proofErr w:type="spellEnd"/>
      <w:r w:rsidRPr="00A55BAC">
        <w:rPr>
          <w:rStyle w:val="Hipervnculo"/>
        </w:rPr>
        <w:t xml:space="preserve"> </w:t>
      </w:r>
      <w:proofErr w:type="spellStart"/>
      <w:r w:rsidRPr="00A55BAC">
        <w:rPr>
          <w:rStyle w:val="Hipervnculo"/>
        </w:rPr>
        <w:t>reporting</w:t>
      </w:r>
      <w:proofErr w:type="spellEnd"/>
      <w:r w:rsidRPr="00A55BAC">
        <w:rPr>
          <w:rStyle w:val="Hipervnculo"/>
        </w:rPr>
        <w:t xml:space="preserve">: A Guide </w:t>
      </w:r>
      <w:proofErr w:type="spellStart"/>
      <w:r w:rsidRPr="00A55BAC">
        <w:rPr>
          <w:rStyle w:val="Hipervnculo"/>
        </w:rPr>
        <w:t>to</w:t>
      </w:r>
      <w:proofErr w:type="spellEnd"/>
      <w:r w:rsidRPr="00A55BAC">
        <w:rPr>
          <w:rStyle w:val="Hipervnculo"/>
        </w:rPr>
        <w:t xml:space="preserve"> </w:t>
      </w:r>
      <w:proofErr w:type="spellStart"/>
      <w:r w:rsidRPr="00A55BAC">
        <w:rPr>
          <w:rStyle w:val="Hipervnculo"/>
        </w:rPr>
        <w:t>getting</w:t>
      </w:r>
      <w:proofErr w:type="spellEnd"/>
      <w:r w:rsidRPr="00A55BAC">
        <w:rPr>
          <w:rStyle w:val="Hipervnculo"/>
        </w:rPr>
        <w:t xml:space="preserve"> </w:t>
      </w:r>
      <w:proofErr w:type="spellStart"/>
      <w:r w:rsidRPr="00A55BAC">
        <w:rPr>
          <w:rStyle w:val="Hipervnculo"/>
        </w:rPr>
        <w:t>started</w:t>
      </w:r>
      <w:proofErr w:type="spellEnd"/>
      <w:r w:rsidRPr="00A55BAC">
        <w:fldChar w:fldCharType="end"/>
      </w:r>
      <w:r w:rsidRPr="00A55BAC">
        <w:t> como publicación complementaria al &lt;IR&gt;Framework. Además, el &lt;IR&gt;Framework ya está disponible en una traducción al </w:t>
      </w:r>
      <w:hyperlink r:id="rId11" w:tgtFrame="_blank" w:history="1">
        <w:r w:rsidRPr="00A55BAC">
          <w:rPr>
            <w:rStyle w:val="Hipervnculo"/>
          </w:rPr>
          <w:t>italiano</w:t>
        </w:r>
      </w:hyperlink>
      <w:r w:rsidRPr="00A55BAC">
        <w:t> y al </w:t>
      </w:r>
      <w:hyperlink r:id="rId12" w:tgtFrame="_blank" w:history="1">
        <w:r w:rsidRPr="00A55BAC">
          <w:rPr>
            <w:rStyle w:val="Hipervnculo"/>
          </w:rPr>
          <w:t>turco.</w:t>
        </w:r>
      </w:hyperlink>
    </w:p>
    <w:p w14:paraId="462FE4EF" w14:textId="33411B32" w:rsidR="00A55BAC" w:rsidRPr="00A55BAC" w:rsidRDefault="00A55BAC" w:rsidP="00CC4C5B">
      <w:pPr>
        <w:jc w:val="both"/>
      </w:pPr>
      <w:r w:rsidRPr="00A55BAC">
        <w:t>El Consejo de Información Financiera del Reino Unido</w:t>
      </w:r>
      <w:r>
        <w:t xml:space="preserve"> </w:t>
      </w:r>
      <w:r w:rsidRPr="00A55BAC">
        <w:rPr>
          <w:b/>
          <w:bCs/>
        </w:rPr>
        <w:t>(FRC)</w:t>
      </w:r>
      <w:r>
        <w:rPr>
          <w:b/>
          <w:bCs/>
        </w:rPr>
        <w:t xml:space="preserve"> </w:t>
      </w:r>
      <w:r w:rsidRPr="00A55BAC">
        <w:t>ha publicado </w:t>
      </w:r>
      <w:r w:rsidRPr="00A55BAC">
        <w:rPr>
          <w:i/>
          <w:iCs/>
        </w:rPr>
        <w:t>preguntas frecuentes sobre el establecimiento de normas internacionales de sostenibilidad.</w:t>
      </w:r>
      <w:r w:rsidRPr="00A55BAC">
        <w:t> El propósito de las preguntas frecuentes es informar a las partes interesadas sobre los desarrollos en el establecimiento de normas de sostenibilidad por parte de la Fundación NIIF. Haga clic para acceder a </w:t>
      </w:r>
      <w:hyperlink r:id="rId13" w:tgtFrame="_blank" w:history="1">
        <w:r w:rsidRPr="00A55BAC">
          <w:rPr>
            <w:rStyle w:val="Hipervnculo"/>
          </w:rPr>
          <w:t>las preguntas frecuentes</w:t>
        </w:r>
      </w:hyperlink>
      <w:r w:rsidRPr="00A55BAC">
        <w:t> en el sitio web de FRC.</w:t>
      </w:r>
    </w:p>
    <w:p w14:paraId="366E76DF" w14:textId="77777777" w:rsidR="00A55BAC" w:rsidRPr="00A55BAC" w:rsidRDefault="00A55BAC" w:rsidP="00CC4C5B">
      <w:pPr>
        <w:jc w:val="both"/>
      </w:pPr>
      <w:r w:rsidRPr="00A55BAC">
        <w:t>El </w:t>
      </w:r>
      <w:r w:rsidRPr="00A55BAC">
        <w:rPr>
          <w:b/>
          <w:bCs/>
        </w:rPr>
        <w:t>FRC</w:t>
      </w:r>
      <w:r w:rsidRPr="00A55BAC">
        <w:t> también ha publicado </w:t>
      </w:r>
      <w:r w:rsidRPr="00A55BAC">
        <w:rPr>
          <w:i/>
          <w:iCs/>
        </w:rPr>
        <w:t>el Grupo de Trabajo sobre Divulgaciones Financieras Relacionadas con el Clima (TCFD): antes de la presentación obligatoria de informes</w:t>
      </w:r>
      <w:r w:rsidRPr="00A55BAC">
        <w:t> para ayudar a las empresas a prepararse para la presentación obligatoria de informes TCFD en el Reino Unido. Se puede acceder al informe y a una instantánea del estado de los informes actuales en comparación con el marco del TCFD a través del </w:t>
      </w:r>
      <w:hyperlink r:id="rId14" w:tgtFrame="_blank" w:history="1">
        <w:r w:rsidRPr="00A55BAC">
          <w:rPr>
            <w:rStyle w:val="Hipervnculo"/>
          </w:rPr>
          <w:t>comunicado de prensa</w:t>
        </w:r>
      </w:hyperlink>
      <w:r w:rsidRPr="00A55BAC">
        <w:t> en el sitio web de FRC.</w:t>
      </w:r>
    </w:p>
    <w:p w14:paraId="46D31EE1" w14:textId="2FFA6D62" w:rsidR="00A55BAC" w:rsidRPr="00A55BAC" w:rsidRDefault="00A55BAC" w:rsidP="00CC4C5B">
      <w:pPr>
        <w:jc w:val="both"/>
      </w:pPr>
      <w:r w:rsidRPr="00A55BAC">
        <w:t>El Proyecto de Contabilidad para la Sostenibilidad del Príncipe de Gales</w:t>
      </w:r>
      <w:r w:rsidR="00CC4C5B">
        <w:t xml:space="preserve"> </w:t>
      </w:r>
      <w:r w:rsidRPr="00A55BAC">
        <w:rPr>
          <w:b/>
          <w:bCs/>
        </w:rPr>
        <w:t>(A4S)</w:t>
      </w:r>
      <w:r w:rsidR="00CC4C5B">
        <w:rPr>
          <w:b/>
          <w:bCs/>
        </w:rPr>
        <w:t xml:space="preserve"> </w:t>
      </w:r>
      <w:r w:rsidRPr="00A55BAC">
        <w:t>ha publicado una guía para el Análisis de Escenarios Climáticos de TCFD. El análisis de escenarios es una recomendación clave del TCFD y permite a una empresa comprender y cuantificar los riesgos e incertidumbres que puede enfrentar bajo diferentes futuros hipotéticos. La guía se puede descargar desde el sitio web de </w:t>
      </w:r>
      <w:hyperlink r:id="rId15" w:tgtFrame="_blank" w:history="1">
        <w:r w:rsidRPr="00A55BAC">
          <w:rPr>
            <w:rStyle w:val="Hipervnculo"/>
          </w:rPr>
          <w:t>A4S.</w:t>
        </w:r>
      </w:hyperlink>
    </w:p>
    <w:p w14:paraId="2C547DB9" w14:textId="1E1BD62B" w:rsidR="00A55BAC" w:rsidRPr="00A55BAC" w:rsidRDefault="00A55BAC" w:rsidP="00CC4C5B">
      <w:pPr>
        <w:jc w:val="both"/>
      </w:pPr>
      <w:r w:rsidRPr="00A55BAC">
        <w:t>La Junta de Normas de Contabilidad de Sostenibilidad</w:t>
      </w:r>
      <w:r>
        <w:t xml:space="preserve"> </w:t>
      </w:r>
      <w:r w:rsidRPr="00A55BAC">
        <w:rPr>
          <w:b/>
          <w:bCs/>
        </w:rPr>
        <w:t>(SASB)</w:t>
      </w:r>
      <w:r w:rsidR="00CC4C5B">
        <w:rPr>
          <w:b/>
          <w:bCs/>
        </w:rPr>
        <w:t xml:space="preserve"> </w:t>
      </w:r>
      <w:r w:rsidRPr="00A55BAC">
        <w:t>ha publicado formalmente la Taxonomía XBRL de las Normas SASB para facilitar la presentación de informes de acuerdo con sus 77 Normas de la Industria utilizando datos estructurados. Más información disponible </w:t>
      </w:r>
      <w:hyperlink r:id="rId16" w:tgtFrame="_blank" w:history="1">
        <w:r w:rsidRPr="00A55BAC">
          <w:rPr>
            <w:rStyle w:val="Hipervnculo"/>
          </w:rPr>
          <w:t>aquí.</w:t>
        </w:r>
      </w:hyperlink>
    </w:p>
    <w:p w14:paraId="4067EFD5" w14:textId="2CF3F65B" w:rsidR="00A55BAC" w:rsidRPr="00A55BAC" w:rsidRDefault="00A55BAC" w:rsidP="00CC4C5B">
      <w:pPr>
        <w:jc w:val="both"/>
      </w:pPr>
      <w:r w:rsidRPr="00A55BAC">
        <w:t>La Junta de Informes Externos de Nueva Zelanda</w:t>
      </w:r>
      <w:r>
        <w:t xml:space="preserve"> </w:t>
      </w:r>
      <w:r w:rsidRPr="00A55BAC">
        <w:rPr>
          <w:b/>
          <w:bCs/>
        </w:rPr>
        <w:t>(XRB)</w:t>
      </w:r>
      <w:r w:rsidR="00CC4C5B">
        <w:rPr>
          <w:b/>
          <w:bCs/>
        </w:rPr>
        <w:t xml:space="preserve"> </w:t>
      </w:r>
      <w:r w:rsidRPr="00A55BAC">
        <w:t>comenzó a consultar con las empresas sobre la primera parte de los estándares de divulgación relacionados con el clima propuestos por el Gobierno al publicar su primer documento de consulta de divulgación relacionada con el clima. Más información disponible </w:t>
      </w:r>
      <w:hyperlink r:id="rId17" w:tgtFrame="_blank" w:history="1">
        <w:r w:rsidRPr="00A55BAC">
          <w:rPr>
            <w:rStyle w:val="Hipervnculo"/>
          </w:rPr>
          <w:t>aquí.</w:t>
        </w:r>
      </w:hyperlink>
    </w:p>
    <w:p w14:paraId="6E689F1C" w14:textId="263EC685" w:rsidR="00A55BAC" w:rsidRPr="00A55BAC" w:rsidRDefault="00A55BAC" w:rsidP="00CC4C5B">
      <w:pPr>
        <w:jc w:val="both"/>
      </w:pPr>
      <w:r w:rsidRPr="00A55BAC">
        <w:t>La Fundación de Normas de Contabilidad Financiera de Japón</w:t>
      </w:r>
      <w:r>
        <w:t xml:space="preserve"> </w:t>
      </w:r>
      <w:r w:rsidRPr="00A55BAC">
        <w:rPr>
          <w:b/>
          <w:bCs/>
        </w:rPr>
        <w:t>(FASF)</w:t>
      </w:r>
      <w:r w:rsidR="00CC4C5B">
        <w:rPr>
          <w:b/>
          <w:bCs/>
        </w:rPr>
        <w:t xml:space="preserve"> </w:t>
      </w:r>
      <w:r w:rsidRPr="00A55BAC">
        <w:t>ha anunciado que ha revisado su estatuto de organización para incluir normas de informes de sostenibilidad en su propósito y negocio, además de su propósito / negocio existente sobre normas de contabilidad. Este movimiento es para que la organización se convierta en la contraparte del ISSB de la Fundación IFRS en Japón. El </w:t>
      </w:r>
      <w:hyperlink r:id="rId18" w:history="1">
        <w:r w:rsidRPr="00A55BAC">
          <w:rPr>
            <w:rStyle w:val="Hipervnculo"/>
          </w:rPr>
          <w:t>comunicado de prensa</w:t>
        </w:r>
      </w:hyperlink>
      <w:r w:rsidRPr="00A55BAC">
        <w:t> solo está disponible en japonés.</w:t>
      </w:r>
    </w:p>
    <w:p w14:paraId="3EACE21E" w14:textId="51529E67" w:rsidR="00A55BAC" w:rsidRPr="00A55BAC" w:rsidRDefault="00A55BAC" w:rsidP="00CC4C5B">
      <w:pPr>
        <w:jc w:val="both"/>
      </w:pPr>
      <w:r w:rsidRPr="00A55BAC">
        <w:t>Los Administradores de Valores Canadienses</w:t>
      </w:r>
      <w:r>
        <w:t xml:space="preserve"> </w:t>
      </w:r>
      <w:r w:rsidRPr="00A55BAC">
        <w:rPr>
          <w:b/>
          <w:bCs/>
        </w:rPr>
        <w:t>(CSA)</w:t>
      </w:r>
      <w:r w:rsidR="00CC4C5B">
        <w:rPr>
          <w:b/>
          <w:bCs/>
        </w:rPr>
        <w:t xml:space="preserve"> </w:t>
      </w:r>
      <w:r w:rsidRPr="00A55BAC">
        <w:t>también han publicado para comentarios los requisitos de divulgación relacionados con el clima propuestos. Los requisitos contemplan una divulgación en gran medida coherente con las recomendaciones del TCFD. Se puede acceder a los requisitos propuestos a través del </w:t>
      </w:r>
      <w:hyperlink r:id="rId19" w:tgtFrame="_blank" w:history="1">
        <w:r w:rsidRPr="00A55BAC">
          <w:rPr>
            <w:rStyle w:val="Hipervnculo"/>
          </w:rPr>
          <w:t>comunicado de prensa</w:t>
        </w:r>
      </w:hyperlink>
      <w:r w:rsidRPr="00A55BAC">
        <w:t> en el sitio web de CSA.</w:t>
      </w:r>
    </w:p>
    <w:p w14:paraId="096B76F0" w14:textId="7892BA1A" w:rsidR="00A55BAC" w:rsidRPr="00A55BAC" w:rsidRDefault="00A55BAC" w:rsidP="00CC4C5B">
      <w:pPr>
        <w:jc w:val="both"/>
      </w:pPr>
      <w:r w:rsidRPr="00A55BAC">
        <w:rPr>
          <w:lang w:val="en-US"/>
        </w:rPr>
        <w:t xml:space="preserve">La </w:t>
      </w:r>
      <w:proofErr w:type="spellStart"/>
      <w:r w:rsidRPr="00A55BAC">
        <w:rPr>
          <w:lang w:val="en-US"/>
        </w:rPr>
        <w:t>Federación</w:t>
      </w:r>
      <w:proofErr w:type="spellEnd"/>
      <w:r w:rsidRPr="00A55BAC">
        <w:rPr>
          <w:lang w:val="en-US"/>
        </w:rPr>
        <w:t xml:space="preserve"> </w:t>
      </w:r>
      <w:proofErr w:type="spellStart"/>
      <w:r w:rsidRPr="00A55BAC">
        <w:rPr>
          <w:lang w:val="en-US"/>
        </w:rPr>
        <w:t>Europea</w:t>
      </w:r>
      <w:proofErr w:type="spellEnd"/>
      <w:r w:rsidRPr="00A55BAC">
        <w:rPr>
          <w:lang w:val="en-US"/>
        </w:rPr>
        <w:t xml:space="preserve"> de </w:t>
      </w:r>
      <w:proofErr w:type="spellStart"/>
      <w:r w:rsidRPr="00A55BAC">
        <w:rPr>
          <w:lang w:val="en-US"/>
        </w:rPr>
        <w:t>Contadores</w:t>
      </w:r>
      <w:proofErr w:type="spellEnd"/>
      <w:r w:rsidRPr="00A55BAC">
        <w:rPr>
          <w:lang w:val="en-US"/>
        </w:rPr>
        <w:t xml:space="preserve"> y </w:t>
      </w:r>
      <w:proofErr w:type="spellStart"/>
      <w:r w:rsidRPr="00A55BAC">
        <w:rPr>
          <w:lang w:val="en-US"/>
        </w:rPr>
        <w:t>Auditores</w:t>
      </w:r>
      <w:proofErr w:type="spellEnd"/>
      <w:r w:rsidRPr="00A55BAC">
        <w:rPr>
          <w:lang w:val="en-US"/>
        </w:rPr>
        <w:t xml:space="preserve"> para las PYME</w:t>
      </w:r>
      <w:r w:rsidR="00CC4C5B">
        <w:rPr>
          <w:lang w:val="en-US"/>
        </w:rPr>
        <w:t xml:space="preserve"> </w:t>
      </w:r>
      <w:r w:rsidRPr="00A55BAC">
        <w:rPr>
          <w:b/>
          <w:bCs/>
          <w:lang w:val="en-US"/>
        </w:rPr>
        <w:t>(EFAA)</w:t>
      </w:r>
      <w:r w:rsidR="00CC4C5B">
        <w:rPr>
          <w:b/>
          <w:bCs/>
          <w:lang w:val="en-US"/>
        </w:rPr>
        <w:t xml:space="preserve"> </w:t>
      </w:r>
      <w:r w:rsidRPr="00A55BAC">
        <w:rPr>
          <w:lang w:val="en-US"/>
        </w:rPr>
        <w:t xml:space="preserve">ha </w:t>
      </w:r>
      <w:proofErr w:type="spellStart"/>
      <w:r w:rsidRPr="00A55BAC">
        <w:rPr>
          <w:lang w:val="en-US"/>
        </w:rPr>
        <w:t>publicado</w:t>
      </w:r>
      <w:proofErr w:type="spellEnd"/>
      <w:r w:rsidRPr="00A55BAC">
        <w:rPr>
          <w:lang w:val="en-US"/>
        </w:rPr>
        <w:t xml:space="preserve"> un podcast </w:t>
      </w:r>
      <w:r w:rsidRPr="00A55BAC">
        <w:rPr>
          <w:i/>
          <w:iCs/>
          <w:lang w:val="en-US"/>
        </w:rPr>
        <w:t>The Future of Corporate Reporting in Europe: What are the Implications and Next Steps for Europe's Small- and Medium-Sized Practices?</w:t>
      </w:r>
      <w:r w:rsidRPr="00A55BAC">
        <w:rPr>
          <w:lang w:val="en-US"/>
        </w:rPr>
        <w:t> </w:t>
      </w:r>
      <w:r w:rsidRPr="00A55BAC">
        <w:t>El podcast está disponible en </w:t>
      </w:r>
      <w:hyperlink r:id="rId20" w:tgtFrame="_blank" w:history="1">
        <w:r w:rsidRPr="00A55BAC">
          <w:rPr>
            <w:rStyle w:val="Hipervnculo"/>
          </w:rPr>
          <w:t>YouTube.</w:t>
        </w:r>
      </w:hyperlink>
    </w:p>
    <w:p w14:paraId="7ABE8716" w14:textId="62E7FAF0" w:rsidR="00A55BAC" w:rsidRPr="00A55BAC" w:rsidRDefault="00A55BAC" w:rsidP="00CC4C5B">
      <w:pPr>
        <w:jc w:val="both"/>
      </w:pPr>
      <w:r w:rsidRPr="00A55BAC">
        <w:t>El grupo de trabajo sobre informes de sostenibilidad del Grupo Consultivo Europeo de Información Financiera</w:t>
      </w:r>
      <w:r>
        <w:t xml:space="preserve"> </w:t>
      </w:r>
      <w:r w:rsidRPr="00A55BAC">
        <w:rPr>
          <w:b/>
          <w:bCs/>
        </w:rPr>
        <w:t>(EFRAG)</w:t>
      </w:r>
      <w:r w:rsidR="00CC4C5B">
        <w:rPr>
          <w:b/>
          <w:bCs/>
        </w:rPr>
        <w:t xml:space="preserve"> </w:t>
      </w:r>
      <w:r w:rsidRPr="00A55BAC">
        <w:t xml:space="preserve">ha publicado un documento de trabajo sobre la base de las conclusiones del </w:t>
      </w:r>
      <w:r w:rsidRPr="00A55BAC">
        <w:lastRenderedPageBreak/>
        <w:t>prototipo de la norma climática en la que están trabajando. El documento es solo para información y no está abierto a comentarios públicos. Haga clic para acceder al documento </w:t>
      </w:r>
      <w:hyperlink r:id="rId21" w:tgtFrame="_blank" w:history="1">
        <w:r w:rsidRPr="00A55BAC">
          <w:rPr>
            <w:rStyle w:val="Hipervnculo"/>
          </w:rPr>
          <w:t>aquí.</w:t>
        </w:r>
      </w:hyperlink>
    </w:p>
    <w:p w14:paraId="7A515624" w14:textId="77777777" w:rsidR="00A55BAC" w:rsidRPr="00A55BAC" w:rsidRDefault="00A55BAC" w:rsidP="00CC4C5B">
      <w:pPr>
        <w:jc w:val="both"/>
      </w:pPr>
      <w:r w:rsidRPr="00A55BAC">
        <w:t>Las empresas </w:t>
      </w:r>
      <w:r w:rsidRPr="00A55BAC">
        <w:rPr>
          <w:b/>
          <w:bCs/>
        </w:rPr>
        <w:t>de Deloitte</w:t>
      </w:r>
      <w:r w:rsidRPr="00A55BAC">
        <w:t> en la Unión Europea han respondido al documento de consulta EFRAG </w:t>
      </w:r>
      <w:proofErr w:type="spellStart"/>
      <w:r w:rsidRPr="00A55BAC">
        <w:rPr>
          <w:i/>
          <w:iCs/>
        </w:rPr>
        <w:t>EFRAG</w:t>
      </w:r>
      <w:proofErr w:type="spellEnd"/>
      <w:r w:rsidRPr="00A55BAC">
        <w:rPr>
          <w:i/>
          <w:iCs/>
        </w:rPr>
        <w:t xml:space="preserve"> </w:t>
      </w:r>
      <w:proofErr w:type="spellStart"/>
      <w:r w:rsidRPr="00A55BAC">
        <w:rPr>
          <w:i/>
          <w:iCs/>
        </w:rPr>
        <w:t>Due</w:t>
      </w:r>
      <w:proofErr w:type="spellEnd"/>
      <w:r w:rsidRPr="00A55BAC">
        <w:rPr>
          <w:i/>
          <w:iCs/>
        </w:rPr>
        <w:t xml:space="preserve"> </w:t>
      </w:r>
      <w:proofErr w:type="spellStart"/>
      <w:r w:rsidRPr="00A55BAC">
        <w:rPr>
          <w:i/>
          <w:iCs/>
        </w:rPr>
        <w:t>Process</w:t>
      </w:r>
      <w:proofErr w:type="spellEnd"/>
      <w:r w:rsidRPr="00A55BAC">
        <w:rPr>
          <w:i/>
          <w:iCs/>
        </w:rPr>
        <w:t xml:space="preserve"> </w:t>
      </w:r>
      <w:proofErr w:type="spellStart"/>
      <w:r w:rsidRPr="00A55BAC">
        <w:rPr>
          <w:i/>
          <w:iCs/>
        </w:rPr>
        <w:t>Procedures</w:t>
      </w:r>
      <w:proofErr w:type="spellEnd"/>
      <w:r w:rsidRPr="00A55BAC">
        <w:rPr>
          <w:i/>
          <w:iCs/>
        </w:rPr>
        <w:t xml:space="preserve"> </w:t>
      </w:r>
      <w:proofErr w:type="spellStart"/>
      <w:r w:rsidRPr="00A55BAC">
        <w:rPr>
          <w:i/>
          <w:iCs/>
        </w:rPr>
        <w:t>on</w:t>
      </w:r>
      <w:proofErr w:type="spellEnd"/>
      <w:r w:rsidRPr="00A55BAC">
        <w:rPr>
          <w:i/>
          <w:iCs/>
        </w:rPr>
        <w:t xml:space="preserve"> EU </w:t>
      </w:r>
      <w:proofErr w:type="spellStart"/>
      <w:r w:rsidRPr="00A55BAC">
        <w:rPr>
          <w:i/>
          <w:iCs/>
        </w:rPr>
        <w:t>Sustainability</w:t>
      </w:r>
      <w:proofErr w:type="spellEnd"/>
      <w:r w:rsidRPr="00A55BAC">
        <w:rPr>
          <w:i/>
          <w:iCs/>
        </w:rPr>
        <w:t xml:space="preserve"> </w:t>
      </w:r>
      <w:proofErr w:type="spellStart"/>
      <w:r w:rsidRPr="00A55BAC">
        <w:rPr>
          <w:i/>
          <w:iCs/>
        </w:rPr>
        <w:t>Reporting</w:t>
      </w:r>
      <w:proofErr w:type="spellEnd"/>
      <w:r w:rsidRPr="00A55BAC">
        <w:rPr>
          <w:i/>
          <w:iCs/>
        </w:rPr>
        <w:t xml:space="preserve"> Standard-</w:t>
      </w:r>
      <w:proofErr w:type="spellStart"/>
      <w:r w:rsidRPr="00A55BAC">
        <w:rPr>
          <w:i/>
          <w:iCs/>
        </w:rPr>
        <w:t>Setting</w:t>
      </w:r>
      <w:proofErr w:type="spellEnd"/>
      <w:r w:rsidRPr="00A55BAC">
        <w:t>. Haga clic para acceder a </w:t>
      </w:r>
      <w:hyperlink r:id="rId22" w:history="1">
        <w:r w:rsidRPr="00A55BAC">
          <w:rPr>
            <w:rStyle w:val="Hipervnculo"/>
          </w:rPr>
          <w:t>nuestra carta de comentarios.</w:t>
        </w:r>
      </w:hyperlink>
    </w:p>
    <w:p w14:paraId="5FCDA34E" w14:textId="77777777" w:rsidR="00D947A2" w:rsidRDefault="00D947A2" w:rsidP="00CC4C5B">
      <w:pPr>
        <w:jc w:val="both"/>
      </w:pPr>
    </w:p>
    <w:sectPr w:rsidR="00D947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A2"/>
    <w:rsid w:val="003036DD"/>
    <w:rsid w:val="00A55BAC"/>
    <w:rsid w:val="00CC4C5B"/>
    <w:rsid w:val="00CD08E9"/>
    <w:rsid w:val="00D94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FA71"/>
  <w15:chartTrackingRefBased/>
  <w15:docId w15:val="{288D09F5-1EC8-4DF3-88C8-E6F9626B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94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47A2"/>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A55BAC"/>
    <w:rPr>
      <w:color w:val="0563C1" w:themeColor="hyperlink"/>
      <w:u w:val="single"/>
    </w:rPr>
  </w:style>
  <w:style w:type="character" w:styleId="Mencinsinresolver">
    <w:name w:val="Unresolved Mention"/>
    <w:basedOn w:val="Fuentedeprrafopredeter"/>
    <w:uiPriority w:val="99"/>
    <w:semiHidden/>
    <w:unhideWhenUsed/>
    <w:rsid w:val="00A55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80740">
      <w:bodyDiv w:val="1"/>
      <w:marLeft w:val="0"/>
      <w:marRight w:val="0"/>
      <w:marTop w:val="0"/>
      <w:marBottom w:val="0"/>
      <w:divBdr>
        <w:top w:val="none" w:sz="0" w:space="0" w:color="auto"/>
        <w:left w:val="none" w:sz="0" w:space="0" w:color="auto"/>
        <w:bottom w:val="none" w:sz="0" w:space="0" w:color="auto"/>
        <w:right w:val="none" w:sz="0" w:space="0" w:color="auto"/>
      </w:divBdr>
    </w:div>
    <w:div w:id="2060661248">
      <w:bodyDiv w:val="1"/>
      <w:marLeft w:val="0"/>
      <w:marRight w:val="0"/>
      <w:marTop w:val="0"/>
      <w:marBottom w:val="0"/>
      <w:divBdr>
        <w:top w:val="none" w:sz="0" w:space="0" w:color="auto"/>
        <w:left w:val="none" w:sz="0" w:space="0" w:color="auto"/>
        <w:bottom w:val="none" w:sz="0" w:space="0" w:color="auto"/>
        <w:right w:val="none" w:sz="0" w:space="0" w:color="auto"/>
      </w:divBdr>
      <w:divsChild>
        <w:div w:id="171114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20sfwg.org/wp-content/uploads/2021/10/G20-Sustainable-Finance-Roadmap.pdf" TargetMode="External"/><Relationship Id="rId13" Type="http://schemas.openxmlformats.org/officeDocument/2006/relationships/hyperlink" Target="https://www.frc.org.uk/news/september-2021/international-sustainability-standards-setting" TargetMode="External"/><Relationship Id="rId18" Type="http://schemas.openxmlformats.org/officeDocument/2006/relationships/hyperlink" Target="https://www.asb.or.jp/jp/wp-content/uploads/news_release_20211028.pdf" TargetMode="External"/><Relationship Id="rId3" Type="http://schemas.openxmlformats.org/officeDocument/2006/relationships/webSettings" Target="webSettings.xml"/><Relationship Id="rId21" Type="http://schemas.openxmlformats.org/officeDocument/2006/relationships/hyperlink" Target="https://www.efrag.org/News/Project-531/EFRAG---PTF-ESRS-Cluster-2-Climate-standard-prototype---Basis-for-Conclusions-working-paper" TargetMode="External"/><Relationship Id="rId7" Type="http://schemas.openxmlformats.org/officeDocument/2006/relationships/hyperlink" Target="https://www.unepfi.org/news/industries/investment/nearly-600-investors-urge-govts-to-undertake-five-priority-actions-before-cop26/" TargetMode="External"/><Relationship Id="rId12" Type="http://schemas.openxmlformats.org/officeDocument/2006/relationships/hyperlink" Target="https://www.integratedreporting.org/news/turkish-translation-of-the-framework-published/" TargetMode="External"/><Relationship Id="rId17" Type="http://schemas.openxmlformats.org/officeDocument/2006/relationships/hyperlink" Target="https://www.xrb.govt.nz/extended-external-reporting/climate-related-disclosures/consultation-and-engagement/governance-and-risk-management-consultation-document" TargetMode="External"/><Relationship Id="rId2" Type="http://schemas.openxmlformats.org/officeDocument/2006/relationships/settings" Target="settings.xml"/><Relationship Id="rId16" Type="http://schemas.openxmlformats.org/officeDocument/2006/relationships/hyperlink" Target="https://www.sasb.org/structured-reporting-xbrl/" TargetMode="External"/><Relationship Id="rId20" Type="http://schemas.openxmlformats.org/officeDocument/2006/relationships/hyperlink" Target="https://www.youtube.com/watch?v=tusBUuiKMyw" TargetMode="External"/><Relationship Id="rId1" Type="http://schemas.openxmlformats.org/officeDocument/2006/relationships/styles" Target="styles.xml"/><Relationship Id="rId6" Type="http://schemas.openxmlformats.org/officeDocument/2006/relationships/hyperlink" Target="https://carbontracker.org/reports/flying-blind-the-glaring-absence-of-climate-risks-in-financial-reporting/" TargetMode="External"/><Relationship Id="rId11" Type="http://schemas.openxmlformats.org/officeDocument/2006/relationships/hyperlink" Target="https://www.integratedreporting.org/news/italian-translation-of-the-ir-framework-published/" TargetMode="External"/><Relationship Id="rId24" Type="http://schemas.openxmlformats.org/officeDocument/2006/relationships/theme" Target="theme/theme1.xml"/><Relationship Id="rId5" Type="http://schemas.openxmlformats.org/officeDocument/2006/relationships/hyperlink" Target="https://www.wbcsd.org/Programs/Redefining-Value/Reporting-matters/News/New-edition-of-Reporting-Matters-highlights-key-role-corporate-transparency-plays-in-addressing-pressing-global-challenges" TargetMode="External"/><Relationship Id="rId15" Type="http://schemas.openxmlformats.org/officeDocument/2006/relationships/hyperlink" Target="https://www.accountingforsustainability.org/en/knowledge-hub/guides/tcfd-climate-scenario-analysis.html" TargetMode="External"/><Relationship Id="rId23" Type="http://schemas.openxmlformats.org/officeDocument/2006/relationships/fontTable" Target="fontTable.xml"/><Relationship Id="rId10" Type="http://schemas.openxmlformats.org/officeDocument/2006/relationships/hyperlink" Target="https://www.globalreporting.org/about-gri/news-center/gri-raises-the-global-bar-for-due-diligence-and-human-rights-reporting/" TargetMode="External"/><Relationship Id="rId19" Type="http://schemas.openxmlformats.org/officeDocument/2006/relationships/hyperlink" Target="https://www.securities-administrators.ca/news/canadian-securities-regulators-seek-comment-on-climate-related-disclosure-requirements/" TargetMode="External"/><Relationship Id="rId4" Type="http://schemas.openxmlformats.org/officeDocument/2006/relationships/image" Target="media/image1.png"/><Relationship Id="rId9" Type="http://schemas.openxmlformats.org/officeDocument/2006/relationships/hyperlink" Target="https://www.thecaq.org/audited-financial-statements-and-climate-related-risk-considerations/" TargetMode="External"/><Relationship Id="rId14" Type="http://schemas.openxmlformats.org/officeDocument/2006/relationships/hyperlink" Target="https://www.frc.org.uk/news/october-2021/preparing-for-mandatory-tcfd-reporting,-including" TargetMode="External"/><Relationship Id="rId22" Type="http://schemas.openxmlformats.org/officeDocument/2006/relationships/hyperlink" Target="https://www.iasplus.com/en/publications/global/comment-letters/other/dcl-efrag-due-proces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1356</Words>
  <Characters>7461</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2021-11-16T17:49:00Z</dcterms:created>
  <dcterms:modified xsi:type="dcterms:W3CDTF">2021-11-17T00:56:00Z</dcterms:modified>
</cp:coreProperties>
</file>