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43E3" w14:textId="77777777" w:rsidR="0044014D" w:rsidRPr="00612A58" w:rsidRDefault="0044014D" w:rsidP="0044014D">
      <w:pPr>
        <w:jc w:val="both"/>
        <w:rPr>
          <w:rFonts w:ascii="Arial" w:hAnsi="Arial" w:cs="Arial"/>
          <w:sz w:val="28"/>
          <w:szCs w:val="28"/>
        </w:rPr>
      </w:pPr>
      <w:r w:rsidRPr="00612A58">
        <w:rPr>
          <w:rFonts w:ascii="Arial" w:hAnsi="Arial" w:cs="Arial"/>
          <w:sz w:val="28"/>
          <w:szCs w:val="28"/>
        </w:rPr>
        <w:t>Las empresas que no actúan sobre cuestiones ESG corren el riesgo de perder inversores, según una nueva encuesta de PwC</w:t>
      </w:r>
    </w:p>
    <w:p w14:paraId="4C573AA0" w14:textId="77777777" w:rsidR="0044014D" w:rsidRPr="0044014D" w:rsidRDefault="0044014D" w:rsidP="0044014D">
      <w:pPr>
        <w:jc w:val="both"/>
        <w:rPr>
          <w:rFonts w:ascii="Arial" w:hAnsi="Arial" w:cs="Arial"/>
        </w:rPr>
      </w:pPr>
      <w:r w:rsidRPr="0044014D">
        <w:rPr>
          <w:rFonts w:ascii="Arial" w:hAnsi="Arial" w:cs="Arial"/>
        </w:rPr>
        <w:t>28/10/21</w:t>
      </w:r>
    </w:p>
    <w:p w14:paraId="625C8958" w14:textId="77777777" w:rsidR="00612A58" w:rsidRDefault="00612A58" w:rsidP="00612A58">
      <w:pPr>
        <w:pStyle w:val="NormalWeb"/>
        <w:shd w:val="clear" w:color="auto" w:fill="FFFFFF"/>
        <w:spacing w:before="0" w:beforeAutospacing="0" w:after="0" w:afterAutospacing="0"/>
        <w:jc w:val="both"/>
        <w:textAlignment w:val="baseline"/>
        <w:rPr>
          <w:rStyle w:val="Textoennegrita"/>
          <w:rFonts w:ascii="Arial" w:hAnsi="Arial" w:cs="Arial"/>
          <w:color w:val="2D2D2D"/>
          <w:sz w:val="22"/>
          <w:szCs w:val="22"/>
          <w:bdr w:val="none" w:sz="0" w:space="0" w:color="auto" w:frame="1"/>
        </w:rPr>
      </w:pPr>
    </w:p>
    <w:p w14:paraId="0C9EEADB" w14:textId="6FC48CDA" w:rsidR="0044014D" w:rsidRPr="00612A58" w:rsidRDefault="0044014D" w:rsidP="00612A58">
      <w:pPr>
        <w:pStyle w:val="NormalWeb"/>
        <w:shd w:val="clear" w:color="auto" w:fill="FFFFFF"/>
        <w:spacing w:before="0" w:beforeAutospacing="0" w:after="0" w:afterAutospacing="0"/>
        <w:jc w:val="both"/>
        <w:textAlignment w:val="baseline"/>
        <w:rPr>
          <w:rFonts w:ascii="Arial" w:hAnsi="Arial" w:cs="Arial"/>
          <w:color w:val="2D2D2D"/>
          <w:sz w:val="22"/>
          <w:szCs w:val="22"/>
        </w:rPr>
      </w:pPr>
      <w:r w:rsidRPr="00612A58">
        <w:rPr>
          <w:rStyle w:val="Textoennegrita"/>
          <w:rFonts w:ascii="Arial" w:hAnsi="Arial" w:cs="Arial"/>
          <w:color w:val="2D2D2D"/>
          <w:sz w:val="22"/>
          <w:szCs w:val="22"/>
          <w:bdr w:val="none" w:sz="0" w:space="0" w:color="auto" w:frame="1"/>
        </w:rPr>
        <w:t>Londres, 28 de octubre de 2021</w:t>
      </w:r>
      <w:r w:rsidRPr="00612A58">
        <w:rPr>
          <w:rFonts w:ascii="Arial" w:hAnsi="Arial" w:cs="Arial"/>
          <w:color w:val="2D2D2D"/>
          <w:sz w:val="22"/>
          <w:szCs w:val="22"/>
        </w:rPr>
        <w:t> – Los factores ambientales, sociales y de gobernanza (ESG) impulsan cada vez más las estrategias de inversión, y una nueva investigación de PwC encuentra que ESG se ha convertido en una consideración innovadora para los principales inversores a nivel mundial. Casi la mitad de los inversores encuestados, el 49%, expresa su voluntad de desinvertir en empresas que no están tomando medidas suficientes en temas ESG. Más de la mitad, el 59%, también dice que la falta de acción en temas ESG hace que sea probable que voten en contra de un acuerdo salarial ejecutivo, mientras que un tercio dice que ya ha tomado esta acción. Una gran mayoría, el 79%, dice que la forma en que una empresa gestiona los riesgos y oportunidades ESG es un factor importante en su toma de decisiones de inversión.</w:t>
      </w:r>
    </w:p>
    <w:p w14:paraId="47A48C0E" w14:textId="5D4C663B" w:rsidR="0044014D" w:rsidRPr="00612A58" w:rsidRDefault="0044014D" w:rsidP="00612A58">
      <w:pPr>
        <w:pStyle w:val="NormalWeb"/>
        <w:shd w:val="clear" w:color="auto" w:fill="FFFFFF"/>
        <w:spacing w:before="0" w:beforeAutospacing="0" w:after="0" w:afterAutospacing="0"/>
        <w:jc w:val="both"/>
        <w:textAlignment w:val="baseline"/>
        <w:rPr>
          <w:rFonts w:ascii="Arial" w:hAnsi="Arial" w:cs="Arial"/>
          <w:color w:val="2D2D2D"/>
          <w:sz w:val="22"/>
          <w:szCs w:val="22"/>
        </w:rPr>
      </w:pPr>
      <w:r w:rsidRPr="00612A58">
        <w:rPr>
          <w:rFonts w:ascii="Arial" w:hAnsi="Arial" w:cs="Arial"/>
          <w:color w:val="2D2D2D"/>
          <w:sz w:val="22"/>
          <w:szCs w:val="22"/>
        </w:rPr>
        <w:t>La </w:t>
      </w:r>
      <w:hyperlink r:id="rId4" w:tgtFrame="_blank" w:history="1">
        <w:r w:rsidRPr="00612A58">
          <w:rPr>
            <w:rStyle w:val="Hipervnculo"/>
            <w:rFonts w:ascii="Arial" w:hAnsi="Arial" w:cs="Arial"/>
            <w:b/>
            <w:bCs/>
            <w:sz w:val="22"/>
            <w:szCs w:val="22"/>
            <w:bdr w:val="none" w:sz="0" w:space="0" w:color="auto" w:frame="1"/>
          </w:rPr>
          <w:t>Encuesta Global de Inversores ESG de PwC 2021</w:t>
        </w:r>
      </w:hyperlink>
      <w:r w:rsidRPr="00612A58">
        <w:rPr>
          <w:rFonts w:ascii="Arial" w:hAnsi="Arial" w:cs="Arial"/>
          <w:color w:val="2D2D2D"/>
          <w:sz w:val="22"/>
          <w:szCs w:val="22"/>
        </w:rPr>
        <w:t> recoge las opiniones de 325 inversores de todo el mundo, principalmente gestores de activos y analistas de empresas de inversión, bancos de inversión o firmas de corretaje. Se realizaron 40 entrevistas en profundidad adicionales a nivel mundial con inversores y analistas que tenían más de un total combinado de 11,6 billones de dólares en activos bajo gestión.</w:t>
      </w:r>
    </w:p>
    <w:p w14:paraId="0E9DCD48" w14:textId="77777777" w:rsidR="0044014D" w:rsidRPr="00612A58" w:rsidRDefault="0044014D" w:rsidP="00612A58">
      <w:pPr>
        <w:pStyle w:val="NormalWeb"/>
        <w:shd w:val="clear" w:color="auto" w:fill="FFFFFF"/>
        <w:spacing w:before="0" w:beforeAutospacing="0" w:after="525" w:afterAutospacing="0"/>
        <w:jc w:val="both"/>
        <w:textAlignment w:val="baseline"/>
        <w:rPr>
          <w:rFonts w:ascii="Arial" w:hAnsi="Arial" w:cs="Arial"/>
          <w:color w:val="2D2D2D"/>
          <w:sz w:val="22"/>
          <w:szCs w:val="22"/>
        </w:rPr>
      </w:pPr>
      <w:r w:rsidRPr="00612A58">
        <w:rPr>
          <w:rFonts w:ascii="Arial" w:hAnsi="Arial" w:cs="Arial"/>
          <w:color w:val="2D2D2D"/>
          <w:sz w:val="22"/>
          <w:szCs w:val="22"/>
        </w:rPr>
        <w:t>Si bien es probable que la mayoría de los inversores tomen medidas si las empresas no están haciendo lo suficiente para abordar los problemas DE ESG, la mayoría también dice que no quieren que la acción de una empresa sobre ESG tenga un impacto significativo, si es que lo hace, en los rendimientos de sus inversiones. La gran mayoría, el 81%, dijo que aceptaría no más de un punto porcentual menos en rendimientos de inversión para la consecución de los objetivos ESG; casi la mitad, (49%), no estaban dispuestos a aceptar ninguna reducción en los rendimientos.</w:t>
      </w:r>
    </w:p>
    <w:p w14:paraId="56D8EE9D" w14:textId="77777777" w:rsidR="0044014D" w:rsidRPr="00612A58" w:rsidRDefault="0044014D" w:rsidP="00612A58">
      <w:pPr>
        <w:pStyle w:val="NormalWeb"/>
        <w:shd w:val="clear" w:color="auto" w:fill="FFFFFF"/>
        <w:spacing w:before="0" w:beforeAutospacing="0" w:after="0" w:afterAutospacing="0"/>
        <w:jc w:val="both"/>
        <w:textAlignment w:val="baseline"/>
        <w:rPr>
          <w:rFonts w:ascii="Arial" w:hAnsi="Arial" w:cs="Arial"/>
          <w:color w:val="2D2D2D"/>
          <w:sz w:val="22"/>
          <w:szCs w:val="22"/>
        </w:rPr>
      </w:pPr>
      <w:r w:rsidRPr="00612A58">
        <w:rPr>
          <w:rStyle w:val="Textoennegrita"/>
          <w:rFonts w:ascii="Arial" w:hAnsi="Arial" w:cs="Arial"/>
          <w:color w:val="2D2D2D"/>
          <w:sz w:val="22"/>
          <w:szCs w:val="22"/>
          <w:bdr w:val="none" w:sz="0" w:space="0" w:color="auto" w:frame="1"/>
        </w:rPr>
        <w:t xml:space="preserve">James Chalmers, Global </w:t>
      </w:r>
      <w:proofErr w:type="spellStart"/>
      <w:r w:rsidRPr="00612A58">
        <w:rPr>
          <w:rStyle w:val="Textoennegrita"/>
          <w:rFonts w:ascii="Arial" w:hAnsi="Arial" w:cs="Arial"/>
          <w:color w:val="2D2D2D"/>
          <w:sz w:val="22"/>
          <w:szCs w:val="22"/>
          <w:bdr w:val="none" w:sz="0" w:space="0" w:color="auto" w:frame="1"/>
        </w:rPr>
        <w:t>Assurance</w:t>
      </w:r>
      <w:proofErr w:type="spellEnd"/>
      <w:r w:rsidRPr="00612A58">
        <w:rPr>
          <w:rStyle w:val="Textoennegrita"/>
          <w:rFonts w:ascii="Arial" w:hAnsi="Arial" w:cs="Arial"/>
          <w:color w:val="2D2D2D"/>
          <w:sz w:val="22"/>
          <w:szCs w:val="22"/>
          <w:bdr w:val="none" w:sz="0" w:space="0" w:color="auto" w:frame="1"/>
        </w:rPr>
        <w:t xml:space="preserve"> Leader, PwC </w:t>
      </w:r>
      <w:proofErr w:type="spellStart"/>
      <w:proofErr w:type="gramStart"/>
      <w:r w:rsidRPr="00612A58">
        <w:rPr>
          <w:rStyle w:val="Textoennegrita"/>
          <w:rFonts w:ascii="Arial" w:hAnsi="Arial" w:cs="Arial"/>
          <w:color w:val="2D2D2D"/>
          <w:sz w:val="22"/>
          <w:szCs w:val="22"/>
          <w:bdr w:val="none" w:sz="0" w:space="0" w:color="auto" w:frame="1"/>
        </w:rPr>
        <w:t>UK,</w:t>
      </w:r>
      <w:r w:rsidRPr="00612A58">
        <w:rPr>
          <w:rFonts w:ascii="Arial" w:hAnsi="Arial" w:cs="Arial"/>
          <w:color w:val="2D2D2D"/>
          <w:sz w:val="22"/>
          <w:szCs w:val="22"/>
        </w:rPr>
        <w:t>dijo</w:t>
      </w:r>
      <w:proofErr w:type="spellEnd"/>
      <w:proofErr w:type="gramEnd"/>
      <w:r w:rsidRPr="00612A58">
        <w:rPr>
          <w:rFonts w:ascii="Arial" w:hAnsi="Arial" w:cs="Arial"/>
          <w:color w:val="2D2D2D"/>
          <w:sz w:val="22"/>
          <w:szCs w:val="22"/>
        </w:rPr>
        <w:t>: "Nuestra investigación muestra que los inversores se centran simultáneamente en los resultados a corto plazo, así como en los problemas sociales a largo plazo que pueden crear riesgos y oportunidades para sus inversiones. Está claro que los inversores esperan que ESG sea una parte integral de la estrategia corporativa. Eso incluye realizar gastos para abordar los problemas ESG, al tiempo que se comunican claramente la justificación y los beneficios de la estrategia empresarial. Si los inversores no ven ese compromiso, no dudarán en tomar medidas y eso puede incluir desinvertir su posición en una empresa y llevar el dinero de sus clientes a otro lugar".</w:t>
      </w:r>
    </w:p>
    <w:p w14:paraId="5B46E45C" w14:textId="77777777" w:rsidR="0044014D" w:rsidRPr="00612A58" w:rsidRDefault="0044014D" w:rsidP="00612A58">
      <w:pPr>
        <w:pStyle w:val="NormalWeb"/>
        <w:shd w:val="clear" w:color="auto" w:fill="FFFFFF"/>
        <w:spacing w:before="0" w:beforeAutospacing="0" w:after="0" w:afterAutospacing="0"/>
        <w:jc w:val="both"/>
        <w:textAlignment w:val="baseline"/>
        <w:rPr>
          <w:rFonts w:ascii="Arial" w:hAnsi="Arial" w:cs="Arial"/>
          <w:color w:val="2D2D2D"/>
          <w:sz w:val="22"/>
          <w:szCs w:val="22"/>
        </w:rPr>
      </w:pPr>
      <w:r w:rsidRPr="00612A58">
        <w:rPr>
          <w:rStyle w:val="Textoennegrita"/>
          <w:rFonts w:ascii="Arial" w:hAnsi="Arial" w:cs="Arial"/>
          <w:color w:val="2D2D2D"/>
          <w:sz w:val="22"/>
          <w:szCs w:val="22"/>
          <w:bdr w:val="none" w:sz="0" w:space="0" w:color="auto" w:frame="1"/>
        </w:rPr>
        <w:t>Los inversores quieren informes ESG más sólidos y confiables</w:t>
      </w:r>
    </w:p>
    <w:p w14:paraId="49B389C5" w14:textId="77777777" w:rsidR="0044014D" w:rsidRPr="00612A58" w:rsidRDefault="0044014D" w:rsidP="00612A58">
      <w:pPr>
        <w:pStyle w:val="NormalWeb"/>
        <w:shd w:val="clear" w:color="auto" w:fill="FFFFFF"/>
        <w:spacing w:before="0" w:beforeAutospacing="0" w:after="525" w:afterAutospacing="0"/>
        <w:jc w:val="both"/>
        <w:textAlignment w:val="baseline"/>
        <w:rPr>
          <w:rFonts w:ascii="Arial" w:hAnsi="Arial" w:cs="Arial"/>
          <w:color w:val="2D2D2D"/>
          <w:sz w:val="22"/>
          <w:szCs w:val="22"/>
        </w:rPr>
      </w:pPr>
      <w:r w:rsidRPr="00612A58">
        <w:rPr>
          <w:rFonts w:ascii="Arial" w:hAnsi="Arial" w:cs="Arial"/>
          <w:color w:val="2D2D2D"/>
          <w:sz w:val="22"/>
          <w:szCs w:val="22"/>
        </w:rPr>
        <w:t>Los inversores cada vez quieren saber más de las empresas sobre sus compromisos relacionados con ESG: el 83% de los encuestados dijo que es importante que los informes ESG proporcionen información detallada sobre el progreso hacia los objetivos ESG. Un mayor compromiso con los inversores es fundamental, junto con informes transparentes y confiables. Es preocupante que solo un tercio de los inversores encuestados, en promedio, piensen que la calidad de los informes ESG que están viendo es buena. Los inversores obtienen una mayor confianza en los informes ESG que se han asegurado: el 79% de los encuestados dijeron que confían más en la información ESG que se ha asegurado, y el 75% cree que es importante que las métricas relacionadas con ESG informadas estén aseguradas de forma independiente.</w:t>
      </w:r>
    </w:p>
    <w:p w14:paraId="07B91712" w14:textId="77777777" w:rsidR="0044014D" w:rsidRPr="00612A58" w:rsidRDefault="0044014D" w:rsidP="00612A58">
      <w:pPr>
        <w:pStyle w:val="NormalWeb"/>
        <w:shd w:val="clear" w:color="auto" w:fill="FFFFFF"/>
        <w:spacing w:before="0" w:beforeAutospacing="0" w:after="525" w:afterAutospacing="0"/>
        <w:jc w:val="both"/>
        <w:textAlignment w:val="baseline"/>
        <w:rPr>
          <w:rFonts w:ascii="Arial" w:hAnsi="Arial" w:cs="Arial"/>
          <w:color w:val="2D2D2D"/>
          <w:sz w:val="22"/>
          <w:szCs w:val="22"/>
        </w:rPr>
      </w:pPr>
      <w:r w:rsidRPr="00612A58">
        <w:rPr>
          <w:rFonts w:ascii="Arial" w:hAnsi="Arial" w:cs="Arial"/>
          <w:color w:val="2D2D2D"/>
          <w:sz w:val="22"/>
          <w:szCs w:val="22"/>
        </w:rPr>
        <w:lastRenderedPageBreak/>
        <w:t>Un conjunto consistente de métricas para medir el desempeño ESG sería de gran beneficio para los inversores, según la encuesta. Casi tres cuartas partes (74%) dijeron que su toma de decisiones estaría mejor informada si las empresas aplicaran un solo conjunto de estándares de informes ESG, y un número similar (73%) dice que es importante poder comparar el desempeño ESG entre las empresas.</w:t>
      </w:r>
    </w:p>
    <w:p w14:paraId="62B6D279" w14:textId="77777777" w:rsidR="0044014D" w:rsidRPr="00612A58" w:rsidRDefault="0044014D" w:rsidP="00612A58">
      <w:pPr>
        <w:pStyle w:val="NormalWeb"/>
        <w:shd w:val="clear" w:color="auto" w:fill="FFFFFF"/>
        <w:spacing w:before="0" w:beforeAutospacing="0" w:after="0" w:afterAutospacing="0"/>
        <w:jc w:val="both"/>
        <w:textAlignment w:val="baseline"/>
        <w:rPr>
          <w:rFonts w:ascii="Arial" w:hAnsi="Arial" w:cs="Arial"/>
          <w:color w:val="2D2D2D"/>
          <w:sz w:val="22"/>
          <w:szCs w:val="22"/>
        </w:rPr>
      </w:pPr>
      <w:proofErr w:type="spellStart"/>
      <w:r w:rsidRPr="00612A58">
        <w:rPr>
          <w:rStyle w:val="Textoennegrita"/>
          <w:rFonts w:ascii="Arial" w:hAnsi="Arial" w:cs="Arial"/>
          <w:color w:val="2D2D2D"/>
          <w:sz w:val="22"/>
          <w:szCs w:val="22"/>
          <w:bdr w:val="none" w:sz="0" w:space="0" w:color="auto" w:frame="1"/>
        </w:rPr>
        <w:t>Nadja</w:t>
      </w:r>
      <w:proofErr w:type="spellEnd"/>
      <w:r w:rsidRPr="00612A58">
        <w:rPr>
          <w:rStyle w:val="Textoennegrita"/>
          <w:rFonts w:ascii="Arial" w:hAnsi="Arial" w:cs="Arial"/>
          <w:color w:val="2D2D2D"/>
          <w:sz w:val="22"/>
          <w:szCs w:val="22"/>
          <w:bdr w:val="none" w:sz="0" w:space="0" w:color="auto" w:frame="1"/>
        </w:rPr>
        <w:t xml:space="preserve"> </w:t>
      </w:r>
      <w:proofErr w:type="spellStart"/>
      <w:r w:rsidRPr="00612A58">
        <w:rPr>
          <w:rStyle w:val="Textoennegrita"/>
          <w:rFonts w:ascii="Arial" w:hAnsi="Arial" w:cs="Arial"/>
          <w:color w:val="2D2D2D"/>
          <w:sz w:val="22"/>
          <w:szCs w:val="22"/>
          <w:bdr w:val="none" w:sz="0" w:space="0" w:color="auto" w:frame="1"/>
        </w:rPr>
        <w:t>Picard</w:t>
      </w:r>
      <w:proofErr w:type="spellEnd"/>
      <w:r w:rsidRPr="00612A58">
        <w:rPr>
          <w:rStyle w:val="Textoennegrita"/>
          <w:rFonts w:ascii="Arial" w:hAnsi="Arial" w:cs="Arial"/>
          <w:color w:val="2D2D2D"/>
          <w:sz w:val="22"/>
          <w:szCs w:val="22"/>
          <w:bdr w:val="none" w:sz="0" w:space="0" w:color="auto" w:frame="1"/>
        </w:rPr>
        <w:t xml:space="preserve">, Global </w:t>
      </w:r>
      <w:proofErr w:type="spellStart"/>
      <w:r w:rsidRPr="00612A58">
        <w:rPr>
          <w:rStyle w:val="Textoennegrita"/>
          <w:rFonts w:ascii="Arial" w:hAnsi="Arial" w:cs="Arial"/>
          <w:color w:val="2D2D2D"/>
          <w:sz w:val="22"/>
          <w:szCs w:val="22"/>
          <w:bdr w:val="none" w:sz="0" w:space="0" w:color="auto" w:frame="1"/>
        </w:rPr>
        <w:t>Reporting</w:t>
      </w:r>
      <w:proofErr w:type="spellEnd"/>
      <w:r w:rsidRPr="00612A58">
        <w:rPr>
          <w:rStyle w:val="Textoennegrita"/>
          <w:rFonts w:ascii="Arial" w:hAnsi="Arial" w:cs="Arial"/>
          <w:color w:val="2D2D2D"/>
          <w:sz w:val="22"/>
          <w:szCs w:val="22"/>
          <w:bdr w:val="none" w:sz="0" w:space="0" w:color="auto" w:frame="1"/>
        </w:rPr>
        <w:t xml:space="preserve"> Leader, PwC </w:t>
      </w:r>
      <w:proofErr w:type="spellStart"/>
      <w:proofErr w:type="gramStart"/>
      <w:r w:rsidRPr="00612A58">
        <w:rPr>
          <w:rStyle w:val="Textoennegrita"/>
          <w:rFonts w:ascii="Arial" w:hAnsi="Arial" w:cs="Arial"/>
          <w:color w:val="2D2D2D"/>
          <w:sz w:val="22"/>
          <w:szCs w:val="22"/>
          <w:bdr w:val="none" w:sz="0" w:space="0" w:color="auto" w:frame="1"/>
        </w:rPr>
        <w:t>Alemania,</w:t>
      </w:r>
      <w:r w:rsidRPr="00612A58">
        <w:rPr>
          <w:rFonts w:ascii="Arial" w:hAnsi="Arial" w:cs="Arial"/>
          <w:color w:val="2D2D2D"/>
          <w:sz w:val="22"/>
          <w:szCs w:val="22"/>
        </w:rPr>
        <w:t>dijo</w:t>
      </w:r>
      <w:proofErr w:type="spellEnd"/>
      <w:proofErr w:type="gramEnd"/>
      <w:r w:rsidRPr="00612A58">
        <w:rPr>
          <w:rFonts w:ascii="Arial" w:hAnsi="Arial" w:cs="Arial"/>
          <w:color w:val="2D2D2D"/>
          <w:sz w:val="22"/>
          <w:szCs w:val="22"/>
        </w:rPr>
        <w:t>: "Nuestra encuesta refuerza la necesidad de un conjunto único de estándares de informes de sostenibilidad alineados a nivel mundial. Sin estándares globales, los inversores se enfrentan a graves desafíos a la hora de evaluar el rendimiento ESG. También es mucho más difícil para las empresas informar sobre el rendimiento ESG sin puntos de referencia o marcos comunes a seguir. Como resultado, las empresas de hoy en día necesitan aprovechar lo mejor de los estándares existentes, centrándose al menos inicialmente en el tema del clima, para responder a la demanda urgente de los inversores".</w:t>
      </w:r>
    </w:p>
    <w:p w14:paraId="1AB549FF" w14:textId="77777777" w:rsidR="0044014D" w:rsidRPr="00612A58" w:rsidRDefault="0044014D" w:rsidP="00612A58">
      <w:pPr>
        <w:pStyle w:val="NormalWeb"/>
        <w:shd w:val="clear" w:color="auto" w:fill="FFFFFF"/>
        <w:spacing w:before="0" w:beforeAutospacing="0" w:after="525" w:afterAutospacing="0"/>
        <w:jc w:val="both"/>
        <w:textAlignment w:val="baseline"/>
        <w:rPr>
          <w:rFonts w:ascii="Arial" w:hAnsi="Arial" w:cs="Arial"/>
          <w:color w:val="2D2D2D"/>
          <w:sz w:val="22"/>
          <w:szCs w:val="22"/>
        </w:rPr>
      </w:pPr>
      <w:r w:rsidRPr="00612A58">
        <w:rPr>
          <w:rFonts w:ascii="Arial" w:hAnsi="Arial" w:cs="Arial"/>
          <w:color w:val="2D2D2D"/>
          <w:sz w:val="22"/>
          <w:szCs w:val="22"/>
        </w:rPr>
        <w:t>El clima es la principal consideración ESG para los inversores encuestados, siendo la reducción de las emisiones de gases de efecto invernadero (GEI) de alcance 1 y 2 la cuestión ESG más citada (por un 65%) para que las empresas prioricen. Además, el 82% de los inversores dijo que es importante que los informes ESG expliquen la justificación de los compromisos ambientales, junto con planes detallados sobre cómo alcanzarlos. Garantizar la salud y la seguridad de los trabajadores (44%) y mejorar la diversidad, la equidad y la inclusión de la fuerza laboral y los ejecutivos (37%) son otras consideraciones ESG prioritarias identificadas.</w:t>
      </w:r>
    </w:p>
    <w:p w14:paraId="37E46D8A" w14:textId="77777777" w:rsidR="0044014D" w:rsidRPr="00612A58" w:rsidRDefault="0044014D" w:rsidP="00612A58">
      <w:pPr>
        <w:pStyle w:val="NormalWeb"/>
        <w:shd w:val="clear" w:color="auto" w:fill="FFFFFF"/>
        <w:spacing w:before="0" w:beforeAutospacing="0" w:after="525" w:afterAutospacing="0"/>
        <w:jc w:val="both"/>
        <w:textAlignment w:val="baseline"/>
        <w:rPr>
          <w:rFonts w:ascii="Arial" w:hAnsi="Arial" w:cs="Arial"/>
          <w:color w:val="2D2D2D"/>
          <w:sz w:val="22"/>
          <w:szCs w:val="22"/>
        </w:rPr>
      </w:pPr>
      <w:r w:rsidRPr="00612A58">
        <w:rPr>
          <w:rFonts w:ascii="Arial" w:hAnsi="Arial" w:cs="Arial"/>
          <w:color w:val="2D2D2D"/>
          <w:sz w:val="22"/>
          <w:szCs w:val="22"/>
        </w:rPr>
        <w:t>Según los inversores encuestados, la estrategia ESG comienza en la parte superior. Un alto porcentaje de inversores (82%) dijo que ESG debe integrarse en la estrategia corporativa, y por un amplio margen (66%) los encuestados dijeron que están más seguros de que los problemas ESG se están abordando si alguien en la C-suite es responsable. Más de la mitad de los encuestados (53%) piensan que debería ser el CEO.</w:t>
      </w:r>
    </w:p>
    <w:p w14:paraId="514B1FEC" w14:textId="56FAD4DA" w:rsidR="0044014D" w:rsidRPr="00612A58" w:rsidRDefault="0044014D" w:rsidP="00612A58">
      <w:pPr>
        <w:pStyle w:val="NormalWeb"/>
        <w:shd w:val="clear" w:color="auto" w:fill="FFFFFF"/>
        <w:spacing w:before="0" w:beforeAutospacing="0" w:after="0" w:afterAutospacing="0"/>
        <w:jc w:val="both"/>
        <w:textAlignment w:val="baseline"/>
        <w:rPr>
          <w:rFonts w:ascii="Arial" w:hAnsi="Arial" w:cs="Arial"/>
          <w:color w:val="2D2D2D"/>
          <w:sz w:val="22"/>
          <w:szCs w:val="22"/>
        </w:rPr>
      </w:pPr>
      <w:r w:rsidRPr="00612A58">
        <w:rPr>
          <w:rStyle w:val="Textoennegrita"/>
          <w:rFonts w:ascii="Arial" w:hAnsi="Arial" w:cs="Arial"/>
          <w:color w:val="2D2D2D"/>
          <w:sz w:val="22"/>
          <w:szCs w:val="22"/>
          <w:bdr w:val="none" w:sz="0" w:space="0" w:color="auto" w:frame="1"/>
        </w:rPr>
        <w:t xml:space="preserve">Emma Cox, Global </w:t>
      </w:r>
      <w:proofErr w:type="spellStart"/>
      <w:r w:rsidRPr="00612A58">
        <w:rPr>
          <w:rStyle w:val="Textoennegrita"/>
          <w:rFonts w:ascii="Arial" w:hAnsi="Arial" w:cs="Arial"/>
          <w:color w:val="2D2D2D"/>
          <w:sz w:val="22"/>
          <w:szCs w:val="22"/>
          <w:bdr w:val="none" w:sz="0" w:space="0" w:color="auto" w:frame="1"/>
        </w:rPr>
        <w:t>Climate</w:t>
      </w:r>
      <w:proofErr w:type="spellEnd"/>
      <w:r w:rsidRPr="00612A58">
        <w:rPr>
          <w:rStyle w:val="Textoennegrita"/>
          <w:rFonts w:ascii="Arial" w:hAnsi="Arial" w:cs="Arial"/>
          <w:color w:val="2D2D2D"/>
          <w:sz w:val="22"/>
          <w:szCs w:val="22"/>
          <w:bdr w:val="none" w:sz="0" w:space="0" w:color="auto" w:frame="1"/>
        </w:rPr>
        <w:t xml:space="preserve"> Leader, PwC UK,</w:t>
      </w:r>
      <w:r w:rsidR="00612A58">
        <w:rPr>
          <w:rStyle w:val="Textoennegrita"/>
          <w:rFonts w:ascii="Arial" w:hAnsi="Arial" w:cs="Arial"/>
          <w:color w:val="2D2D2D"/>
          <w:sz w:val="22"/>
          <w:szCs w:val="22"/>
          <w:bdr w:val="none" w:sz="0" w:space="0" w:color="auto" w:frame="1"/>
        </w:rPr>
        <w:t xml:space="preserve"> </w:t>
      </w:r>
      <w:r w:rsidRPr="00612A58">
        <w:rPr>
          <w:rFonts w:ascii="Arial" w:hAnsi="Arial" w:cs="Arial"/>
          <w:color w:val="2D2D2D"/>
          <w:sz w:val="22"/>
          <w:szCs w:val="22"/>
        </w:rPr>
        <w:t xml:space="preserve">comentó: "ESG no puede ser una idea de último momento, debe ser una parte integral de la estrategia corporativa. El tono desde arriba ayuda a caer en cascada la importancia de ESG en todo el negocio. Demostrar el compromiso y el rendimiento de ESG también requiere un enfoque holístico de la presentación de informes, con equipos de sostenibilidad, riesgo e informes financieros trabajando juntos. En última instancia, nuestra investigación muestra </w:t>
      </w:r>
      <w:proofErr w:type="gramStart"/>
      <w:r w:rsidRPr="00612A58">
        <w:rPr>
          <w:rFonts w:ascii="Arial" w:hAnsi="Arial" w:cs="Arial"/>
          <w:color w:val="2D2D2D"/>
          <w:sz w:val="22"/>
          <w:szCs w:val="22"/>
        </w:rPr>
        <w:t>que</w:t>
      </w:r>
      <w:proofErr w:type="gramEnd"/>
      <w:r w:rsidRPr="00612A58">
        <w:rPr>
          <w:rFonts w:ascii="Arial" w:hAnsi="Arial" w:cs="Arial"/>
          <w:color w:val="2D2D2D"/>
          <w:sz w:val="22"/>
          <w:szCs w:val="22"/>
        </w:rPr>
        <w:t xml:space="preserve"> para satisfacer las demandas de los inversores, las empresas deben tomar su desempeño relacionado con ESG tan en serio como lo hacen con todas sus métricas comerciales y financieras".</w:t>
      </w:r>
    </w:p>
    <w:p w14:paraId="4A1483F0" w14:textId="77777777" w:rsidR="0044014D" w:rsidRPr="00612A58" w:rsidRDefault="0044014D" w:rsidP="00612A58">
      <w:pPr>
        <w:pStyle w:val="NormalWeb"/>
        <w:shd w:val="clear" w:color="auto" w:fill="FFFFFF"/>
        <w:spacing w:before="0" w:beforeAutospacing="0" w:after="0" w:afterAutospacing="0"/>
        <w:jc w:val="both"/>
        <w:textAlignment w:val="baseline"/>
        <w:rPr>
          <w:rFonts w:ascii="Arial" w:hAnsi="Arial" w:cs="Arial"/>
          <w:color w:val="2D2D2D"/>
          <w:sz w:val="22"/>
          <w:szCs w:val="22"/>
        </w:rPr>
      </w:pPr>
      <w:r w:rsidRPr="00612A58">
        <w:rPr>
          <w:rStyle w:val="Textoennegrita"/>
          <w:rFonts w:ascii="Arial" w:hAnsi="Arial" w:cs="Arial"/>
          <w:color w:val="2D2D2D"/>
          <w:sz w:val="22"/>
          <w:szCs w:val="22"/>
          <w:bdr w:val="none" w:sz="0" w:space="0" w:color="auto" w:frame="1"/>
        </w:rPr>
        <w:t>Termina.</w:t>
      </w:r>
    </w:p>
    <w:p w14:paraId="10167AE9" w14:textId="77777777" w:rsidR="0044014D" w:rsidRPr="00612A58" w:rsidRDefault="0044014D" w:rsidP="00612A58">
      <w:pPr>
        <w:pStyle w:val="NormalWeb"/>
        <w:shd w:val="clear" w:color="auto" w:fill="FFFFFF"/>
        <w:spacing w:before="0" w:beforeAutospacing="0" w:after="0" w:afterAutospacing="0"/>
        <w:jc w:val="both"/>
        <w:textAlignment w:val="baseline"/>
        <w:rPr>
          <w:rFonts w:ascii="Arial" w:hAnsi="Arial" w:cs="Arial"/>
          <w:color w:val="2D2D2D"/>
          <w:sz w:val="22"/>
          <w:szCs w:val="22"/>
        </w:rPr>
      </w:pPr>
      <w:r w:rsidRPr="00612A58">
        <w:rPr>
          <w:rStyle w:val="Textoennegrita"/>
          <w:rFonts w:ascii="Arial" w:hAnsi="Arial" w:cs="Arial"/>
          <w:color w:val="2D2D2D"/>
          <w:sz w:val="22"/>
          <w:szCs w:val="22"/>
          <w:bdr w:val="none" w:sz="0" w:space="0" w:color="auto" w:frame="1"/>
        </w:rPr>
        <w:t>Acerca de la </w:t>
      </w:r>
      <w:hyperlink r:id="rId5" w:tgtFrame="_blank" w:history="1">
        <w:r w:rsidRPr="00612A58">
          <w:rPr>
            <w:rStyle w:val="Hipervnculo"/>
            <w:rFonts w:ascii="Arial" w:hAnsi="Arial" w:cs="Arial"/>
            <w:b/>
            <w:bCs/>
            <w:sz w:val="22"/>
            <w:szCs w:val="22"/>
            <w:bdr w:val="none" w:sz="0" w:space="0" w:color="auto" w:frame="1"/>
          </w:rPr>
          <w:t>encuesta</w:t>
        </w:r>
      </w:hyperlink>
    </w:p>
    <w:p w14:paraId="497605A0" w14:textId="77777777" w:rsidR="0044014D" w:rsidRPr="00612A58" w:rsidRDefault="0044014D" w:rsidP="00612A58">
      <w:pPr>
        <w:pStyle w:val="NormalWeb"/>
        <w:shd w:val="clear" w:color="auto" w:fill="FFFFFF"/>
        <w:spacing w:before="0" w:beforeAutospacing="0" w:after="0" w:afterAutospacing="0"/>
        <w:jc w:val="both"/>
        <w:textAlignment w:val="baseline"/>
        <w:rPr>
          <w:rFonts w:ascii="Arial" w:hAnsi="Arial" w:cs="Arial"/>
          <w:color w:val="2D2D2D"/>
          <w:sz w:val="22"/>
          <w:szCs w:val="22"/>
        </w:rPr>
      </w:pPr>
      <w:r w:rsidRPr="00612A58">
        <w:rPr>
          <w:rFonts w:ascii="Arial" w:hAnsi="Arial" w:cs="Arial"/>
          <w:color w:val="2D2D2D"/>
          <w:sz w:val="22"/>
          <w:szCs w:val="22"/>
        </w:rPr>
        <w:t xml:space="preserve">En septiembre de 2021, PwC realizó una encuesta online a 325 profesionales de la inversión de 43 territorios. También realizamos 40 entrevistas en profundidad en 11 territorios durante septiembre y octubre de 2021 con inversores y analistas que tenían más de </w:t>
      </w:r>
      <w:proofErr w:type="spellStart"/>
      <w:r w:rsidRPr="00612A58">
        <w:rPr>
          <w:rFonts w:ascii="Arial" w:hAnsi="Arial" w:cs="Arial"/>
          <w:color w:val="2D2D2D"/>
          <w:sz w:val="22"/>
          <w:szCs w:val="22"/>
        </w:rPr>
        <w:t>us$</w:t>
      </w:r>
      <w:proofErr w:type="spellEnd"/>
      <w:r w:rsidRPr="00612A58">
        <w:rPr>
          <w:rFonts w:ascii="Arial" w:hAnsi="Arial" w:cs="Arial"/>
          <w:color w:val="2D2D2D"/>
          <w:sz w:val="22"/>
          <w:szCs w:val="22"/>
        </w:rPr>
        <w:t xml:space="preserve"> 11,6 billones de activos combinados bajo gestión. Los encuestados en la encuesta en línea fueron predominantemente gestores de activos (53%) y analistas (34%).</w:t>
      </w:r>
    </w:p>
    <w:p w14:paraId="59661253" w14:textId="54C68D42" w:rsidR="00D768EE" w:rsidRPr="00612A58" w:rsidRDefault="00D768EE" w:rsidP="00612A58">
      <w:pPr>
        <w:jc w:val="both"/>
        <w:rPr>
          <w:rFonts w:ascii="Arial" w:hAnsi="Arial" w:cs="Arial"/>
        </w:rPr>
      </w:pPr>
    </w:p>
    <w:p w14:paraId="1CB3A692" w14:textId="77777777" w:rsidR="0044014D" w:rsidRPr="00612A58" w:rsidRDefault="0044014D" w:rsidP="00612A58">
      <w:pPr>
        <w:jc w:val="both"/>
        <w:rPr>
          <w:rFonts w:ascii="Arial" w:hAnsi="Arial" w:cs="Arial"/>
        </w:rPr>
      </w:pPr>
      <w:r w:rsidRPr="00612A58">
        <w:rPr>
          <w:rFonts w:ascii="Arial" w:hAnsi="Arial" w:cs="Arial"/>
          <w:b/>
          <w:bCs/>
        </w:rPr>
        <w:t>Acerca de PwC:</w:t>
      </w:r>
      <w:r w:rsidRPr="00612A58">
        <w:rPr>
          <w:rFonts w:ascii="Arial" w:hAnsi="Arial" w:cs="Arial"/>
        </w:rPr>
        <w:t xml:space="preserve"> En PwC, nuestro propósito es generar confianza en la sociedad y resolver problemas importantes. Somos una red de empresas en 156 países con más de 295,000 </w:t>
      </w:r>
      <w:r w:rsidRPr="00612A58">
        <w:rPr>
          <w:rFonts w:ascii="Arial" w:hAnsi="Arial" w:cs="Arial"/>
        </w:rPr>
        <w:lastRenderedPageBreak/>
        <w:t>personas que están comprometidas a brindar calidad en los servicios de aseguramiento, asesoría e impuestos. Obtenga más información y díganos lo que le importa visitándonos en</w:t>
      </w:r>
      <w:hyperlink r:id="rId6" w:history="1">
        <w:r w:rsidRPr="00612A58">
          <w:rPr>
            <w:rStyle w:val="Hipervnculo"/>
            <w:rFonts w:ascii="Arial" w:hAnsi="Arial" w:cs="Arial"/>
            <w:b/>
            <w:bCs/>
          </w:rPr>
          <w:t> www.pwc.com.</w:t>
        </w:r>
      </w:hyperlink>
    </w:p>
    <w:p w14:paraId="3309E3A4" w14:textId="77777777" w:rsidR="0044014D" w:rsidRPr="00612A58" w:rsidRDefault="0044014D" w:rsidP="00612A58">
      <w:pPr>
        <w:jc w:val="both"/>
        <w:rPr>
          <w:rFonts w:ascii="Arial" w:hAnsi="Arial" w:cs="Arial"/>
        </w:rPr>
      </w:pPr>
      <w:r w:rsidRPr="00612A58">
        <w:rPr>
          <w:rFonts w:ascii="Arial" w:hAnsi="Arial" w:cs="Arial"/>
        </w:rPr>
        <w:t>PwC se refiere a la red de PwC y/o a una o más de sus firmas miembro, cada una de las cuales es una entidad legal separada. Consulte</w:t>
      </w:r>
      <w:hyperlink r:id="rId7" w:history="1">
        <w:r w:rsidRPr="00612A58">
          <w:rPr>
            <w:rStyle w:val="Hipervnculo"/>
            <w:rFonts w:ascii="Arial" w:hAnsi="Arial" w:cs="Arial"/>
            <w:b/>
            <w:bCs/>
          </w:rPr>
          <w:t> www.pwc.com/structure</w:t>
        </w:r>
      </w:hyperlink>
      <w:r w:rsidRPr="00612A58">
        <w:rPr>
          <w:rFonts w:ascii="Arial" w:hAnsi="Arial" w:cs="Arial"/>
        </w:rPr>
        <w:t> para obtener más detalles.</w:t>
      </w:r>
    </w:p>
    <w:p w14:paraId="1D6ED1B0" w14:textId="77777777" w:rsidR="0044014D" w:rsidRPr="00612A58" w:rsidRDefault="0044014D" w:rsidP="00612A58">
      <w:pPr>
        <w:jc w:val="both"/>
        <w:rPr>
          <w:rFonts w:ascii="Arial" w:hAnsi="Arial" w:cs="Arial"/>
        </w:rPr>
      </w:pPr>
      <w:r w:rsidRPr="00612A58">
        <w:rPr>
          <w:rFonts w:ascii="Arial" w:hAnsi="Arial" w:cs="Arial"/>
        </w:rPr>
        <w:t>© 2021 PwC. Todos los derechos reservados.</w:t>
      </w:r>
    </w:p>
    <w:p w14:paraId="6025FBFC" w14:textId="77777777" w:rsidR="0044014D" w:rsidRPr="00612A58" w:rsidRDefault="0044014D" w:rsidP="00612A58">
      <w:pPr>
        <w:jc w:val="both"/>
        <w:rPr>
          <w:rFonts w:ascii="Arial" w:hAnsi="Arial" w:cs="Arial"/>
        </w:rPr>
      </w:pPr>
    </w:p>
    <w:sectPr w:rsidR="0044014D" w:rsidRPr="00612A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4D"/>
    <w:rsid w:val="0044014D"/>
    <w:rsid w:val="00612A58"/>
    <w:rsid w:val="00AD1500"/>
    <w:rsid w:val="00D768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5420"/>
  <w15:chartTrackingRefBased/>
  <w15:docId w15:val="{F5D054CB-52CF-4367-A1BA-A1A8D023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01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4014D"/>
    <w:rPr>
      <w:b/>
      <w:bCs/>
    </w:rPr>
  </w:style>
  <w:style w:type="character" w:styleId="Hipervnculo">
    <w:name w:val="Hyperlink"/>
    <w:basedOn w:val="Fuentedeprrafopredeter"/>
    <w:uiPriority w:val="99"/>
    <w:unhideWhenUsed/>
    <w:rsid w:val="0044014D"/>
    <w:rPr>
      <w:color w:val="0000FF"/>
      <w:u w:val="single"/>
    </w:rPr>
  </w:style>
  <w:style w:type="character" w:styleId="Mencinsinresolver">
    <w:name w:val="Unresolved Mention"/>
    <w:basedOn w:val="Fuentedeprrafopredeter"/>
    <w:uiPriority w:val="99"/>
    <w:semiHidden/>
    <w:unhideWhenUsed/>
    <w:rsid w:val="0044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7352">
      <w:bodyDiv w:val="1"/>
      <w:marLeft w:val="0"/>
      <w:marRight w:val="0"/>
      <w:marTop w:val="0"/>
      <w:marBottom w:val="0"/>
      <w:divBdr>
        <w:top w:val="none" w:sz="0" w:space="0" w:color="auto"/>
        <w:left w:val="none" w:sz="0" w:space="0" w:color="auto"/>
        <w:bottom w:val="none" w:sz="0" w:space="0" w:color="auto"/>
        <w:right w:val="none" w:sz="0" w:space="0" w:color="auto"/>
      </w:divBdr>
    </w:div>
    <w:div w:id="718868838">
      <w:bodyDiv w:val="1"/>
      <w:marLeft w:val="0"/>
      <w:marRight w:val="0"/>
      <w:marTop w:val="0"/>
      <w:marBottom w:val="0"/>
      <w:divBdr>
        <w:top w:val="none" w:sz="0" w:space="0" w:color="auto"/>
        <w:left w:val="none" w:sz="0" w:space="0" w:color="auto"/>
        <w:bottom w:val="none" w:sz="0" w:space="0" w:color="auto"/>
        <w:right w:val="none" w:sz="0" w:space="0" w:color="auto"/>
      </w:divBdr>
    </w:div>
    <w:div w:id="1181043080">
      <w:bodyDiv w:val="1"/>
      <w:marLeft w:val="0"/>
      <w:marRight w:val="0"/>
      <w:marTop w:val="0"/>
      <w:marBottom w:val="0"/>
      <w:divBdr>
        <w:top w:val="none" w:sz="0" w:space="0" w:color="auto"/>
        <w:left w:val="none" w:sz="0" w:space="0" w:color="auto"/>
        <w:bottom w:val="none" w:sz="0" w:space="0" w:color="auto"/>
        <w:right w:val="none" w:sz="0" w:space="0" w:color="auto"/>
      </w:divBdr>
    </w:div>
    <w:div w:id="1630473403">
      <w:bodyDiv w:val="1"/>
      <w:marLeft w:val="0"/>
      <w:marRight w:val="0"/>
      <w:marTop w:val="0"/>
      <w:marBottom w:val="0"/>
      <w:divBdr>
        <w:top w:val="none" w:sz="0" w:space="0" w:color="auto"/>
        <w:left w:val="none" w:sz="0" w:space="0" w:color="auto"/>
        <w:bottom w:val="none" w:sz="0" w:space="0" w:color="auto"/>
        <w:right w:val="none" w:sz="0" w:space="0" w:color="auto"/>
      </w:divBdr>
    </w:div>
    <w:div w:id="210665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wc.com/struct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c.com/" TargetMode="External"/><Relationship Id="rId5" Type="http://schemas.openxmlformats.org/officeDocument/2006/relationships/hyperlink" Target="https://www.pwc.com/economic-realities-of-ESG" TargetMode="External"/><Relationship Id="rId4" Type="http://schemas.openxmlformats.org/officeDocument/2006/relationships/hyperlink" Target="https://www.pwc.com/economic-realities-of-ES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1160</Words>
  <Characters>6386</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2021-11-08T02:52:00Z</dcterms:created>
  <dcterms:modified xsi:type="dcterms:W3CDTF">2021-11-10T01:10:00Z</dcterms:modified>
</cp:coreProperties>
</file>