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09B" w:rsidRPr="0024709B" w:rsidRDefault="0024709B" w:rsidP="0024709B">
      <w:pPr>
        <w:jc w:val="both"/>
        <w:rPr>
          <w:rFonts w:ascii="Arial" w:hAnsi="Arial" w:cs="Arial"/>
          <w:b/>
        </w:rPr>
      </w:pPr>
      <w:r w:rsidRPr="0024709B">
        <w:rPr>
          <w:rFonts w:ascii="Arial" w:hAnsi="Arial" w:cs="Arial"/>
          <w:b/>
        </w:rPr>
        <w:t>Los emisores de normas discuten los intangibles</w:t>
      </w:r>
    </w:p>
    <w:p w:rsidR="0024709B" w:rsidRDefault="0024709B" w:rsidP="0024709B">
      <w:pPr>
        <w:jc w:val="both"/>
        <w:rPr>
          <w:rFonts w:ascii="Arial" w:hAnsi="Arial" w:cs="Arial"/>
        </w:rPr>
      </w:pPr>
      <w:bookmarkStart w:id="0" w:name="_GoBack"/>
      <w:bookmarkEnd w:id="0"/>
    </w:p>
    <w:p w:rsidR="0024709B" w:rsidRPr="0024709B" w:rsidRDefault="0024709B" w:rsidP="0024709B">
      <w:pPr>
        <w:jc w:val="both"/>
        <w:rPr>
          <w:rFonts w:ascii="Arial" w:hAnsi="Arial" w:cs="Arial"/>
        </w:rPr>
      </w:pPr>
      <w:r w:rsidRPr="0024709B">
        <w:rPr>
          <w:rFonts w:ascii="Arial" w:hAnsi="Arial" w:cs="Arial"/>
        </w:rPr>
        <w:t>30 septiembre 2021</w:t>
      </w:r>
    </w:p>
    <w:p w:rsidR="0024709B" w:rsidRDefault="0024709B" w:rsidP="0024709B">
      <w:pPr>
        <w:jc w:val="both"/>
        <w:rPr>
          <w:rFonts w:ascii="Arial" w:hAnsi="Arial" w:cs="Arial"/>
          <w:b/>
          <w:bCs/>
        </w:rPr>
      </w:pPr>
    </w:p>
    <w:p w:rsidR="0024709B" w:rsidRPr="0024709B" w:rsidRDefault="0024709B" w:rsidP="0024709B">
      <w:pPr>
        <w:jc w:val="both"/>
        <w:rPr>
          <w:rFonts w:ascii="Arial" w:hAnsi="Arial" w:cs="Arial"/>
          <w:b/>
          <w:bCs/>
        </w:rPr>
      </w:pPr>
      <w:r w:rsidRPr="0024709B">
        <w:rPr>
          <w:rFonts w:ascii="Arial" w:hAnsi="Arial" w:cs="Arial"/>
          <w:b/>
          <w:bCs/>
        </w:rPr>
        <w:t>El Foro Internacional de Emisores de Normas Contables (IFASS) está celebrando actualmente su reunión de otoño como una conferencia virtual. Toda la tarde de hoy se dedicó al debate sobre los intangibles.</w:t>
      </w:r>
    </w:p>
    <w:p w:rsidR="0024709B" w:rsidRPr="0024709B" w:rsidRDefault="0024709B" w:rsidP="0024709B">
      <w:pPr>
        <w:jc w:val="both"/>
        <w:rPr>
          <w:rFonts w:ascii="Arial" w:hAnsi="Arial" w:cs="Arial"/>
        </w:rPr>
      </w:pPr>
      <w:r w:rsidRPr="0024709B">
        <w:rPr>
          <w:rFonts w:ascii="Arial" w:hAnsi="Arial" w:cs="Arial"/>
        </w:rPr>
        <w:t xml:space="preserve">Como Presidente del IASB Andreas </w:t>
      </w:r>
      <w:proofErr w:type="spellStart"/>
      <w:r w:rsidRPr="0024709B">
        <w:rPr>
          <w:rFonts w:ascii="Arial" w:hAnsi="Arial" w:cs="Arial"/>
        </w:rPr>
        <w:t>Barckow</w:t>
      </w:r>
      <w:proofErr w:type="spellEnd"/>
      <w:r w:rsidRPr="0024709B">
        <w:rPr>
          <w:rFonts w:ascii="Arial" w:hAnsi="Arial" w:cs="Arial"/>
        </w:rPr>
        <w:t xml:space="preserve"> señaló en su </w:t>
      </w:r>
      <w:hyperlink r:id="rId5" w:history="1">
        <w:r w:rsidRPr="0024709B">
          <w:rPr>
            <w:rStyle w:val="Hipervnculo"/>
            <w:rFonts w:ascii="Arial" w:hAnsi="Arial" w:cs="Arial"/>
          </w:rPr>
          <w:t>discurso inaugural</w:t>
        </w:r>
      </w:hyperlink>
      <w:r w:rsidRPr="0024709B">
        <w:rPr>
          <w:rFonts w:ascii="Arial" w:hAnsi="Arial" w:cs="Arial"/>
        </w:rPr>
        <w:t> en la reunión WSS el lunes, </w:t>
      </w:r>
      <w:hyperlink r:id="rId6" w:history="1">
        <w:r w:rsidRPr="0024709B">
          <w:rPr>
            <w:rStyle w:val="Hipervnculo"/>
            <w:rFonts w:ascii="Arial" w:hAnsi="Arial" w:cs="Arial"/>
          </w:rPr>
          <w:t>la NIC 38 </w:t>
        </w:r>
      </w:hyperlink>
      <w:r w:rsidRPr="0024709B">
        <w:rPr>
          <w:rFonts w:ascii="Arial" w:hAnsi="Arial" w:cs="Arial"/>
          <w:i/>
          <w:iCs/>
        </w:rPr>
        <w:t>En-tan-</w:t>
      </w:r>
      <w:proofErr w:type="spellStart"/>
      <w:r w:rsidRPr="0024709B">
        <w:rPr>
          <w:rFonts w:ascii="Arial" w:hAnsi="Arial" w:cs="Arial"/>
          <w:i/>
          <w:iCs/>
        </w:rPr>
        <w:t>gi</w:t>
      </w:r>
      <w:proofErr w:type="spellEnd"/>
      <w:r w:rsidRPr="0024709B">
        <w:rPr>
          <w:rFonts w:ascii="Arial" w:hAnsi="Arial" w:cs="Arial"/>
          <w:i/>
          <w:iCs/>
        </w:rPr>
        <w:t>-</w:t>
      </w:r>
      <w:proofErr w:type="spellStart"/>
      <w:r w:rsidRPr="0024709B">
        <w:rPr>
          <w:rFonts w:ascii="Arial" w:hAnsi="Arial" w:cs="Arial"/>
          <w:i/>
          <w:iCs/>
        </w:rPr>
        <w:t>ble</w:t>
      </w:r>
      <w:proofErr w:type="spellEnd"/>
      <w:r w:rsidRPr="0024709B">
        <w:rPr>
          <w:rFonts w:ascii="Arial" w:hAnsi="Arial" w:cs="Arial"/>
          <w:i/>
          <w:iCs/>
        </w:rPr>
        <w:t xml:space="preserve"> activos</w:t>
      </w:r>
      <w:r w:rsidRPr="0024709B">
        <w:rPr>
          <w:rFonts w:ascii="Arial" w:hAnsi="Arial" w:cs="Arial"/>
        </w:rPr>
        <w:t> es más de 20 años de edad y nunca ha sido revisado que no sean los cambios consecuentes que resulten de otros proyectos. También indicó que le gustaría que IASB examinara la contabilidad de los intangibles. Las reacciones a la </w:t>
      </w:r>
      <w:hyperlink r:id="rId7" w:history="1">
        <w:r w:rsidRPr="0024709B">
          <w:rPr>
            <w:rStyle w:val="Hipervnculo"/>
            <w:rFonts w:ascii="Arial" w:hAnsi="Arial" w:cs="Arial"/>
          </w:rPr>
          <w:t>orden del día con-</w:t>
        </w:r>
        <w:proofErr w:type="spellStart"/>
        <w:r w:rsidRPr="0024709B">
          <w:rPr>
            <w:rStyle w:val="Hipervnculo"/>
            <w:rFonts w:ascii="Arial" w:hAnsi="Arial" w:cs="Arial"/>
          </w:rPr>
          <w:t>sul</w:t>
        </w:r>
        <w:proofErr w:type="spellEnd"/>
        <w:r w:rsidRPr="0024709B">
          <w:rPr>
            <w:rStyle w:val="Hipervnculo"/>
            <w:rFonts w:ascii="Arial" w:hAnsi="Arial" w:cs="Arial"/>
          </w:rPr>
          <w:t>-</w:t>
        </w:r>
        <w:proofErr w:type="spellStart"/>
        <w:r w:rsidRPr="0024709B">
          <w:rPr>
            <w:rStyle w:val="Hipervnculo"/>
            <w:rFonts w:ascii="Arial" w:hAnsi="Arial" w:cs="Arial"/>
          </w:rPr>
          <w:t>ta-ción</w:t>
        </w:r>
        <w:proofErr w:type="spellEnd"/>
        <w:r w:rsidRPr="0024709B">
          <w:rPr>
            <w:rStyle w:val="Hipervnculo"/>
            <w:rFonts w:ascii="Arial" w:hAnsi="Arial" w:cs="Arial"/>
          </w:rPr>
          <w:t xml:space="preserve"> del IASB</w:t>
        </w:r>
      </w:hyperlink>
      <w:r w:rsidRPr="0024709B">
        <w:rPr>
          <w:rFonts w:ascii="Arial" w:hAnsi="Arial" w:cs="Arial"/>
        </w:rPr>
        <w:t> mostraron que los componentes también estarían interesados en “intangibles” como un proyecto potencial IASB (mientras que parece que hay diversos puntos de vista en cuanto al alcance y objetivo de ese proyecto potencial). Otros desarrollos como el documento de perspectivas del IVSC </w:t>
      </w:r>
      <w:hyperlink r:id="rId8" w:history="1">
        <w:r w:rsidRPr="0024709B">
          <w:rPr>
            <w:rStyle w:val="Hipervnculo"/>
            <w:rFonts w:ascii="Arial" w:hAnsi="Arial" w:cs="Arial"/>
            <w:i/>
            <w:iCs/>
          </w:rPr>
          <w:t xml:space="preserve">Time to </w:t>
        </w:r>
        <w:proofErr w:type="spellStart"/>
        <w:r w:rsidRPr="0024709B">
          <w:rPr>
            <w:rStyle w:val="Hipervnculo"/>
            <w:rFonts w:ascii="Arial" w:hAnsi="Arial" w:cs="Arial"/>
            <w:i/>
            <w:iCs/>
          </w:rPr>
          <w:t>get</w:t>
        </w:r>
        <w:proofErr w:type="spellEnd"/>
        <w:r w:rsidRPr="0024709B">
          <w:rPr>
            <w:rStyle w:val="Hipervnculo"/>
            <w:rFonts w:ascii="Arial" w:hAnsi="Arial" w:cs="Arial"/>
            <w:i/>
            <w:iCs/>
          </w:rPr>
          <w:t xml:space="preserve"> Tangible </w:t>
        </w:r>
        <w:proofErr w:type="spellStart"/>
        <w:r w:rsidRPr="0024709B">
          <w:rPr>
            <w:rStyle w:val="Hipervnculo"/>
            <w:rFonts w:ascii="Arial" w:hAnsi="Arial" w:cs="Arial"/>
            <w:i/>
            <w:iCs/>
          </w:rPr>
          <w:t>about</w:t>
        </w:r>
        <w:proofErr w:type="spellEnd"/>
        <w:r w:rsidRPr="0024709B">
          <w:rPr>
            <w:rStyle w:val="Hipervnculo"/>
            <w:rFonts w:ascii="Arial" w:hAnsi="Arial" w:cs="Arial"/>
            <w:i/>
            <w:iCs/>
          </w:rPr>
          <w:t xml:space="preserve"> Intangible </w:t>
        </w:r>
        <w:proofErr w:type="spellStart"/>
        <w:r w:rsidRPr="0024709B">
          <w:rPr>
            <w:rStyle w:val="Hipervnculo"/>
            <w:rFonts w:ascii="Arial" w:hAnsi="Arial" w:cs="Arial"/>
            <w:i/>
            <w:iCs/>
          </w:rPr>
          <w:t>Assets</w:t>
        </w:r>
        <w:proofErr w:type="spellEnd"/>
      </w:hyperlink>
      <w:r w:rsidRPr="0024709B">
        <w:rPr>
          <w:rFonts w:ascii="Arial" w:hAnsi="Arial" w:cs="Arial"/>
        </w:rPr>
        <w:t> muestran que hay un gran apetito por abordar el problema.</w:t>
      </w:r>
    </w:p>
    <w:p w:rsidR="0024709B" w:rsidRDefault="0024709B" w:rsidP="0024709B">
      <w:pPr>
        <w:jc w:val="both"/>
        <w:rPr>
          <w:rFonts w:ascii="Arial" w:hAnsi="Arial" w:cs="Arial"/>
        </w:rPr>
      </w:pPr>
      <w:r w:rsidRPr="0024709B">
        <w:rPr>
          <w:rFonts w:ascii="Arial" w:hAnsi="Arial" w:cs="Arial"/>
        </w:rPr>
        <w:t xml:space="preserve">La sesión de IFASS sobre intangibles comenzó con el </w:t>
      </w:r>
      <w:proofErr w:type="spellStart"/>
      <w:r w:rsidRPr="0024709B">
        <w:rPr>
          <w:rFonts w:ascii="Arial" w:hAnsi="Arial" w:cs="Arial"/>
        </w:rPr>
        <w:t>European</w:t>
      </w:r>
      <w:proofErr w:type="spellEnd"/>
      <w:r w:rsidRPr="0024709B">
        <w:rPr>
          <w:rFonts w:ascii="Arial" w:hAnsi="Arial" w:cs="Arial"/>
        </w:rPr>
        <w:t xml:space="preserve"> </w:t>
      </w:r>
      <w:proofErr w:type="spellStart"/>
      <w:r w:rsidRPr="0024709B">
        <w:rPr>
          <w:rFonts w:ascii="Arial" w:hAnsi="Arial" w:cs="Arial"/>
        </w:rPr>
        <w:t>Financial</w:t>
      </w:r>
      <w:proofErr w:type="spellEnd"/>
      <w:r w:rsidRPr="0024709B">
        <w:rPr>
          <w:rFonts w:ascii="Arial" w:hAnsi="Arial" w:cs="Arial"/>
        </w:rPr>
        <w:t xml:space="preserve"> </w:t>
      </w:r>
      <w:proofErr w:type="spellStart"/>
      <w:r w:rsidRPr="0024709B">
        <w:rPr>
          <w:rFonts w:ascii="Arial" w:hAnsi="Arial" w:cs="Arial"/>
        </w:rPr>
        <w:t>Reporting</w:t>
      </w:r>
      <w:proofErr w:type="spellEnd"/>
      <w:r w:rsidRPr="0024709B">
        <w:rPr>
          <w:rFonts w:ascii="Arial" w:hAnsi="Arial" w:cs="Arial"/>
        </w:rPr>
        <w:t xml:space="preserve"> </w:t>
      </w:r>
      <w:proofErr w:type="spellStart"/>
      <w:r w:rsidRPr="0024709B">
        <w:rPr>
          <w:rFonts w:ascii="Arial" w:hAnsi="Arial" w:cs="Arial"/>
        </w:rPr>
        <w:t>Advisory</w:t>
      </w:r>
      <w:proofErr w:type="spellEnd"/>
      <w:r w:rsidRPr="0024709B">
        <w:rPr>
          <w:rFonts w:ascii="Arial" w:hAnsi="Arial" w:cs="Arial"/>
        </w:rPr>
        <w:t xml:space="preserve"> </w:t>
      </w:r>
      <w:proofErr w:type="spellStart"/>
      <w:r w:rsidRPr="0024709B">
        <w:rPr>
          <w:rFonts w:ascii="Arial" w:hAnsi="Arial" w:cs="Arial"/>
        </w:rPr>
        <w:t>Group</w:t>
      </w:r>
      <w:proofErr w:type="spellEnd"/>
      <w:r w:rsidRPr="0024709B">
        <w:rPr>
          <w:rFonts w:ascii="Arial" w:hAnsi="Arial" w:cs="Arial"/>
        </w:rPr>
        <w:t xml:space="preserve"> (EFRAG) presentando su documento de debate </w:t>
      </w:r>
      <w:hyperlink r:id="rId9" w:history="1">
        <w:r w:rsidRPr="0024709B">
          <w:rPr>
            <w:rStyle w:val="Hipervnculo"/>
            <w:rFonts w:ascii="Arial" w:hAnsi="Arial" w:cs="Arial"/>
            <w:i/>
            <w:iCs/>
          </w:rPr>
          <w:t>Mejor información sobre intangibles: ¿cuál es el mejor camino a seguir? </w:t>
        </w:r>
      </w:hyperlink>
      <w:r w:rsidRPr="0024709B">
        <w:rPr>
          <w:rFonts w:ascii="Arial" w:hAnsi="Arial" w:cs="Arial"/>
        </w:rPr>
        <w:t>. El documento de discusión señala que la relevancia del valor de los estados financieros está disminuyendo, lo que podría deberse a que los estados financieros no reflejan información sobre intangibles, lo que se ha vuelto más importante para más entidades que antes. Considera tres enfoques para una mejor información sobre intangibles:</w:t>
      </w:r>
    </w:p>
    <w:p w:rsidR="0024709B" w:rsidRPr="0024709B" w:rsidRDefault="0024709B" w:rsidP="0024709B">
      <w:pPr>
        <w:jc w:val="both"/>
        <w:rPr>
          <w:rFonts w:ascii="Arial" w:hAnsi="Arial" w:cs="Arial"/>
        </w:rPr>
      </w:pPr>
    </w:p>
    <w:p w:rsidR="0024709B" w:rsidRPr="0024709B" w:rsidRDefault="0024709B" w:rsidP="0024709B">
      <w:pPr>
        <w:numPr>
          <w:ilvl w:val="0"/>
          <w:numId w:val="1"/>
        </w:numPr>
        <w:jc w:val="both"/>
        <w:rPr>
          <w:rFonts w:ascii="Arial" w:hAnsi="Arial" w:cs="Arial"/>
        </w:rPr>
      </w:pPr>
      <w:r w:rsidRPr="0024709B">
        <w:rPr>
          <w:rFonts w:ascii="Arial" w:hAnsi="Arial" w:cs="Arial"/>
        </w:rPr>
        <w:t>Reconocimiento y medición en los estados financieros principales;</w:t>
      </w:r>
    </w:p>
    <w:p w:rsidR="0024709B" w:rsidRPr="0024709B" w:rsidRDefault="0024709B" w:rsidP="0055563B">
      <w:pPr>
        <w:numPr>
          <w:ilvl w:val="0"/>
          <w:numId w:val="1"/>
        </w:numPr>
        <w:jc w:val="both"/>
        <w:rPr>
          <w:rFonts w:ascii="Arial" w:hAnsi="Arial" w:cs="Arial"/>
        </w:rPr>
      </w:pPr>
      <w:r w:rsidRPr="0024709B">
        <w:rPr>
          <w:rFonts w:ascii="Arial" w:hAnsi="Arial" w:cs="Arial"/>
        </w:rPr>
        <w:t>Información sobre intangibles específicos en las notas a los estados financieros o en el informe de gestión; </w:t>
      </w:r>
    </w:p>
    <w:p w:rsidR="0024709B" w:rsidRDefault="0024709B" w:rsidP="0024709B">
      <w:pPr>
        <w:numPr>
          <w:ilvl w:val="0"/>
          <w:numId w:val="1"/>
        </w:numPr>
        <w:jc w:val="both"/>
        <w:rPr>
          <w:rFonts w:ascii="Arial" w:hAnsi="Arial" w:cs="Arial"/>
        </w:rPr>
      </w:pPr>
      <w:r w:rsidRPr="0024709B">
        <w:rPr>
          <w:rFonts w:ascii="Arial" w:hAnsi="Arial" w:cs="Arial"/>
        </w:rPr>
        <w:t>Información sobre gastos orientados al futuro y factores de riesgo / oportunidad que pueden afectar el desempeño futuro en las notas a los estados financieros o en el informe de gestión.</w:t>
      </w:r>
    </w:p>
    <w:p w:rsidR="0024709B" w:rsidRPr="0024709B" w:rsidRDefault="0024709B" w:rsidP="0024709B">
      <w:pPr>
        <w:ind w:left="720"/>
        <w:jc w:val="both"/>
        <w:rPr>
          <w:rFonts w:ascii="Arial" w:hAnsi="Arial" w:cs="Arial"/>
        </w:rPr>
      </w:pPr>
    </w:p>
    <w:p w:rsidR="0024709B" w:rsidRDefault="0024709B" w:rsidP="0024709B">
      <w:pPr>
        <w:jc w:val="both"/>
        <w:rPr>
          <w:rFonts w:ascii="Arial" w:hAnsi="Arial" w:cs="Arial"/>
        </w:rPr>
      </w:pPr>
      <w:r w:rsidRPr="0024709B">
        <w:rPr>
          <w:rFonts w:ascii="Arial" w:hAnsi="Arial" w:cs="Arial"/>
        </w:rPr>
        <w:t>El alcance de las discusiones del EFRAG va más allá de la definición existente de activos en la información financiera y también cubre las fuentes de posibles beneficios económicos que no serían controlados por una entidad.</w:t>
      </w:r>
    </w:p>
    <w:p w:rsidR="0024709B" w:rsidRPr="0024709B" w:rsidRDefault="0024709B" w:rsidP="0024709B">
      <w:pPr>
        <w:jc w:val="both"/>
        <w:rPr>
          <w:rFonts w:ascii="Arial" w:hAnsi="Arial" w:cs="Arial"/>
        </w:rPr>
      </w:pPr>
      <w:r w:rsidRPr="0024709B">
        <w:rPr>
          <w:rFonts w:ascii="Arial" w:hAnsi="Arial" w:cs="Arial"/>
        </w:rPr>
        <w:t xml:space="preserve">Tras la presentación del EFRAG, el Consejo de Normas de Contabilidad de Australia (AASB) presentó su investigación sobre activos intangibles. La investigación es un trabajo en progreso, por lo que el personal presentó los primeros conocimientos sobre el trabajo de investigación que se espera que se publique en el cuarto trimestre de 2021 o el primer trimestre de 2022. </w:t>
      </w:r>
      <w:r w:rsidRPr="0024709B">
        <w:rPr>
          <w:rFonts w:ascii="Arial" w:hAnsi="Arial" w:cs="Arial"/>
        </w:rPr>
        <w:t>La investigación parte de la premisa de que la NIC 38 es muy antigua y deja lagunas en la información reportada.</w:t>
      </w:r>
      <w:r>
        <w:rPr>
          <w:rFonts w:ascii="Arial" w:hAnsi="Arial" w:cs="Arial"/>
        </w:rPr>
        <w:t xml:space="preserve"> </w:t>
      </w:r>
      <w:r w:rsidRPr="0024709B">
        <w:rPr>
          <w:rFonts w:ascii="Arial" w:hAnsi="Arial" w:cs="Arial"/>
        </w:rPr>
        <w:t xml:space="preserve">Para llenar rápidamente el vacío de información </w:t>
      </w:r>
      <w:r w:rsidRPr="0024709B">
        <w:rPr>
          <w:rFonts w:ascii="Arial" w:hAnsi="Arial" w:cs="Arial"/>
        </w:rPr>
        <w:lastRenderedPageBreak/>
        <w:t>existente, parecería que seguir el tercero de los tres posibles enfoques identificados (no hacer nada, mejorar el reconocimiento y la medición, mejorar las revelaciones) sería la mejor manera de seguir. Las actividades de divulgación realizadas revelaron un gran apoyo para el enfoque, mientras que se sugirió que la información adicional proporcionada sobre activos intangibles generados internamente no reconocidos variaba (financieros, no financieros, valor razonable). El próximo documento de AASB incluirá un principio recomendado, un objetivo de divulgación recomendado y (ejemplos de) orientación de implementación recomendada.</w:t>
      </w:r>
    </w:p>
    <w:p w:rsidR="0024709B" w:rsidRPr="0024709B" w:rsidRDefault="0024709B" w:rsidP="0024709B">
      <w:pPr>
        <w:jc w:val="both"/>
        <w:rPr>
          <w:rFonts w:ascii="Arial" w:hAnsi="Arial" w:cs="Arial"/>
        </w:rPr>
      </w:pPr>
      <w:r w:rsidRPr="0024709B">
        <w:rPr>
          <w:rFonts w:ascii="Arial" w:hAnsi="Arial" w:cs="Arial"/>
        </w:rPr>
        <w:t>La investigación de AASB aún está en curso. Más información sobre el proyecto y el acceso a la encuesta correspondiente está disponible en el </w:t>
      </w:r>
      <w:hyperlink r:id="rId10" w:tgtFrame="_blank" w:history="1">
        <w:r w:rsidRPr="0024709B">
          <w:rPr>
            <w:rStyle w:val="Hipervnculo"/>
            <w:rFonts w:ascii="Arial" w:hAnsi="Arial" w:cs="Arial"/>
          </w:rPr>
          <w:t>sitio web de AASB</w:t>
        </w:r>
      </w:hyperlink>
      <w:r w:rsidRPr="0024709B">
        <w:rPr>
          <w:rFonts w:ascii="Arial" w:hAnsi="Arial" w:cs="Arial"/>
        </w:rPr>
        <w:t> .</w:t>
      </w:r>
    </w:p>
    <w:p w:rsidR="0024709B" w:rsidRDefault="0024709B" w:rsidP="0024709B">
      <w:pPr>
        <w:jc w:val="both"/>
        <w:rPr>
          <w:rFonts w:ascii="Arial" w:hAnsi="Arial" w:cs="Arial"/>
        </w:rPr>
      </w:pPr>
      <w:r w:rsidRPr="0024709B">
        <w:rPr>
          <w:rFonts w:ascii="Arial" w:hAnsi="Arial" w:cs="Arial"/>
        </w:rPr>
        <w:t>Después de las presentaciones, los participantes discutieron los hallazgos, las necesidades de los inversionistas y los aspectos que el IASB debería considerar en un proyecto potencial. Las preguntas, comentarios y observaciones incluyeron:</w:t>
      </w:r>
    </w:p>
    <w:p w:rsidR="0024709B" w:rsidRPr="0024709B" w:rsidRDefault="0024709B" w:rsidP="0024709B">
      <w:pPr>
        <w:jc w:val="both"/>
        <w:rPr>
          <w:rFonts w:ascii="Arial" w:hAnsi="Arial" w:cs="Arial"/>
        </w:rPr>
      </w:pPr>
    </w:p>
    <w:p w:rsidR="0024709B" w:rsidRPr="0024709B" w:rsidRDefault="0024709B" w:rsidP="003F7BD2">
      <w:pPr>
        <w:numPr>
          <w:ilvl w:val="0"/>
          <w:numId w:val="2"/>
        </w:numPr>
        <w:jc w:val="both"/>
        <w:rPr>
          <w:rFonts w:ascii="Arial" w:hAnsi="Arial" w:cs="Arial"/>
        </w:rPr>
      </w:pPr>
      <w:r w:rsidRPr="0024709B">
        <w:rPr>
          <w:rFonts w:ascii="Arial" w:hAnsi="Arial" w:cs="Arial"/>
        </w:rPr>
        <w:t>La NIC 38 ya no es adecuada para su propósito, especialmente los activos digitales deben tenerse en cuenta (actualmente hay algunos proveedores de software cuyo activo más importante no está en su balance). </w:t>
      </w:r>
    </w:p>
    <w:p w:rsidR="0024709B" w:rsidRPr="0024709B" w:rsidRDefault="0024709B" w:rsidP="00FF3863">
      <w:pPr>
        <w:numPr>
          <w:ilvl w:val="0"/>
          <w:numId w:val="2"/>
        </w:numPr>
        <w:jc w:val="both"/>
        <w:rPr>
          <w:rFonts w:ascii="Arial" w:hAnsi="Arial" w:cs="Arial"/>
        </w:rPr>
      </w:pPr>
      <w:r w:rsidRPr="0024709B">
        <w:rPr>
          <w:rFonts w:ascii="Arial" w:hAnsi="Arial" w:cs="Arial"/>
        </w:rPr>
        <w:t>Es necesario reconsiderar el campo de juego desigual entre los activos intangibles generados internamente y adquiridos. </w:t>
      </w:r>
    </w:p>
    <w:p w:rsidR="0024709B" w:rsidRPr="0024709B" w:rsidRDefault="0024709B" w:rsidP="00D369DC">
      <w:pPr>
        <w:numPr>
          <w:ilvl w:val="0"/>
          <w:numId w:val="2"/>
        </w:numPr>
        <w:jc w:val="both"/>
        <w:rPr>
          <w:rFonts w:ascii="Arial" w:hAnsi="Arial" w:cs="Arial"/>
        </w:rPr>
      </w:pPr>
      <w:r w:rsidRPr="0024709B">
        <w:rPr>
          <w:rFonts w:ascii="Arial" w:hAnsi="Arial" w:cs="Arial"/>
        </w:rPr>
        <w:t>No es necesario reconsiderar la definición de activos intangibles, es una definición de la palabra intangible lo que se necesita. </w:t>
      </w:r>
    </w:p>
    <w:p w:rsidR="0024709B" w:rsidRPr="0024709B" w:rsidRDefault="0024709B" w:rsidP="00B748CF">
      <w:pPr>
        <w:numPr>
          <w:ilvl w:val="0"/>
          <w:numId w:val="2"/>
        </w:numPr>
        <w:jc w:val="both"/>
        <w:rPr>
          <w:rFonts w:ascii="Arial" w:hAnsi="Arial" w:cs="Arial"/>
        </w:rPr>
      </w:pPr>
      <w:r w:rsidRPr="0024709B">
        <w:rPr>
          <w:rFonts w:ascii="Arial" w:hAnsi="Arial" w:cs="Arial"/>
        </w:rPr>
        <w:t>La NIC 38 actualmente no refleja el valor económico de una entidad. </w:t>
      </w:r>
    </w:p>
    <w:p w:rsidR="0024709B" w:rsidRPr="0024709B" w:rsidRDefault="0024709B" w:rsidP="00B84F39">
      <w:pPr>
        <w:numPr>
          <w:ilvl w:val="0"/>
          <w:numId w:val="2"/>
        </w:numPr>
        <w:jc w:val="both"/>
        <w:rPr>
          <w:rFonts w:ascii="Arial" w:hAnsi="Arial" w:cs="Arial"/>
        </w:rPr>
      </w:pPr>
      <w:r w:rsidRPr="0024709B">
        <w:rPr>
          <w:rFonts w:ascii="Arial" w:hAnsi="Arial" w:cs="Arial"/>
        </w:rPr>
        <w:t>Las necesidades de los usuarios deben ser el aspecto más importante considerado. </w:t>
      </w:r>
    </w:p>
    <w:p w:rsidR="0024709B" w:rsidRPr="0024709B" w:rsidRDefault="0024709B" w:rsidP="004317C0">
      <w:pPr>
        <w:numPr>
          <w:ilvl w:val="0"/>
          <w:numId w:val="2"/>
        </w:numPr>
        <w:jc w:val="both"/>
        <w:rPr>
          <w:rFonts w:ascii="Arial" w:hAnsi="Arial" w:cs="Arial"/>
        </w:rPr>
      </w:pPr>
      <w:r w:rsidRPr="0024709B">
        <w:rPr>
          <w:rFonts w:ascii="Arial" w:hAnsi="Arial" w:cs="Arial"/>
        </w:rPr>
        <w:t>Existen desafíos con respecto a la valoración de algunos activos intangibles, tal vez debería considerarse un enfoque híbrido de solo reconocer aquellos que se pueden medir de manera confiable. </w:t>
      </w:r>
    </w:p>
    <w:p w:rsidR="0024709B" w:rsidRPr="0024709B" w:rsidRDefault="0024709B" w:rsidP="00802A70">
      <w:pPr>
        <w:numPr>
          <w:ilvl w:val="0"/>
          <w:numId w:val="2"/>
        </w:numPr>
        <w:jc w:val="both"/>
        <w:rPr>
          <w:rFonts w:ascii="Arial" w:hAnsi="Arial" w:cs="Arial"/>
        </w:rPr>
      </w:pPr>
      <w:r w:rsidRPr="0024709B">
        <w:rPr>
          <w:rFonts w:ascii="Arial" w:hAnsi="Arial" w:cs="Arial"/>
        </w:rPr>
        <w:t>La mayoría de los activos intangibles son únicos, sin embargo, incluirlos en el balance general podría proporcionar al mercado los medios para fijar su precio. </w:t>
      </w:r>
    </w:p>
    <w:p w:rsidR="0024709B" w:rsidRPr="0024709B" w:rsidRDefault="0024709B" w:rsidP="00DD72E7">
      <w:pPr>
        <w:numPr>
          <w:ilvl w:val="0"/>
          <w:numId w:val="2"/>
        </w:numPr>
        <w:jc w:val="both"/>
        <w:rPr>
          <w:rFonts w:ascii="Arial" w:hAnsi="Arial" w:cs="Arial"/>
        </w:rPr>
      </w:pPr>
      <w:r w:rsidRPr="0024709B">
        <w:rPr>
          <w:rFonts w:ascii="Arial" w:hAnsi="Arial" w:cs="Arial"/>
        </w:rPr>
        <w:t>Si se reconocen los activos intangibles, ¿habrá también los pasivos correspondientes? </w:t>
      </w:r>
    </w:p>
    <w:p w:rsidR="0024709B" w:rsidRPr="0024709B" w:rsidRDefault="0024709B" w:rsidP="00B03867">
      <w:pPr>
        <w:numPr>
          <w:ilvl w:val="0"/>
          <w:numId w:val="2"/>
        </w:numPr>
        <w:jc w:val="both"/>
        <w:rPr>
          <w:rFonts w:ascii="Arial" w:hAnsi="Arial" w:cs="Arial"/>
        </w:rPr>
      </w:pPr>
      <w:r w:rsidRPr="0024709B">
        <w:rPr>
          <w:rFonts w:ascii="Arial" w:hAnsi="Arial" w:cs="Arial"/>
        </w:rPr>
        <w:t>Existe un fuerte vínculo entre los activos intangibles y la sostenibilidad: ¿qué Consejo debería asumirlos? </w:t>
      </w:r>
    </w:p>
    <w:p w:rsidR="0024709B" w:rsidRPr="0024709B" w:rsidRDefault="0024709B" w:rsidP="00D62525">
      <w:pPr>
        <w:numPr>
          <w:ilvl w:val="0"/>
          <w:numId w:val="2"/>
        </w:numPr>
        <w:jc w:val="both"/>
        <w:rPr>
          <w:rFonts w:ascii="Arial" w:hAnsi="Arial" w:cs="Arial"/>
        </w:rPr>
      </w:pPr>
      <w:r w:rsidRPr="0024709B">
        <w:rPr>
          <w:rFonts w:ascii="Arial" w:hAnsi="Arial" w:cs="Arial"/>
        </w:rPr>
        <w:t>¿Son intangibles los activos criptográficos y la moneda criptográfica? </w:t>
      </w:r>
    </w:p>
    <w:p w:rsidR="0024709B" w:rsidRPr="0024709B" w:rsidRDefault="0024709B" w:rsidP="009E0F8F">
      <w:pPr>
        <w:numPr>
          <w:ilvl w:val="0"/>
          <w:numId w:val="2"/>
        </w:numPr>
        <w:jc w:val="both"/>
        <w:rPr>
          <w:rFonts w:ascii="Arial" w:hAnsi="Arial" w:cs="Arial"/>
        </w:rPr>
      </w:pPr>
      <w:r w:rsidRPr="0024709B">
        <w:rPr>
          <w:rFonts w:ascii="Arial" w:hAnsi="Arial" w:cs="Arial"/>
        </w:rPr>
        <w:t>¿Dónde se ubicaría la información? </w:t>
      </w:r>
    </w:p>
    <w:p w:rsidR="0024709B" w:rsidRDefault="0024709B" w:rsidP="0024709B">
      <w:pPr>
        <w:numPr>
          <w:ilvl w:val="0"/>
          <w:numId w:val="2"/>
        </w:numPr>
        <w:jc w:val="both"/>
        <w:rPr>
          <w:rFonts w:ascii="Arial" w:hAnsi="Arial" w:cs="Arial"/>
        </w:rPr>
      </w:pPr>
      <w:r w:rsidRPr="0024709B">
        <w:rPr>
          <w:rFonts w:ascii="Arial" w:hAnsi="Arial" w:cs="Arial"/>
        </w:rPr>
        <w:t>¿Sería auditado?</w:t>
      </w:r>
    </w:p>
    <w:p w:rsidR="0024709B" w:rsidRPr="0024709B" w:rsidRDefault="0024709B" w:rsidP="0024709B">
      <w:pPr>
        <w:ind w:left="720"/>
        <w:jc w:val="both"/>
        <w:rPr>
          <w:rFonts w:ascii="Arial" w:hAnsi="Arial" w:cs="Arial"/>
        </w:rPr>
      </w:pPr>
    </w:p>
    <w:p w:rsidR="0024709B" w:rsidRPr="0024709B" w:rsidRDefault="0024709B" w:rsidP="0024709B">
      <w:pPr>
        <w:jc w:val="both"/>
        <w:rPr>
          <w:rFonts w:ascii="Arial" w:hAnsi="Arial" w:cs="Arial"/>
        </w:rPr>
      </w:pPr>
      <w:r w:rsidRPr="0024709B">
        <w:rPr>
          <w:rFonts w:ascii="Arial" w:hAnsi="Arial" w:cs="Arial"/>
        </w:rPr>
        <w:lastRenderedPageBreak/>
        <w:t>El presidente del IASB destacó que el IASB está actualmente detrás de algunos de los emisores de normas en lo que respecta a los intangibles. Considerará la investigación y los resultados una vez que haya "asimilado" los comentarios de la consulta de la agenda. También reconoció la amplia variedad de puntos de vista sobre el alcance de un proyecto potencial de IASB sobre intangibles, así como el hecho de que había un acuerdo general de que cuanto más amplio era el alcance del proyecto, menores eran las posibilidades de una solución oportuna. Un sentimiento general también fue que el IASB debería abordar el problema en etapas, comenzando con las revelaciones.</w:t>
      </w:r>
    </w:p>
    <w:p w:rsidR="0024709B" w:rsidRPr="0024709B" w:rsidRDefault="0024709B" w:rsidP="0024709B">
      <w:pPr>
        <w:jc w:val="both"/>
        <w:rPr>
          <w:rFonts w:ascii="Arial" w:hAnsi="Arial" w:cs="Arial"/>
        </w:rPr>
      </w:pPr>
    </w:p>
    <w:p w:rsidR="00ED7650" w:rsidRPr="0024709B" w:rsidRDefault="0024709B" w:rsidP="0024709B">
      <w:pPr>
        <w:jc w:val="both"/>
        <w:rPr>
          <w:rFonts w:ascii="Arial" w:hAnsi="Arial" w:cs="Arial"/>
        </w:rPr>
      </w:pPr>
    </w:p>
    <w:sectPr w:rsidR="00ED7650" w:rsidRPr="002470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E2D19"/>
    <w:multiLevelType w:val="multilevel"/>
    <w:tmpl w:val="C9CC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96FBE"/>
    <w:multiLevelType w:val="multilevel"/>
    <w:tmpl w:val="1584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9B"/>
    <w:rsid w:val="000F4B68"/>
    <w:rsid w:val="001739B4"/>
    <w:rsid w:val="0024709B"/>
    <w:rsid w:val="003B63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CC4AB-3CEA-4CAE-8B33-14650A69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470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54568">
      <w:bodyDiv w:val="1"/>
      <w:marLeft w:val="0"/>
      <w:marRight w:val="0"/>
      <w:marTop w:val="0"/>
      <w:marBottom w:val="0"/>
      <w:divBdr>
        <w:top w:val="none" w:sz="0" w:space="0" w:color="auto"/>
        <w:left w:val="none" w:sz="0" w:space="0" w:color="auto"/>
        <w:bottom w:val="none" w:sz="0" w:space="0" w:color="auto"/>
        <w:right w:val="none" w:sz="0" w:space="0" w:color="auto"/>
      </w:divBdr>
    </w:div>
    <w:div w:id="1518500189">
      <w:bodyDiv w:val="1"/>
      <w:marLeft w:val="0"/>
      <w:marRight w:val="0"/>
      <w:marTop w:val="0"/>
      <w:marBottom w:val="0"/>
      <w:divBdr>
        <w:top w:val="none" w:sz="0" w:space="0" w:color="auto"/>
        <w:left w:val="none" w:sz="0" w:space="0" w:color="auto"/>
        <w:bottom w:val="none" w:sz="0" w:space="0" w:color="auto"/>
        <w:right w:val="none" w:sz="0" w:space="0" w:color="auto"/>
      </w:divBdr>
    </w:div>
    <w:div w:id="1729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6975147">
          <w:marLeft w:val="0"/>
          <w:marRight w:val="0"/>
          <w:marTop w:val="0"/>
          <w:marBottom w:val="0"/>
          <w:divBdr>
            <w:top w:val="none" w:sz="0" w:space="0" w:color="auto"/>
            <w:left w:val="none" w:sz="0" w:space="0" w:color="auto"/>
            <w:bottom w:val="none" w:sz="0" w:space="0" w:color="auto"/>
            <w:right w:val="none" w:sz="0" w:space="0" w:color="auto"/>
          </w:divBdr>
        </w:div>
        <w:div w:id="359479953">
          <w:marLeft w:val="0"/>
          <w:marRight w:val="0"/>
          <w:marTop w:val="0"/>
          <w:marBottom w:val="0"/>
          <w:divBdr>
            <w:top w:val="none" w:sz="0" w:space="0" w:color="auto"/>
            <w:left w:val="none" w:sz="0" w:space="0" w:color="auto"/>
            <w:bottom w:val="none" w:sz="0" w:space="0" w:color="auto"/>
            <w:right w:val="none" w:sz="0" w:space="0" w:color="auto"/>
          </w:divBdr>
          <w:divsChild>
            <w:div w:id="760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splus.com/en/news/2021/09/ivsc" TargetMode="External"/><Relationship Id="rId3" Type="http://schemas.openxmlformats.org/officeDocument/2006/relationships/settings" Target="settings.xml"/><Relationship Id="rId7" Type="http://schemas.openxmlformats.org/officeDocument/2006/relationships/hyperlink" Target="https://www.iasplus.com/en/news/2021/03/agenda-consultation-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asplus.com/en/standards/ias/ias38" TargetMode="External"/><Relationship Id="rId11" Type="http://schemas.openxmlformats.org/officeDocument/2006/relationships/fontTable" Target="fontTable.xml"/><Relationship Id="rId5" Type="http://schemas.openxmlformats.org/officeDocument/2006/relationships/hyperlink" Target="https://www.iasplus.com/en/news/2021/09/barckow-wss" TargetMode="External"/><Relationship Id="rId10" Type="http://schemas.openxmlformats.org/officeDocument/2006/relationships/hyperlink" Target="https://www.aasb.gov.au/research-resources/surveys/intangible-assets-reducing-the-financial-statements-information-gap/" TargetMode="External"/><Relationship Id="rId4" Type="http://schemas.openxmlformats.org/officeDocument/2006/relationships/webSettings" Target="webSettings.xml"/><Relationship Id="rId9" Type="http://schemas.openxmlformats.org/officeDocument/2006/relationships/hyperlink" Target="https://www.iasplus.com/en/news/2021/08/efrag-dp-intangib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957</Words>
  <Characters>5267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2021-10-27T03:59:00Z</dcterms:created>
  <dcterms:modified xsi:type="dcterms:W3CDTF">2021-10-27T04:05:00Z</dcterms:modified>
</cp:coreProperties>
</file>