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6A" w:rsidRPr="00657B6A" w:rsidRDefault="00657B6A" w:rsidP="00657B6A">
      <w:pPr>
        <w:jc w:val="both"/>
        <w:rPr>
          <w:rFonts w:ascii="Arial" w:hAnsi="Arial" w:cs="Arial"/>
          <w:b/>
        </w:rPr>
      </w:pPr>
      <w:r w:rsidRPr="00657B6A">
        <w:rPr>
          <w:rFonts w:ascii="Arial" w:hAnsi="Arial" w:cs="Arial"/>
          <w:b/>
        </w:rPr>
        <w:t xml:space="preserve">¿Qué es </w:t>
      </w:r>
      <w:proofErr w:type="spellStart"/>
      <w:r w:rsidRPr="00657B6A">
        <w:rPr>
          <w:rFonts w:ascii="Arial" w:hAnsi="Arial" w:cs="Arial"/>
          <w:b/>
        </w:rPr>
        <w:t>iXBRL</w:t>
      </w:r>
      <w:proofErr w:type="spellEnd"/>
      <w:r w:rsidRPr="00657B6A">
        <w:rPr>
          <w:rFonts w:ascii="Arial" w:hAnsi="Arial" w:cs="Arial"/>
          <w:b/>
        </w:rPr>
        <w:t xml:space="preserve"> (</w:t>
      </w:r>
      <w:proofErr w:type="spellStart"/>
      <w:r w:rsidRPr="00657B6A">
        <w:rPr>
          <w:rFonts w:ascii="Arial" w:hAnsi="Arial" w:cs="Arial"/>
          <w:b/>
        </w:rPr>
        <w:t>Inline</w:t>
      </w:r>
      <w:proofErr w:type="spellEnd"/>
      <w:r w:rsidRPr="00657B6A">
        <w:rPr>
          <w:rFonts w:ascii="Arial" w:hAnsi="Arial" w:cs="Arial"/>
          <w:b/>
        </w:rPr>
        <w:t xml:space="preserve"> XBRL)?</w:t>
      </w:r>
    </w:p>
    <w:p w:rsidR="00657B6A" w:rsidRDefault="00657B6A" w:rsidP="00657B6A">
      <w:pPr>
        <w:jc w:val="both"/>
        <w:rPr>
          <w:rFonts w:ascii="Arial" w:hAnsi="Arial" w:cs="Arial"/>
        </w:rPr>
      </w:pPr>
      <w:bookmarkStart w:id="0" w:name="_GoBack"/>
      <w:bookmarkEnd w:id="0"/>
    </w:p>
    <w:p w:rsidR="00657B6A" w:rsidRPr="00657B6A" w:rsidRDefault="00657B6A" w:rsidP="00657B6A">
      <w:pPr>
        <w:jc w:val="both"/>
        <w:rPr>
          <w:rFonts w:ascii="Arial" w:hAnsi="Arial" w:cs="Arial"/>
        </w:rPr>
      </w:pPr>
      <w:r w:rsidRPr="00657B6A">
        <w:rPr>
          <w:rFonts w:ascii="Arial" w:hAnsi="Arial" w:cs="Arial"/>
        </w:rPr>
        <w:t>Por </w:t>
      </w:r>
      <w:proofErr w:type="spellStart"/>
      <w:r w:rsidRPr="00657B6A">
        <w:rPr>
          <w:rFonts w:ascii="Arial" w:hAnsi="Arial" w:cs="Arial"/>
        </w:rPr>
        <w:fldChar w:fldCharType="begin"/>
      </w:r>
      <w:r w:rsidRPr="00657B6A">
        <w:rPr>
          <w:rFonts w:ascii="Arial" w:hAnsi="Arial" w:cs="Arial"/>
        </w:rPr>
        <w:instrText xml:space="preserve"> HYPERLINK "https://blog.toppanmerrill.com/insights-blog-all/author/toppan-merrill" </w:instrText>
      </w:r>
      <w:r w:rsidRPr="00657B6A">
        <w:rPr>
          <w:rFonts w:ascii="Arial" w:hAnsi="Arial" w:cs="Arial"/>
        </w:rPr>
        <w:fldChar w:fldCharType="separate"/>
      </w:r>
      <w:r w:rsidRPr="00657B6A">
        <w:rPr>
          <w:rStyle w:val="Hipervnculo"/>
          <w:rFonts w:ascii="Arial" w:hAnsi="Arial" w:cs="Arial"/>
        </w:rPr>
        <w:t>Toppan</w:t>
      </w:r>
      <w:proofErr w:type="spellEnd"/>
      <w:r w:rsidRPr="00657B6A">
        <w:rPr>
          <w:rStyle w:val="Hipervnculo"/>
          <w:rFonts w:ascii="Arial" w:hAnsi="Arial" w:cs="Arial"/>
        </w:rPr>
        <w:t xml:space="preserve"> Merrill</w:t>
      </w:r>
      <w:r w:rsidRPr="00657B6A">
        <w:rPr>
          <w:rFonts w:ascii="Arial" w:hAnsi="Arial" w:cs="Arial"/>
        </w:rPr>
        <w:fldChar w:fldCharType="end"/>
      </w:r>
      <w:r w:rsidRPr="00657B6A">
        <w:rPr>
          <w:rFonts w:ascii="Arial" w:hAnsi="Arial" w:cs="Arial"/>
        </w:rPr>
        <w:t xml:space="preserve">  </w:t>
      </w:r>
    </w:p>
    <w:p w:rsidR="00657B6A" w:rsidRDefault="00657B6A" w:rsidP="00657B6A">
      <w:pPr>
        <w:jc w:val="both"/>
        <w:rPr>
          <w:rFonts w:ascii="Arial" w:hAnsi="Arial" w:cs="Arial"/>
        </w:rPr>
      </w:pPr>
      <w:r w:rsidRPr="00657B6A">
        <w:rPr>
          <w:rFonts w:ascii="Arial" w:hAnsi="Arial" w:cs="Arial"/>
        </w:rPr>
        <w:t>20 de septiembre de 2021</w:t>
      </w:r>
    </w:p>
    <w:p w:rsidR="00657B6A" w:rsidRPr="00657B6A" w:rsidRDefault="00657B6A" w:rsidP="00657B6A">
      <w:pPr>
        <w:jc w:val="both"/>
        <w:rPr>
          <w:rFonts w:ascii="Arial" w:hAnsi="Arial" w:cs="Arial"/>
        </w:rPr>
      </w:pPr>
    </w:p>
    <w:p w:rsidR="00ED7650" w:rsidRDefault="00657B6A">
      <w:r>
        <w:rPr>
          <w:noProof/>
          <w:lang w:eastAsia="es-MX"/>
        </w:rPr>
        <w:drawing>
          <wp:inline distT="0" distB="0" distL="0" distR="0" wp14:anchorId="472CAE94" wp14:editId="073C3B8D">
            <wp:extent cx="5612130" cy="2936654"/>
            <wp:effectExtent l="0" t="0" r="7620" b="0"/>
            <wp:docPr id="1" name="Imagen 1" descr="shutterstock_306568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tterstock_3065689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936654"/>
                    </a:xfrm>
                    <a:prstGeom prst="rect">
                      <a:avLst/>
                    </a:prstGeom>
                    <a:noFill/>
                    <a:ln>
                      <a:noFill/>
                    </a:ln>
                  </pic:spPr>
                </pic:pic>
              </a:graphicData>
            </a:graphic>
          </wp:inline>
        </w:drawing>
      </w:r>
    </w:p>
    <w:p w:rsidR="00657B6A" w:rsidRPr="00657B6A" w:rsidRDefault="00657B6A" w:rsidP="00657B6A">
      <w:pPr>
        <w:jc w:val="both"/>
        <w:rPr>
          <w:rFonts w:ascii="Arial" w:hAnsi="Arial" w:cs="Arial"/>
        </w:rPr>
      </w:pPr>
      <w:hyperlink r:id="rId6" w:history="1">
        <w:proofErr w:type="spellStart"/>
        <w:proofErr w:type="gramStart"/>
        <w:r w:rsidRPr="00657B6A">
          <w:rPr>
            <w:rStyle w:val="Hipervnculo"/>
            <w:rFonts w:ascii="Arial" w:hAnsi="Arial" w:cs="Arial"/>
            <w:b/>
            <w:bCs/>
          </w:rPr>
          <w:t>iXBRL</w:t>
        </w:r>
        <w:proofErr w:type="spellEnd"/>
        <w:proofErr w:type="gramEnd"/>
      </w:hyperlink>
      <w:r w:rsidRPr="00657B6A">
        <w:rPr>
          <w:rFonts w:ascii="Arial" w:hAnsi="Arial" w:cs="Arial"/>
        </w:rPr>
        <w:t> (</w:t>
      </w:r>
      <w:proofErr w:type="spellStart"/>
      <w:r w:rsidRPr="00657B6A">
        <w:rPr>
          <w:rFonts w:ascii="Arial" w:hAnsi="Arial" w:cs="Arial"/>
        </w:rPr>
        <w:t>Inline</w:t>
      </w:r>
      <w:proofErr w:type="spellEnd"/>
      <w:r w:rsidRPr="00657B6A">
        <w:rPr>
          <w:rFonts w:ascii="Arial" w:hAnsi="Arial" w:cs="Arial"/>
        </w:rPr>
        <w:t xml:space="preserve"> XBRL) es un formato de archivo que combina los beneficios estéticos de un archivo HTML legible por humanos con el archivo de documento de instancia XBRL legible por máquina.</w:t>
      </w:r>
    </w:p>
    <w:p w:rsidR="00657B6A" w:rsidRPr="00657B6A" w:rsidRDefault="00657B6A" w:rsidP="00657B6A">
      <w:pPr>
        <w:jc w:val="both"/>
        <w:rPr>
          <w:rFonts w:ascii="Arial" w:hAnsi="Arial" w:cs="Arial"/>
        </w:rPr>
      </w:pPr>
      <w:r w:rsidRPr="00657B6A">
        <w:rPr>
          <w:rFonts w:ascii="Arial" w:hAnsi="Arial" w:cs="Arial"/>
        </w:rPr>
        <w:t>El resultado es un archivo combinado que se envía a un regulador, y está disponible para el público a través del programa </w:t>
      </w:r>
      <w:hyperlink r:id="rId7" w:history="1">
        <w:r w:rsidRPr="00657B6A">
          <w:rPr>
            <w:rStyle w:val="Hipervnculo"/>
            <w:rFonts w:ascii="Arial" w:hAnsi="Arial" w:cs="Arial"/>
            <w:b/>
            <w:bCs/>
          </w:rPr>
          <w:t>de Recopilación, Análisis y Recuperación de Datos Electrónicos (EDGAR)</w:t>
        </w:r>
      </w:hyperlink>
      <w:r w:rsidRPr="00657B6A">
        <w:rPr>
          <w:rFonts w:ascii="Arial" w:hAnsi="Arial" w:cs="Arial"/>
        </w:rPr>
        <w:t xml:space="preserve"> , que contiene tanto los estados financieros tradicionales como la información de etiquetado XBRL. Las etiquetas XBRL están incrustadas "en línea" con el texto del documento HTML tradicional. En resumen, </w:t>
      </w:r>
      <w:proofErr w:type="spellStart"/>
      <w:r w:rsidRPr="00657B6A">
        <w:rPr>
          <w:rFonts w:ascii="Arial" w:hAnsi="Arial" w:cs="Arial"/>
        </w:rPr>
        <w:t>iXBRL</w:t>
      </w:r>
      <w:proofErr w:type="spellEnd"/>
      <w:r w:rsidRPr="00657B6A">
        <w:rPr>
          <w:rFonts w:ascii="Arial" w:hAnsi="Arial" w:cs="Arial"/>
        </w:rPr>
        <w:t xml:space="preserve"> permite a los declarantes preparar un informe financiero que se parece a un estado financiero tradicional y es atractivo a la vista, pero tiene todos los datos XBRL enriquecidos y legibles por máquina incrustados debajo del texto.</w:t>
      </w:r>
    </w:p>
    <w:p w:rsidR="00657B6A" w:rsidRPr="00657B6A" w:rsidRDefault="00657B6A" w:rsidP="00657B6A">
      <w:pPr>
        <w:jc w:val="both"/>
        <w:rPr>
          <w:rFonts w:ascii="Arial" w:hAnsi="Arial" w:cs="Arial"/>
        </w:rPr>
      </w:pPr>
      <w:r w:rsidRPr="00657B6A">
        <w:rPr>
          <w:rFonts w:ascii="Arial" w:hAnsi="Arial" w:cs="Arial"/>
        </w:rPr>
        <w:t> </w:t>
      </w:r>
    </w:p>
    <w:p w:rsidR="00657B6A" w:rsidRPr="00657B6A" w:rsidRDefault="00657B6A" w:rsidP="00657B6A">
      <w:pPr>
        <w:jc w:val="both"/>
        <w:rPr>
          <w:rFonts w:ascii="Arial" w:hAnsi="Arial" w:cs="Arial"/>
        </w:rPr>
      </w:pPr>
      <w:r w:rsidRPr="00657B6A">
        <w:rPr>
          <w:rFonts w:ascii="Arial" w:hAnsi="Arial" w:cs="Arial"/>
          <w:b/>
          <w:bCs/>
        </w:rPr>
        <w:t xml:space="preserve">¿Quién está obligado a utilizar </w:t>
      </w:r>
      <w:proofErr w:type="spellStart"/>
      <w:r w:rsidRPr="00657B6A">
        <w:rPr>
          <w:rFonts w:ascii="Arial" w:hAnsi="Arial" w:cs="Arial"/>
          <w:b/>
          <w:bCs/>
        </w:rPr>
        <w:t>iXBRL</w:t>
      </w:r>
      <w:proofErr w:type="spellEnd"/>
      <w:r w:rsidRPr="00657B6A">
        <w:rPr>
          <w:rFonts w:ascii="Arial" w:hAnsi="Arial" w:cs="Arial"/>
          <w:b/>
          <w:bCs/>
        </w:rPr>
        <w:t>?</w:t>
      </w:r>
    </w:p>
    <w:p w:rsidR="00657B6A" w:rsidRDefault="00657B6A" w:rsidP="00657B6A">
      <w:pPr>
        <w:jc w:val="both"/>
        <w:rPr>
          <w:rFonts w:ascii="Arial" w:hAnsi="Arial" w:cs="Arial"/>
        </w:rPr>
      </w:pPr>
      <w:r w:rsidRPr="00657B6A">
        <w:rPr>
          <w:rFonts w:ascii="Arial" w:hAnsi="Arial" w:cs="Arial"/>
        </w:rPr>
        <w:t>A partir del 15 de junio de 2021, la Comisión de Bolsa y Valores de EE. UU. (SEC) requiere que todos los declarantes según los US GAAP e IFRS presenten </w:t>
      </w:r>
      <w:hyperlink r:id="rId8" w:history="1">
        <w:r w:rsidRPr="00657B6A">
          <w:rPr>
            <w:rStyle w:val="Hipervnculo"/>
            <w:rFonts w:ascii="Arial" w:hAnsi="Arial" w:cs="Arial"/>
            <w:b/>
            <w:bCs/>
          </w:rPr>
          <w:t>informes financieros periódicos e intermedios</w:t>
        </w:r>
      </w:hyperlink>
      <w:r w:rsidRPr="00657B6A">
        <w:rPr>
          <w:rFonts w:ascii="Arial" w:hAnsi="Arial" w:cs="Arial"/>
        </w:rPr>
        <w:t xml:space="preserve"> utilizando el formato </w:t>
      </w:r>
      <w:proofErr w:type="spellStart"/>
      <w:r w:rsidRPr="00657B6A">
        <w:rPr>
          <w:rFonts w:ascii="Arial" w:hAnsi="Arial" w:cs="Arial"/>
        </w:rPr>
        <w:t>Inline</w:t>
      </w:r>
      <w:proofErr w:type="spellEnd"/>
      <w:r w:rsidRPr="00657B6A">
        <w:rPr>
          <w:rFonts w:ascii="Arial" w:hAnsi="Arial" w:cs="Arial"/>
        </w:rPr>
        <w:t xml:space="preserve"> XBRL. La </w:t>
      </w:r>
      <w:hyperlink r:id="rId9" w:history="1">
        <w:r w:rsidRPr="00657B6A">
          <w:rPr>
            <w:rStyle w:val="Hipervnculo"/>
            <w:rFonts w:ascii="Arial" w:hAnsi="Arial" w:cs="Arial"/>
            <w:b/>
            <w:bCs/>
          </w:rPr>
          <w:t>Autoridad Europea del Mercado de Normas de la</w:t>
        </w:r>
      </w:hyperlink>
      <w:r w:rsidRPr="00657B6A">
        <w:rPr>
          <w:rFonts w:ascii="Arial" w:hAnsi="Arial" w:cs="Arial"/>
        </w:rPr>
        <w:t> UE </w:t>
      </w:r>
      <w:hyperlink r:id="rId10" w:history="1">
        <w:r w:rsidRPr="00657B6A">
          <w:rPr>
            <w:rStyle w:val="Hipervnculo"/>
            <w:rFonts w:ascii="Arial" w:hAnsi="Arial" w:cs="Arial"/>
            <w:b/>
            <w:bCs/>
          </w:rPr>
          <w:t>(ESMA)</w:t>
        </w:r>
      </w:hyperlink>
      <w:r w:rsidRPr="00657B6A">
        <w:rPr>
          <w:rFonts w:ascii="Arial" w:hAnsi="Arial" w:cs="Arial"/>
        </w:rPr>
        <w:t> está siguiendo su propio mandato de </w:t>
      </w:r>
      <w:hyperlink r:id="rId11" w:history="1">
        <w:r w:rsidRPr="00657B6A">
          <w:rPr>
            <w:rStyle w:val="Hipervnculo"/>
            <w:rFonts w:ascii="Arial" w:hAnsi="Arial" w:cs="Arial"/>
            <w:b/>
            <w:bCs/>
          </w:rPr>
          <w:t>Formato Electrónico Único Europeo (ESEF)</w:t>
        </w:r>
      </w:hyperlink>
      <w:r w:rsidRPr="00657B6A">
        <w:rPr>
          <w:rFonts w:ascii="Arial" w:hAnsi="Arial" w:cs="Arial"/>
        </w:rPr>
        <w:t xml:space="preserve"> para el uso de </w:t>
      </w:r>
      <w:proofErr w:type="spellStart"/>
      <w:r w:rsidRPr="00657B6A">
        <w:rPr>
          <w:rFonts w:ascii="Arial" w:hAnsi="Arial" w:cs="Arial"/>
        </w:rPr>
        <w:t>iXBRL</w:t>
      </w:r>
      <w:proofErr w:type="spellEnd"/>
      <w:r w:rsidRPr="00657B6A">
        <w:rPr>
          <w:rFonts w:ascii="Arial" w:hAnsi="Arial" w:cs="Arial"/>
        </w:rPr>
        <w:t xml:space="preserve"> y los órganos rectores en varios mercados en todo el mundo están implementando requisitos de </w:t>
      </w:r>
      <w:proofErr w:type="spellStart"/>
      <w:r w:rsidRPr="00657B6A">
        <w:rPr>
          <w:rFonts w:ascii="Arial" w:hAnsi="Arial" w:cs="Arial"/>
        </w:rPr>
        <w:t>iXBRL</w:t>
      </w:r>
      <w:proofErr w:type="spellEnd"/>
      <w:r w:rsidRPr="00657B6A">
        <w:rPr>
          <w:rFonts w:ascii="Arial" w:hAnsi="Arial" w:cs="Arial"/>
        </w:rPr>
        <w:t xml:space="preserve"> similares.</w:t>
      </w:r>
    </w:p>
    <w:p w:rsidR="00657B6A" w:rsidRPr="00657B6A" w:rsidRDefault="00657B6A" w:rsidP="00657B6A">
      <w:pPr>
        <w:jc w:val="both"/>
        <w:rPr>
          <w:rFonts w:ascii="Arial" w:hAnsi="Arial" w:cs="Arial"/>
        </w:rPr>
      </w:pPr>
      <w:r w:rsidRPr="00657B6A">
        <w:rPr>
          <w:rFonts w:ascii="Arial" w:hAnsi="Arial" w:cs="Arial"/>
          <w:b/>
          <w:bCs/>
        </w:rPr>
        <w:lastRenderedPageBreak/>
        <w:t xml:space="preserve">¿Cómo funciona </w:t>
      </w:r>
      <w:proofErr w:type="spellStart"/>
      <w:r w:rsidRPr="00657B6A">
        <w:rPr>
          <w:rFonts w:ascii="Arial" w:hAnsi="Arial" w:cs="Arial"/>
          <w:b/>
          <w:bCs/>
        </w:rPr>
        <w:t>iXBRL</w:t>
      </w:r>
      <w:proofErr w:type="spellEnd"/>
      <w:r w:rsidRPr="00657B6A">
        <w:rPr>
          <w:rFonts w:ascii="Arial" w:hAnsi="Arial" w:cs="Arial"/>
          <w:b/>
          <w:bCs/>
        </w:rPr>
        <w:t>?</w:t>
      </w:r>
    </w:p>
    <w:p w:rsidR="00657B6A" w:rsidRPr="00657B6A" w:rsidRDefault="00657B6A" w:rsidP="00657B6A">
      <w:pPr>
        <w:jc w:val="both"/>
        <w:rPr>
          <w:rFonts w:ascii="Arial" w:hAnsi="Arial" w:cs="Arial"/>
        </w:rPr>
      </w:pPr>
      <w:proofErr w:type="spellStart"/>
      <w:proofErr w:type="gramStart"/>
      <w:r w:rsidRPr="00657B6A">
        <w:rPr>
          <w:rFonts w:ascii="Arial" w:hAnsi="Arial" w:cs="Arial"/>
        </w:rPr>
        <w:t>iXBRL</w:t>
      </w:r>
      <w:proofErr w:type="spellEnd"/>
      <w:proofErr w:type="gramEnd"/>
      <w:r w:rsidRPr="00657B6A">
        <w:rPr>
          <w:rFonts w:ascii="Arial" w:hAnsi="Arial" w:cs="Arial"/>
        </w:rPr>
        <w:t xml:space="preserve"> está habilitado por </w:t>
      </w:r>
      <w:proofErr w:type="spellStart"/>
      <w:r w:rsidRPr="00657B6A">
        <w:rPr>
          <w:rFonts w:ascii="Arial" w:hAnsi="Arial" w:cs="Arial"/>
        </w:rPr>
        <w:fldChar w:fldCharType="begin"/>
      </w:r>
      <w:r w:rsidRPr="00657B6A">
        <w:rPr>
          <w:rFonts w:ascii="Arial" w:hAnsi="Arial" w:cs="Arial"/>
        </w:rPr>
        <w:instrText xml:space="preserve"> HYPERLINK "https://www.toppanmerrill.com/glossary/extensible-hypertext-markup-language-xhtml/" </w:instrText>
      </w:r>
      <w:r w:rsidRPr="00657B6A">
        <w:rPr>
          <w:rFonts w:ascii="Arial" w:hAnsi="Arial" w:cs="Arial"/>
        </w:rPr>
        <w:fldChar w:fldCharType="separate"/>
      </w:r>
      <w:r w:rsidRPr="00657B6A">
        <w:rPr>
          <w:rStyle w:val="Hipervnculo"/>
          <w:rFonts w:ascii="Arial" w:hAnsi="Arial" w:cs="Arial"/>
          <w:b/>
          <w:bCs/>
        </w:rPr>
        <w:t>xHTML</w:t>
      </w:r>
      <w:proofErr w:type="spellEnd"/>
      <w:r w:rsidRPr="00657B6A">
        <w:rPr>
          <w:rStyle w:val="Hipervnculo"/>
          <w:rFonts w:ascii="Arial" w:hAnsi="Arial" w:cs="Arial"/>
          <w:b/>
          <w:bCs/>
        </w:rPr>
        <w:t xml:space="preserve"> (Lenguaje de marcado de hipertexto extensible),</w:t>
      </w:r>
      <w:r w:rsidRPr="00657B6A">
        <w:rPr>
          <w:rFonts w:ascii="Arial" w:hAnsi="Arial" w:cs="Arial"/>
        </w:rPr>
        <w:fldChar w:fldCharType="end"/>
      </w:r>
      <w:r w:rsidRPr="00657B6A">
        <w:rPr>
          <w:rFonts w:ascii="Arial" w:hAnsi="Arial" w:cs="Arial"/>
        </w:rPr>
        <w:t xml:space="preserve"> que toma HTML tradicional y agrega una capa de metadatos legibles por máquina. La mayoría de las páginas web hoy en día usan </w:t>
      </w:r>
      <w:proofErr w:type="spellStart"/>
      <w:r w:rsidRPr="00657B6A">
        <w:rPr>
          <w:rFonts w:ascii="Arial" w:hAnsi="Arial" w:cs="Arial"/>
        </w:rPr>
        <w:t>xHTML</w:t>
      </w:r>
      <w:proofErr w:type="spellEnd"/>
      <w:r w:rsidRPr="00657B6A">
        <w:rPr>
          <w:rFonts w:ascii="Arial" w:hAnsi="Arial" w:cs="Arial"/>
        </w:rPr>
        <w:t>: la capa HTML incluye el texto básico, los colores y las imágenes que vemos, mientras que los metadatos luego incluyen toda la información que Google y otros motores de búsqueda usan para escanear instantáneamente la página, comprender su contenido y clasificarla. .</w:t>
      </w:r>
    </w:p>
    <w:p w:rsidR="00657B6A" w:rsidRPr="00657B6A" w:rsidRDefault="00657B6A" w:rsidP="00657B6A">
      <w:pPr>
        <w:jc w:val="both"/>
        <w:rPr>
          <w:rFonts w:ascii="Arial" w:hAnsi="Arial" w:cs="Arial"/>
        </w:rPr>
      </w:pPr>
      <w:proofErr w:type="spellStart"/>
      <w:proofErr w:type="gramStart"/>
      <w:r w:rsidRPr="00657B6A">
        <w:rPr>
          <w:rFonts w:ascii="Arial" w:hAnsi="Arial" w:cs="Arial"/>
        </w:rPr>
        <w:t>iXBRL</w:t>
      </w:r>
      <w:proofErr w:type="spellEnd"/>
      <w:proofErr w:type="gramEnd"/>
      <w:r w:rsidRPr="00657B6A">
        <w:rPr>
          <w:rFonts w:ascii="Arial" w:hAnsi="Arial" w:cs="Arial"/>
        </w:rPr>
        <w:t xml:space="preserve"> usa </w:t>
      </w:r>
      <w:proofErr w:type="spellStart"/>
      <w:r w:rsidRPr="00657B6A">
        <w:rPr>
          <w:rFonts w:ascii="Arial" w:hAnsi="Arial" w:cs="Arial"/>
        </w:rPr>
        <w:t>xHTML</w:t>
      </w:r>
      <w:proofErr w:type="spellEnd"/>
      <w:r w:rsidRPr="00657B6A">
        <w:rPr>
          <w:rFonts w:ascii="Arial" w:hAnsi="Arial" w:cs="Arial"/>
        </w:rPr>
        <w:t xml:space="preserve"> para colocar etiquetas XBRL “en línea” (en la capa de metadatos) con el texto visible. Como una página web moderna, </w:t>
      </w:r>
      <w:proofErr w:type="spellStart"/>
      <w:r w:rsidRPr="00657B6A">
        <w:rPr>
          <w:rFonts w:ascii="Arial" w:hAnsi="Arial" w:cs="Arial"/>
        </w:rPr>
        <w:t>iXBRL</w:t>
      </w:r>
      <w:proofErr w:type="spellEnd"/>
      <w:r w:rsidRPr="00657B6A">
        <w:rPr>
          <w:rFonts w:ascii="Arial" w:hAnsi="Arial" w:cs="Arial"/>
        </w:rPr>
        <w:t xml:space="preserve"> proporciona a lectores humanos y mecánicos la información que desean, todo en el mismo documento.</w:t>
      </w:r>
    </w:p>
    <w:p w:rsidR="00657B6A" w:rsidRPr="00657B6A" w:rsidRDefault="00657B6A" w:rsidP="00657B6A">
      <w:pPr>
        <w:jc w:val="both"/>
        <w:rPr>
          <w:rFonts w:ascii="Arial" w:hAnsi="Arial" w:cs="Arial"/>
        </w:rPr>
      </w:pPr>
      <w:r w:rsidRPr="00657B6A">
        <w:rPr>
          <w:rFonts w:ascii="Arial" w:hAnsi="Arial" w:cs="Arial"/>
        </w:rPr>
        <w:t xml:space="preserve">La SEC incluye un visor </w:t>
      </w:r>
      <w:proofErr w:type="spellStart"/>
      <w:r w:rsidRPr="00657B6A">
        <w:rPr>
          <w:rFonts w:ascii="Arial" w:hAnsi="Arial" w:cs="Arial"/>
        </w:rPr>
        <w:t>iXBRL</w:t>
      </w:r>
      <w:proofErr w:type="spellEnd"/>
      <w:r w:rsidRPr="00657B6A">
        <w:rPr>
          <w:rFonts w:ascii="Arial" w:hAnsi="Arial" w:cs="Arial"/>
        </w:rPr>
        <w:t xml:space="preserve"> en el sistema </w:t>
      </w:r>
      <w:hyperlink r:id="rId12" w:history="1">
        <w:r w:rsidRPr="00657B6A">
          <w:rPr>
            <w:rStyle w:val="Hipervnculo"/>
            <w:rFonts w:ascii="Arial" w:hAnsi="Arial" w:cs="Arial"/>
            <w:b/>
            <w:bCs/>
          </w:rPr>
          <w:t>EDGAR</w:t>
        </w:r>
      </w:hyperlink>
      <w:r w:rsidRPr="00657B6A">
        <w:rPr>
          <w:rFonts w:ascii="Arial" w:hAnsi="Arial" w:cs="Arial"/>
        </w:rPr>
        <w:t xml:space="preserve"> , lo que permite a cualquier persona con un navegador de Internet estándar reciente ver las presentaciones </w:t>
      </w:r>
      <w:proofErr w:type="spellStart"/>
      <w:r w:rsidRPr="00657B6A">
        <w:rPr>
          <w:rFonts w:ascii="Arial" w:hAnsi="Arial" w:cs="Arial"/>
        </w:rPr>
        <w:t>iXBRL</w:t>
      </w:r>
      <w:proofErr w:type="spellEnd"/>
      <w:r w:rsidRPr="00657B6A">
        <w:rPr>
          <w:rFonts w:ascii="Arial" w:hAnsi="Arial" w:cs="Arial"/>
        </w:rPr>
        <w:t xml:space="preserve"> disponibles públicamente dentro del sistema EDGAR. El visor </w:t>
      </w:r>
      <w:proofErr w:type="spellStart"/>
      <w:r w:rsidRPr="00657B6A">
        <w:rPr>
          <w:rFonts w:ascii="Arial" w:hAnsi="Arial" w:cs="Arial"/>
        </w:rPr>
        <w:t>iXBRL</w:t>
      </w:r>
      <w:proofErr w:type="spellEnd"/>
      <w:r w:rsidRPr="00657B6A">
        <w:rPr>
          <w:rFonts w:ascii="Arial" w:hAnsi="Arial" w:cs="Arial"/>
        </w:rPr>
        <w:t xml:space="preserve"> permite a los lectores humanos navegar, buscar y filtrar fácilmente utilizando las etiquetas XBRL incrustadas en el documento.</w:t>
      </w:r>
    </w:p>
    <w:p w:rsidR="00657B6A" w:rsidRPr="00657B6A" w:rsidRDefault="00657B6A" w:rsidP="00657B6A">
      <w:pPr>
        <w:jc w:val="both"/>
        <w:rPr>
          <w:rFonts w:ascii="Arial" w:hAnsi="Arial" w:cs="Arial"/>
        </w:rPr>
      </w:pPr>
      <w:r w:rsidRPr="00657B6A">
        <w:rPr>
          <w:rFonts w:ascii="Arial" w:hAnsi="Arial" w:cs="Arial"/>
        </w:rPr>
        <w:t> </w:t>
      </w:r>
    </w:p>
    <w:p w:rsidR="00657B6A" w:rsidRPr="00657B6A" w:rsidRDefault="00657B6A" w:rsidP="00657B6A">
      <w:pPr>
        <w:jc w:val="both"/>
        <w:rPr>
          <w:rFonts w:ascii="Arial" w:hAnsi="Arial" w:cs="Arial"/>
        </w:rPr>
      </w:pPr>
      <w:r w:rsidRPr="00657B6A">
        <w:rPr>
          <w:rFonts w:ascii="Arial" w:hAnsi="Arial" w:cs="Arial"/>
          <w:b/>
          <w:bCs/>
        </w:rPr>
        <w:t xml:space="preserve">¿Cuál es el beneficio de </w:t>
      </w:r>
      <w:proofErr w:type="spellStart"/>
      <w:r w:rsidRPr="00657B6A">
        <w:rPr>
          <w:rFonts w:ascii="Arial" w:hAnsi="Arial" w:cs="Arial"/>
          <w:b/>
          <w:bCs/>
        </w:rPr>
        <w:t>iXBRL</w:t>
      </w:r>
      <w:proofErr w:type="spellEnd"/>
      <w:r w:rsidRPr="00657B6A">
        <w:rPr>
          <w:rFonts w:ascii="Arial" w:hAnsi="Arial" w:cs="Arial"/>
          <w:b/>
          <w:bCs/>
        </w:rPr>
        <w:t>?</w:t>
      </w:r>
    </w:p>
    <w:p w:rsidR="00657B6A" w:rsidRPr="00657B6A" w:rsidRDefault="00657B6A" w:rsidP="00657B6A">
      <w:pPr>
        <w:jc w:val="both"/>
        <w:rPr>
          <w:rFonts w:ascii="Arial" w:hAnsi="Arial" w:cs="Arial"/>
        </w:rPr>
      </w:pPr>
      <w:proofErr w:type="spellStart"/>
      <w:proofErr w:type="gramStart"/>
      <w:r w:rsidRPr="00657B6A">
        <w:rPr>
          <w:rFonts w:ascii="Arial" w:hAnsi="Arial" w:cs="Arial"/>
        </w:rPr>
        <w:t>iXBRL</w:t>
      </w:r>
      <w:proofErr w:type="spellEnd"/>
      <w:proofErr w:type="gramEnd"/>
      <w:r w:rsidRPr="00657B6A">
        <w:rPr>
          <w:rFonts w:ascii="Arial" w:hAnsi="Arial" w:cs="Arial"/>
        </w:rPr>
        <w:t xml:space="preserve"> se basa en los </w:t>
      </w:r>
      <w:hyperlink r:id="rId13" w:history="1">
        <w:r w:rsidRPr="00657B6A">
          <w:rPr>
            <w:rStyle w:val="Hipervnculo"/>
            <w:rFonts w:ascii="Arial" w:hAnsi="Arial" w:cs="Arial"/>
            <w:b/>
            <w:bCs/>
          </w:rPr>
          <w:t>beneficios principales</w:t>
        </w:r>
      </w:hyperlink>
      <w:r w:rsidRPr="00657B6A">
        <w:rPr>
          <w:rFonts w:ascii="Arial" w:hAnsi="Arial" w:cs="Arial"/>
        </w:rPr>
        <w:t> de </w:t>
      </w:r>
      <w:hyperlink r:id="rId14" w:history="1">
        <w:r w:rsidRPr="00657B6A">
          <w:rPr>
            <w:rStyle w:val="Hipervnculo"/>
            <w:rFonts w:ascii="Arial" w:hAnsi="Arial" w:cs="Arial"/>
            <w:b/>
            <w:bCs/>
          </w:rPr>
          <w:t>XBRL</w:t>
        </w:r>
      </w:hyperlink>
      <w:r w:rsidRPr="00657B6A">
        <w:rPr>
          <w:rFonts w:ascii="Arial" w:hAnsi="Arial" w:cs="Arial"/>
        </w:rPr>
        <w:t> :</w:t>
      </w:r>
    </w:p>
    <w:p w:rsidR="00657B6A" w:rsidRPr="00657B6A" w:rsidRDefault="00657B6A" w:rsidP="00657B6A">
      <w:pPr>
        <w:numPr>
          <w:ilvl w:val="0"/>
          <w:numId w:val="1"/>
        </w:numPr>
        <w:jc w:val="both"/>
        <w:rPr>
          <w:rFonts w:ascii="Arial" w:hAnsi="Arial" w:cs="Arial"/>
        </w:rPr>
      </w:pPr>
      <w:r w:rsidRPr="00657B6A">
        <w:rPr>
          <w:rFonts w:ascii="Arial" w:hAnsi="Arial" w:cs="Arial"/>
          <w:b/>
          <w:bCs/>
        </w:rPr>
        <w:t>Hacer que la información financiera sea legible por máquina:</w:t>
      </w:r>
      <w:r w:rsidRPr="00657B6A">
        <w:rPr>
          <w:rFonts w:ascii="Arial" w:hAnsi="Arial" w:cs="Arial"/>
        </w:rPr>
        <w:t> XBRL hace que sea mucho más fácil para las herramientas de análisis de datos consumir información financiera. Las etiquetas XBRL funcionan esencialmente como códigos de barras para los números financieros, de modo que las computadoras y las herramientas de análisis pueden ingerir instantáneamente estos datos para su análisis y comparación inmediatos.</w:t>
      </w:r>
    </w:p>
    <w:p w:rsidR="00657B6A" w:rsidRPr="00657B6A" w:rsidRDefault="00657B6A" w:rsidP="00657B6A">
      <w:pPr>
        <w:numPr>
          <w:ilvl w:val="0"/>
          <w:numId w:val="1"/>
        </w:numPr>
        <w:jc w:val="both"/>
        <w:rPr>
          <w:rFonts w:ascii="Arial" w:hAnsi="Arial" w:cs="Arial"/>
        </w:rPr>
      </w:pPr>
      <w:r w:rsidRPr="00657B6A">
        <w:rPr>
          <w:rFonts w:ascii="Arial" w:hAnsi="Arial" w:cs="Arial"/>
          <w:b/>
          <w:bCs/>
        </w:rPr>
        <w:t xml:space="preserve">Hacer que la información financiera sea más </w:t>
      </w:r>
      <w:r w:rsidR="00353F3F" w:rsidRPr="00657B6A">
        <w:rPr>
          <w:rFonts w:ascii="Arial" w:hAnsi="Arial" w:cs="Arial"/>
          <w:b/>
          <w:bCs/>
        </w:rPr>
        <w:t>útil</w:t>
      </w:r>
      <w:r w:rsidR="00353F3F" w:rsidRPr="00657B6A">
        <w:rPr>
          <w:rFonts w:ascii="Arial" w:hAnsi="Arial" w:cs="Arial"/>
        </w:rPr>
        <w:t>:</w:t>
      </w:r>
      <w:r w:rsidRPr="00657B6A">
        <w:rPr>
          <w:rFonts w:ascii="Arial" w:hAnsi="Arial" w:cs="Arial"/>
        </w:rPr>
        <w:t xml:space="preserve"> la realidad es que las personas ya no leen los estados financieros de principio a fin con tanta frecuencia y utilizan cada vez más las herramientas de análisis de datos para asimilar y destilar los conocimientos que están buscando. Al hacer que la información financiera sea más legible por máquina, </w:t>
      </w:r>
      <w:proofErr w:type="spellStart"/>
      <w:r w:rsidRPr="00657B6A">
        <w:rPr>
          <w:rFonts w:ascii="Arial" w:hAnsi="Arial" w:cs="Arial"/>
        </w:rPr>
        <w:t>Inline</w:t>
      </w:r>
      <w:proofErr w:type="spellEnd"/>
      <w:r w:rsidRPr="00657B6A">
        <w:rPr>
          <w:rFonts w:ascii="Arial" w:hAnsi="Arial" w:cs="Arial"/>
        </w:rPr>
        <w:t xml:space="preserve"> XBRL, en última instancia, facilita que las </w:t>
      </w:r>
      <w:r w:rsidRPr="00657B6A">
        <w:rPr>
          <w:rFonts w:ascii="Arial" w:hAnsi="Arial" w:cs="Arial"/>
          <w:i/>
          <w:iCs/>
        </w:rPr>
        <w:t>personas</w:t>
      </w:r>
      <w:r w:rsidRPr="00657B6A">
        <w:rPr>
          <w:rFonts w:ascii="Arial" w:hAnsi="Arial" w:cs="Arial"/>
        </w:rPr>
        <w:t> (inversores, analistas, etc.) consuman y </w:t>
      </w:r>
      <w:r w:rsidRPr="00657B6A">
        <w:rPr>
          <w:rFonts w:ascii="Arial" w:hAnsi="Arial" w:cs="Arial"/>
          <w:i/>
          <w:iCs/>
        </w:rPr>
        <w:t>utilicen</w:t>
      </w:r>
      <w:r w:rsidRPr="00657B6A">
        <w:rPr>
          <w:rFonts w:ascii="Arial" w:hAnsi="Arial" w:cs="Arial"/>
        </w:rPr>
        <w:t> esa información.</w:t>
      </w:r>
    </w:p>
    <w:p w:rsidR="00657B6A" w:rsidRPr="00657B6A" w:rsidRDefault="00657B6A" w:rsidP="00657B6A">
      <w:pPr>
        <w:numPr>
          <w:ilvl w:val="0"/>
          <w:numId w:val="1"/>
        </w:numPr>
        <w:jc w:val="both"/>
        <w:rPr>
          <w:rFonts w:ascii="Arial" w:hAnsi="Arial" w:cs="Arial"/>
        </w:rPr>
      </w:pPr>
      <w:r w:rsidRPr="00657B6A">
        <w:rPr>
          <w:rFonts w:ascii="Arial" w:hAnsi="Arial" w:cs="Arial"/>
          <w:b/>
          <w:bCs/>
        </w:rPr>
        <w:t xml:space="preserve">Impulsar la coherencia en los informes </w:t>
      </w:r>
      <w:r w:rsidR="00353F3F" w:rsidRPr="00657B6A">
        <w:rPr>
          <w:rFonts w:ascii="Arial" w:hAnsi="Arial" w:cs="Arial"/>
          <w:b/>
          <w:bCs/>
        </w:rPr>
        <w:t>financieros</w:t>
      </w:r>
      <w:r w:rsidR="00353F3F" w:rsidRPr="00657B6A">
        <w:rPr>
          <w:rFonts w:ascii="Arial" w:hAnsi="Arial" w:cs="Arial"/>
        </w:rPr>
        <w:t>:</w:t>
      </w:r>
      <w:r w:rsidRPr="00657B6A">
        <w:rPr>
          <w:rFonts w:ascii="Arial" w:hAnsi="Arial" w:cs="Arial"/>
        </w:rPr>
        <w:t xml:space="preserve"> se requiere que las presentaciones </w:t>
      </w:r>
      <w:proofErr w:type="spellStart"/>
      <w:r w:rsidRPr="00657B6A">
        <w:rPr>
          <w:rFonts w:ascii="Arial" w:hAnsi="Arial" w:cs="Arial"/>
        </w:rPr>
        <w:t>iXBRL</w:t>
      </w:r>
      <w:proofErr w:type="spellEnd"/>
      <w:r w:rsidRPr="00657B6A">
        <w:rPr>
          <w:rFonts w:ascii="Arial" w:hAnsi="Arial" w:cs="Arial"/>
        </w:rPr>
        <w:t xml:space="preserve"> sigan la taxonomía US-GAAP o la taxonomía IFRS. Este etiquetado integral basado en estándares ayuda a impulsar la coherencia y permite mejores comparaciones tanto dentro como entre los estados financieros de las empresas.</w:t>
      </w:r>
    </w:p>
    <w:p w:rsidR="00657B6A" w:rsidRPr="00657B6A" w:rsidRDefault="00657B6A" w:rsidP="00657B6A">
      <w:pPr>
        <w:numPr>
          <w:ilvl w:val="0"/>
          <w:numId w:val="1"/>
        </w:numPr>
        <w:jc w:val="both"/>
        <w:rPr>
          <w:rFonts w:ascii="Arial" w:hAnsi="Arial" w:cs="Arial"/>
        </w:rPr>
      </w:pPr>
      <w:r w:rsidRPr="00657B6A">
        <w:rPr>
          <w:rFonts w:ascii="Arial" w:hAnsi="Arial" w:cs="Arial"/>
          <w:b/>
          <w:bCs/>
        </w:rPr>
        <w:t>Dar a las empresas un mayor control para contar su historia:</w:t>
      </w:r>
      <w:r w:rsidRPr="00657B6A">
        <w:rPr>
          <w:rFonts w:ascii="Arial" w:hAnsi="Arial" w:cs="Arial"/>
        </w:rPr>
        <w:t> históricamente, los analistas y periodistas han servido como narradores interpretativos de la información financiera de las empresas, consumiendo las declaraciones de texto completo y proporcionando al público sus interpretaciones, comparaciones y otros conocimientos. </w:t>
      </w:r>
      <w:proofErr w:type="spellStart"/>
      <w:r w:rsidRPr="00657B6A">
        <w:rPr>
          <w:rFonts w:ascii="Arial" w:hAnsi="Arial" w:cs="Arial"/>
        </w:rPr>
        <w:t>iXBRL</w:t>
      </w:r>
      <w:proofErr w:type="spellEnd"/>
      <w:r w:rsidRPr="00657B6A">
        <w:rPr>
          <w:rFonts w:ascii="Arial" w:hAnsi="Arial" w:cs="Arial"/>
        </w:rPr>
        <w:t xml:space="preserve"> permite a las </w:t>
      </w:r>
      <w:hyperlink r:id="rId15" w:history="1">
        <w:r w:rsidRPr="00657B6A">
          <w:rPr>
            <w:rStyle w:val="Hipervnculo"/>
            <w:rFonts w:ascii="Arial" w:hAnsi="Arial" w:cs="Arial"/>
            <w:b/>
            <w:bCs/>
          </w:rPr>
          <w:t xml:space="preserve">empresas contar su historia </w:t>
        </w:r>
        <w:r w:rsidRPr="00657B6A">
          <w:rPr>
            <w:rStyle w:val="Hipervnculo"/>
            <w:rFonts w:ascii="Arial" w:hAnsi="Arial" w:cs="Arial"/>
            <w:b/>
            <w:bCs/>
          </w:rPr>
          <w:lastRenderedPageBreak/>
          <w:t>financiera</w:t>
        </w:r>
      </w:hyperlink>
      <w:r w:rsidRPr="00657B6A">
        <w:rPr>
          <w:rFonts w:ascii="Arial" w:hAnsi="Arial" w:cs="Arial"/>
        </w:rPr>
        <w:t> directamente al público, utilizando etiquetas consistentes que permiten a la audiencia comprender y comparar directamente la información financiera.</w:t>
      </w:r>
    </w:p>
    <w:p w:rsidR="00657B6A" w:rsidRPr="00657B6A" w:rsidRDefault="00657B6A" w:rsidP="00657B6A">
      <w:pPr>
        <w:jc w:val="both"/>
        <w:rPr>
          <w:rFonts w:ascii="Arial" w:hAnsi="Arial" w:cs="Arial"/>
        </w:rPr>
      </w:pPr>
      <w:r w:rsidRPr="00657B6A">
        <w:rPr>
          <w:rFonts w:ascii="Arial" w:hAnsi="Arial" w:cs="Arial"/>
        </w:rPr>
        <w:t xml:space="preserve">Finalmente, </w:t>
      </w:r>
      <w:proofErr w:type="spellStart"/>
      <w:r w:rsidRPr="00657B6A">
        <w:rPr>
          <w:rFonts w:ascii="Arial" w:hAnsi="Arial" w:cs="Arial"/>
        </w:rPr>
        <w:t>iXBRL</w:t>
      </w:r>
      <w:proofErr w:type="spellEnd"/>
      <w:r w:rsidRPr="00657B6A">
        <w:rPr>
          <w:rFonts w:ascii="Arial" w:hAnsi="Arial" w:cs="Arial"/>
        </w:rPr>
        <w:t xml:space="preserve"> toma todos esos beneficios de XBRL y los resume con la simplicidad y eficiencia de crear y archivar un solo documento. Antes de </w:t>
      </w:r>
      <w:proofErr w:type="spellStart"/>
      <w:r w:rsidRPr="00657B6A">
        <w:rPr>
          <w:rFonts w:ascii="Arial" w:hAnsi="Arial" w:cs="Arial"/>
        </w:rPr>
        <w:t>Inline</w:t>
      </w:r>
      <w:proofErr w:type="spellEnd"/>
      <w:r w:rsidRPr="00657B6A">
        <w:rPr>
          <w:rFonts w:ascii="Arial" w:hAnsi="Arial" w:cs="Arial"/>
        </w:rPr>
        <w:t xml:space="preserve"> XBRL, los archivadores creaban su documento PDF o HTML tradicional y luego creaban un documento XBRL separado.</w:t>
      </w:r>
    </w:p>
    <w:p w:rsidR="00657B6A" w:rsidRPr="00657B6A" w:rsidRDefault="00657B6A" w:rsidP="00657B6A">
      <w:pPr>
        <w:jc w:val="both"/>
        <w:rPr>
          <w:rFonts w:ascii="Arial" w:hAnsi="Arial" w:cs="Arial"/>
        </w:rPr>
      </w:pPr>
      <w:r w:rsidRPr="00657B6A">
        <w:rPr>
          <w:rFonts w:ascii="Arial" w:hAnsi="Arial" w:cs="Arial"/>
        </w:rPr>
        <w:t> </w:t>
      </w:r>
    </w:p>
    <w:p w:rsidR="00353F3F" w:rsidRPr="00353F3F" w:rsidRDefault="00353F3F" w:rsidP="00353F3F">
      <w:pPr>
        <w:jc w:val="both"/>
        <w:rPr>
          <w:rFonts w:ascii="Arial" w:hAnsi="Arial" w:cs="Arial"/>
        </w:rPr>
      </w:pPr>
      <w:r w:rsidRPr="00353F3F">
        <w:rPr>
          <w:rFonts w:ascii="Arial" w:hAnsi="Arial" w:cs="Arial"/>
          <w:b/>
          <w:bCs/>
        </w:rPr>
        <w:t xml:space="preserve">Una breve historia de </w:t>
      </w:r>
      <w:proofErr w:type="spellStart"/>
      <w:r w:rsidRPr="00353F3F">
        <w:rPr>
          <w:rFonts w:ascii="Arial" w:hAnsi="Arial" w:cs="Arial"/>
          <w:b/>
          <w:bCs/>
        </w:rPr>
        <w:t>iXBRL</w:t>
      </w:r>
      <w:proofErr w:type="spellEnd"/>
    </w:p>
    <w:p w:rsidR="00353F3F" w:rsidRPr="00353F3F" w:rsidRDefault="00353F3F" w:rsidP="00353F3F">
      <w:pPr>
        <w:jc w:val="both"/>
        <w:rPr>
          <w:rFonts w:ascii="Arial" w:hAnsi="Arial" w:cs="Arial"/>
        </w:rPr>
      </w:pPr>
      <w:r w:rsidRPr="00353F3F">
        <w:rPr>
          <w:rFonts w:ascii="Arial" w:hAnsi="Arial" w:cs="Arial"/>
        </w:rPr>
        <w:t xml:space="preserve">La historia de </w:t>
      </w:r>
      <w:proofErr w:type="spellStart"/>
      <w:r w:rsidRPr="00353F3F">
        <w:rPr>
          <w:rFonts w:ascii="Arial" w:hAnsi="Arial" w:cs="Arial"/>
        </w:rPr>
        <w:t>iXBRL</w:t>
      </w:r>
      <w:proofErr w:type="spellEnd"/>
      <w:r w:rsidRPr="00353F3F">
        <w:rPr>
          <w:rFonts w:ascii="Arial" w:hAnsi="Arial" w:cs="Arial"/>
        </w:rPr>
        <w:t xml:space="preserve"> en realidad se remonta a la Gran Depresión. En respuesta a la caída del mercado de valores de 1929, la SEC redactó la </w:t>
      </w:r>
      <w:hyperlink r:id="rId16" w:history="1">
        <w:r w:rsidRPr="00353F3F">
          <w:rPr>
            <w:rStyle w:val="Hipervnculo"/>
            <w:rFonts w:ascii="Arial" w:hAnsi="Arial" w:cs="Arial"/>
            <w:b/>
            <w:bCs/>
          </w:rPr>
          <w:t>Ley de Bolsa de Valores de 1934</w:t>
        </w:r>
      </w:hyperlink>
      <w:r w:rsidRPr="00353F3F">
        <w:rPr>
          <w:rFonts w:ascii="Arial" w:hAnsi="Arial" w:cs="Arial"/>
        </w:rPr>
        <w:t> . La ley se centró en crear una mayor transparencia y responsabilidad al exigir a las empresas que cotizan en bolsa que hagan pública cierta información financiera. Hoy, toda esa información está disponible digitalmente para el público a través del sistema EDGAR.</w:t>
      </w:r>
    </w:p>
    <w:p w:rsidR="00353F3F" w:rsidRPr="00353F3F" w:rsidRDefault="00353F3F" w:rsidP="00353F3F">
      <w:pPr>
        <w:jc w:val="both"/>
        <w:rPr>
          <w:rFonts w:ascii="Arial" w:hAnsi="Arial" w:cs="Arial"/>
        </w:rPr>
      </w:pPr>
      <w:r w:rsidRPr="00353F3F">
        <w:rPr>
          <w:rFonts w:ascii="Arial" w:hAnsi="Arial" w:cs="Arial"/>
        </w:rPr>
        <w:t xml:space="preserve">El </w:t>
      </w:r>
      <w:proofErr w:type="spellStart"/>
      <w:r w:rsidRPr="00353F3F">
        <w:rPr>
          <w:rFonts w:ascii="Arial" w:hAnsi="Arial" w:cs="Arial"/>
        </w:rPr>
        <w:t>eXtensible</w:t>
      </w:r>
      <w:proofErr w:type="spellEnd"/>
      <w:r w:rsidRPr="00353F3F">
        <w:rPr>
          <w:rFonts w:ascii="Arial" w:hAnsi="Arial" w:cs="Arial"/>
        </w:rPr>
        <w:t xml:space="preserve"> Business </w:t>
      </w:r>
      <w:proofErr w:type="spellStart"/>
      <w:r w:rsidRPr="00353F3F">
        <w:rPr>
          <w:rFonts w:ascii="Arial" w:hAnsi="Arial" w:cs="Arial"/>
        </w:rPr>
        <w:t>Reporting</w:t>
      </w:r>
      <w:proofErr w:type="spellEnd"/>
      <w:r w:rsidRPr="00353F3F">
        <w:rPr>
          <w:rFonts w:ascii="Arial" w:hAnsi="Arial" w:cs="Arial"/>
        </w:rPr>
        <w:t xml:space="preserve"> </w:t>
      </w:r>
      <w:proofErr w:type="spellStart"/>
      <w:r w:rsidRPr="00353F3F">
        <w:rPr>
          <w:rFonts w:ascii="Arial" w:hAnsi="Arial" w:cs="Arial"/>
        </w:rPr>
        <w:t>Language</w:t>
      </w:r>
      <w:proofErr w:type="spellEnd"/>
      <w:r w:rsidRPr="00353F3F">
        <w:rPr>
          <w:rFonts w:ascii="Arial" w:hAnsi="Arial" w:cs="Arial"/>
        </w:rPr>
        <w:t xml:space="preserve"> (XBRL) se creó en 1998. En 2005, la SEC comenzó a aceptar presentaciones voluntarias de XBRL y, desde 2009, la SEC solicitó que todos los informes financieros periódicos e intermedios se presenten utilizando el formato XBRL. A partir de una década más tarde, en 2018, la SEC comenzó a introducir gradualmente los requisitos para que las presentaciones se presenten en </w:t>
      </w:r>
      <w:proofErr w:type="spellStart"/>
      <w:r w:rsidRPr="00353F3F">
        <w:rPr>
          <w:rFonts w:ascii="Arial" w:hAnsi="Arial" w:cs="Arial"/>
        </w:rPr>
        <w:t>iXBRL</w:t>
      </w:r>
      <w:proofErr w:type="spellEnd"/>
      <w:r w:rsidRPr="00353F3F">
        <w:rPr>
          <w:rFonts w:ascii="Arial" w:hAnsi="Arial" w:cs="Arial"/>
        </w:rPr>
        <w:t xml:space="preserve">. A partir del 15 de junio de 2021, todos los contribuyentes US-GAAP e IFRS ahora deben presentar tanto su Formulario 10-K anual como el Formulario 10-Q trimestral en formato </w:t>
      </w:r>
      <w:proofErr w:type="spellStart"/>
      <w:r w:rsidRPr="00353F3F">
        <w:rPr>
          <w:rFonts w:ascii="Arial" w:hAnsi="Arial" w:cs="Arial"/>
        </w:rPr>
        <w:t>iXBRL</w:t>
      </w:r>
      <w:proofErr w:type="spellEnd"/>
      <w:r w:rsidRPr="00353F3F">
        <w:rPr>
          <w:rFonts w:ascii="Arial" w:hAnsi="Arial" w:cs="Arial"/>
        </w:rPr>
        <w:t>.</w:t>
      </w:r>
    </w:p>
    <w:p w:rsidR="00353F3F" w:rsidRPr="00353F3F" w:rsidRDefault="00353F3F" w:rsidP="00353F3F">
      <w:pPr>
        <w:jc w:val="both"/>
        <w:rPr>
          <w:rFonts w:ascii="Arial" w:hAnsi="Arial" w:cs="Arial"/>
        </w:rPr>
      </w:pPr>
      <w:r w:rsidRPr="00353F3F">
        <w:rPr>
          <w:rFonts w:ascii="Arial" w:hAnsi="Arial" w:cs="Arial"/>
        </w:rPr>
        <w:t xml:space="preserve">La UE y otros mercados globales han comenzado a seguir una trayectoria similar hacia la obligatoriedad de la presentación en formato </w:t>
      </w:r>
      <w:proofErr w:type="spellStart"/>
      <w:r w:rsidRPr="00353F3F">
        <w:rPr>
          <w:rFonts w:ascii="Arial" w:hAnsi="Arial" w:cs="Arial"/>
        </w:rPr>
        <w:t>iXBRL</w:t>
      </w:r>
      <w:proofErr w:type="spellEnd"/>
      <w:r w:rsidRPr="00353F3F">
        <w:rPr>
          <w:rFonts w:ascii="Arial" w:hAnsi="Arial" w:cs="Arial"/>
        </w:rPr>
        <w:t>.</w:t>
      </w:r>
    </w:p>
    <w:p w:rsidR="00353F3F" w:rsidRDefault="00353F3F" w:rsidP="00353F3F">
      <w:pPr>
        <w:jc w:val="both"/>
        <w:rPr>
          <w:rFonts w:ascii="Arial" w:hAnsi="Arial" w:cs="Arial"/>
          <w:b/>
          <w:bCs/>
        </w:rPr>
      </w:pPr>
    </w:p>
    <w:p w:rsidR="00353F3F" w:rsidRPr="00353F3F" w:rsidRDefault="00353F3F" w:rsidP="00353F3F">
      <w:pPr>
        <w:jc w:val="both"/>
        <w:rPr>
          <w:rFonts w:ascii="Arial" w:hAnsi="Arial" w:cs="Arial"/>
        </w:rPr>
      </w:pPr>
      <w:r w:rsidRPr="00353F3F">
        <w:rPr>
          <w:rFonts w:ascii="Arial" w:hAnsi="Arial" w:cs="Arial"/>
          <w:b/>
          <w:bCs/>
        </w:rPr>
        <w:t xml:space="preserve">¿Qué es el proceso de creación y archivo de </w:t>
      </w:r>
      <w:proofErr w:type="spellStart"/>
      <w:r w:rsidRPr="00353F3F">
        <w:rPr>
          <w:rFonts w:ascii="Arial" w:hAnsi="Arial" w:cs="Arial"/>
          <w:b/>
          <w:bCs/>
        </w:rPr>
        <w:t>iXBRL</w:t>
      </w:r>
      <w:proofErr w:type="spellEnd"/>
      <w:r w:rsidRPr="00353F3F">
        <w:rPr>
          <w:rFonts w:ascii="Arial" w:hAnsi="Arial" w:cs="Arial"/>
          <w:b/>
          <w:bCs/>
        </w:rPr>
        <w:t>?</w:t>
      </w:r>
    </w:p>
    <w:p w:rsidR="00353F3F" w:rsidRPr="00353F3F" w:rsidRDefault="00353F3F" w:rsidP="00353F3F">
      <w:pPr>
        <w:jc w:val="both"/>
        <w:rPr>
          <w:rFonts w:ascii="Arial" w:hAnsi="Arial" w:cs="Arial"/>
        </w:rPr>
      </w:pPr>
      <w:r w:rsidRPr="00353F3F">
        <w:rPr>
          <w:rFonts w:ascii="Arial" w:hAnsi="Arial" w:cs="Arial"/>
        </w:rPr>
        <w:t xml:space="preserve">En los EE. UU., La mejor práctica ahora es hacer su etiquetado </w:t>
      </w:r>
      <w:proofErr w:type="spellStart"/>
      <w:r w:rsidRPr="00353F3F">
        <w:rPr>
          <w:rFonts w:ascii="Arial" w:hAnsi="Arial" w:cs="Arial"/>
        </w:rPr>
        <w:t>iXBRL</w:t>
      </w:r>
      <w:proofErr w:type="spellEnd"/>
      <w:r w:rsidRPr="00353F3F">
        <w:rPr>
          <w:rFonts w:ascii="Arial" w:hAnsi="Arial" w:cs="Arial"/>
        </w:rPr>
        <w:t xml:space="preserve"> junto con la redacción o creación de sus estados financieros, realmente en línea, en lugar de como un proceso posterior a la redacción por separado. Esto incluye el </w:t>
      </w:r>
      <w:hyperlink r:id="rId17" w:history="1">
        <w:r w:rsidRPr="00353F3F">
          <w:rPr>
            <w:rStyle w:val="Hipervnculo"/>
            <w:rFonts w:ascii="Arial" w:hAnsi="Arial" w:cs="Arial"/>
            <w:b/>
            <w:bCs/>
          </w:rPr>
          <w:t>formulario</w:t>
        </w:r>
      </w:hyperlink>
      <w:r w:rsidRPr="00353F3F">
        <w:rPr>
          <w:rFonts w:ascii="Arial" w:hAnsi="Arial" w:cs="Arial"/>
        </w:rPr>
        <w:t> anual </w:t>
      </w:r>
      <w:hyperlink r:id="rId18" w:history="1">
        <w:r w:rsidRPr="00353F3F">
          <w:rPr>
            <w:rStyle w:val="Hipervnculo"/>
            <w:rFonts w:ascii="Arial" w:hAnsi="Arial" w:cs="Arial"/>
            <w:b/>
            <w:bCs/>
          </w:rPr>
          <w:t>10-K</w:t>
        </w:r>
      </w:hyperlink>
      <w:r w:rsidRPr="00353F3F">
        <w:rPr>
          <w:rFonts w:ascii="Arial" w:hAnsi="Arial" w:cs="Arial"/>
        </w:rPr>
        <w:t> , todos los </w:t>
      </w:r>
      <w:hyperlink r:id="rId19" w:history="1">
        <w:r w:rsidRPr="00353F3F">
          <w:rPr>
            <w:rStyle w:val="Hipervnculo"/>
            <w:rFonts w:ascii="Arial" w:hAnsi="Arial" w:cs="Arial"/>
            <w:b/>
            <w:bCs/>
          </w:rPr>
          <w:t>formularios </w:t>
        </w:r>
      </w:hyperlink>
      <w:hyperlink r:id="rId20" w:history="1">
        <w:r w:rsidRPr="00353F3F">
          <w:rPr>
            <w:rStyle w:val="Hipervnculo"/>
            <w:rFonts w:ascii="Arial" w:hAnsi="Arial" w:cs="Arial"/>
            <w:b/>
            <w:bCs/>
          </w:rPr>
          <w:t>10-Q</w:t>
        </w:r>
      </w:hyperlink>
      <w:r w:rsidRPr="00353F3F">
        <w:rPr>
          <w:rFonts w:ascii="Arial" w:hAnsi="Arial" w:cs="Arial"/>
        </w:rPr>
        <w:t> trimestrales, así como cualquier </w:t>
      </w:r>
      <w:hyperlink r:id="rId21" w:history="1">
        <w:r w:rsidRPr="00353F3F">
          <w:rPr>
            <w:rStyle w:val="Hipervnculo"/>
            <w:rFonts w:ascii="Arial" w:hAnsi="Arial" w:cs="Arial"/>
            <w:b/>
            <w:bCs/>
          </w:rPr>
          <w:t>formulario 8-K</w:t>
        </w:r>
      </w:hyperlink>
      <w:r w:rsidRPr="00353F3F">
        <w:rPr>
          <w:rFonts w:ascii="Arial" w:hAnsi="Arial" w:cs="Arial"/>
        </w:rPr>
        <w:t> provisional.</w:t>
      </w:r>
    </w:p>
    <w:p w:rsidR="00353F3F" w:rsidRPr="00353F3F" w:rsidRDefault="00353F3F" w:rsidP="00353F3F">
      <w:pPr>
        <w:jc w:val="both"/>
        <w:rPr>
          <w:rFonts w:ascii="Arial" w:hAnsi="Arial" w:cs="Arial"/>
        </w:rPr>
      </w:pPr>
      <w:r w:rsidRPr="00353F3F">
        <w:rPr>
          <w:rFonts w:ascii="Arial" w:hAnsi="Arial" w:cs="Arial"/>
        </w:rPr>
        <w:t> </w:t>
      </w:r>
    </w:p>
    <w:p w:rsidR="00353F3F" w:rsidRPr="00353F3F" w:rsidRDefault="00353F3F" w:rsidP="00353F3F">
      <w:pPr>
        <w:jc w:val="both"/>
        <w:rPr>
          <w:rFonts w:ascii="Arial" w:hAnsi="Arial" w:cs="Arial"/>
        </w:rPr>
      </w:pPr>
      <w:r w:rsidRPr="00353F3F">
        <w:rPr>
          <w:rFonts w:ascii="Arial" w:hAnsi="Arial" w:cs="Arial"/>
          <w:b/>
          <w:bCs/>
        </w:rPr>
        <w:t>¿Cómo se seleccionan las etiquetas XBRL?</w:t>
      </w:r>
    </w:p>
    <w:p w:rsidR="00657B6A" w:rsidRPr="00657B6A" w:rsidRDefault="00353F3F" w:rsidP="00657B6A">
      <w:pPr>
        <w:jc w:val="both"/>
        <w:rPr>
          <w:rFonts w:ascii="Arial" w:hAnsi="Arial" w:cs="Arial"/>
        </w:rPr>
      </w:pPr>
      <w:r w:rsidRPr="00353F3F">
        <w:rPr>
          <w:rFonts w:ascii="Arial" w:hAnsi="Arial" w:cs="Arial"/>
        </w:rPr>
        <w:t>Hay dos estándares principales, o taxonomías, para el etiquetado XBRL. La </w:t>
      </w:r>
      <w:hyperlink r:id="rId22" w:history="1">
        <w:r w:rsidRPr="00353F3F">
          <w:rPr>
            <w:rStyle w:val="Hipervnculo"/>
            <w:rFonts w:ascii="Arial" w:hAnsi="Arial" w:cs="Arial"/>
            <w:b/>
            <w:bCs/>
          </w:rPr>
          <w:t>taxonomía US-GAAP (Principios de contabilidad generalmente aceptados)</w:t>
        </w:r>
      </w:hyperlink>
      <w:r w:rsidRPr="00353F3F">
        <w:rPr>
          <w:rFonts w:ascii="Arial" w:hAnsi="Arial" w:cs="Arial"/>
        </w:rPr>
        <w:t> es utilizada principalmente por contribuyentes nacionales en los EE. UU., Mientras que los </w:t>
      </w:r>
      <w:hyperlink r:id="rId23" w:history="1">
        <w:r w:rsidRPr="00353F3F">
          <w:rPr>
            <w:rStyle w:val="Hipervnculo"/>
            <w:rFonts w:ascii="Arial" w:hAnsi="Arial" w:cs="Arial"/>
            <w:b/>
            <w:bCs/>
          </w:rPr>
          <w:t>contribuyentes internacionales</w:t>
        </w:r>
      </w:hyperlink>
      <w:r w:rsidRPr="00353F3F">
        <w:rPr>
          <w:rFonts w:ascii="Arial" w:hAnsi="Arial" w:cs="Arial"/>
        </w:rPr>
        <w:t> utilizan la </w:t>
      </w:r>
      <w:hyperlink r:id="rId24" w:history="1">
        <w:r w:rsidRPr="00353F3F">
          <w:rPr>
            <w:rStyle w:val="Hipervnculo"/>
            <w:rFonts w:ascii="Arial" w:hAnsi="Arial" w:cs="Arial"/>
            <w:b/>
            <w:bCs/>
          </w:rPr>
          <w:t>taxonomía IFRS (Normas internacionales de información financiera)</w:t>
        </w:r>
      </w:hyperlink>
      <w:r w:rsidRPr="00353F3F">
        <w:rPr>
          <w:rFonts w:ascii="Arial" w:hAnsi="Arial" w:cs="Arial"/>
        </w:rPr>
        <w:t xml:space="preserve"> en los EE. UU., La UE y otros mercados con requisitos </w:t>
      </w:r>
      <w:proofErr w:type="spellStart"/>
      <w:r w:rsidRPr="00353F3F">
        <w:rPr>
          <w:rFonts w:ascii="Arial" w:hAnsi="Arial" w:cs="Arial"/>
        </w:rPr>
        <w:t>iXBRL</w:t>
      </w:r>
      <w:proofErr w:type="spellEnd"/>
      <w:r w:rsidRPr="00353F3F">
        <w:rPr>
          <w:rFonts w:ascii="Arial" w:hAnsi="Arial" w:cs="Arial"/>
        </w:rPr>
        <w:t>. Ambas taxonomías sirven como guías ampliamente aceptadas que codifican los principios de etiquetado XBRL para garantizar la coherencia y precisión en el etiquetado.</w:t>
      </w:r>
    </w:p>
    <w:p w:rsidR="00657B6A" w:rsidRPr="00657B6A" w:rsidRDefault="00657B6A" w:rsidP="00657B6A">
      <w:pPr>
        <w:jc w:val="both"/>
        <w:rPr>
          <w:rFonts w:ascii="Arial" w:hAnsi="Arial" w:cs="Arial"/>
        </w:rPr>
      </w:pPr>
    </w:p>
    <w:sectPr w:rsidR="00657B6A" w:rsidRPr="00657B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661"/>
    <w:multiLevelType w:val="multilevel"/>
    <w:tmpl w:val="BD52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A"/>
    <w:rsid w:val="000F4B68"/>
    <w:rsid w:val="001739B4"/>
    <w:rsid w:val="00353F3F"/>
    <w:rsid w:val="003B63A5"/>
    <w:rsid w:val="00657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FE5F4-176F-498B-AB64-67D30535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7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13601">
      <w:bodyDiv w:val="1"/>
      <w:marLeft w:val="0"/>
      <w:marRight w:val="0"/>
      <w:marTop w:val="0"/>
      <w:marBottom w:val="0"/>
      <w:divBdr>
        <w:top w:val="none" w:sz="0" w:space="0" w:color="auto"/>
        <w:left w:val="none" w:sz="0" w:space="0" w:color="auto"/>
        <w:bottom w:val="none" w:sz="0" w:space="0" w:color="auto"/>
        <w:right w:val="none" w:sz="0" w:space="0" w:color="auto"/>
      </w:divBdr>
    </w:div>
    <w:div w:id="1026832768">
      <w:bodyDiv w:val="1"/>
      <w:marLeft w:val="0"/>
      <w:marRight w:val="0"/>
      <w:marTop w:val="0"/>
      <w:marBottom w:val="0"/>
      <w:divBdr>
        <w:top w:val="none" w:sz="0" w:space="0" w:color="auto"/>
        <w:left w:val="none" w:sz="0" w:space="0" w:color="auto"/>
        <w:bottom w:val="none" w:sz="0" w:space="0" w:color="auto"/>
        <w:right w:val="none" w:sz="0" w:space="0" w:color="auto"/>
      </w:divBdr>
      <w:divsChild>
        <w:div w:id="1419668339">
          <w:marLeft w:val="0"/>
          <w:marRight w:val="0"/>
          <w:marTop w:val="0"/>
          <w:marBottom w:val="0"/>
          <w:divBdr>
            <w:top w:val="none" w:sz="0" w:space="0" w:color="auto"/>
            <w:left w:val="none" w:sz="0" w:space="0" w:color="auto"/>
            <w:bottom w:val="none" w:sz="0" w:space="0" w:color="auto"/>
            <w:right w:val="none" w:sz="0" w:space="0" w:color="auto"/>
          </w:divBdr>
        </w:div>
        <w:div w:id="861282598">
          <w:marLeft w:val="0"/>
          <w:marRight w:val="0"/>
          <w:marTop w:val="0"/>
          <w:marBottom w:val="0"/>
          <w:divBdr>
            <w:top w:val="none" w:sz="0" w:space="0" w:color="auto"/>
            <w:left w:val="none" w:sz="0" w:space="0" w:color="auto"/>
            <w:bottom w:val="none" w:sz="0" w:space="0" w:color="auto"/>
            <w:right w:val="none" w:sz="0" w:space="0" w:color="auto"/>
          </w:divBdr>
        </w:div>
      </w:divsChild>
    </w:div>
    <w:div w:id="1048721408">
      <w:bodyDiv w:val="1"/>
      <w:marLeft w:val="0"/>
      <w:marRight w:val="0"/>
      <w:marTop w:val="0"/>
      <w:marBottom w:val="0"/>
      <w:divBdr>
        <w:top w:val="none" w:sz="0" w:space="0" w:color="auto"/>
        <w:left w:val="none" w:sz="0" w:space="0" w:color="auto"/>
        <w:bottom w:val="none" w:sz="0" w:space="0" w:color="auto"/>
        <w:right w:val="none" w:sz="0" w:space="0" w:color="auto"/>
      </w:divBdr>
    </w:div>
    <w:div w:id="1057164295">
      <w:bodyDiv w:val="1"/>
      <w:marLeft w:val="0"/>
      <w:marRight w:val="0"/>
      <w:marTop w:val="0"/>
      <w:marBottom w:val="0"/>
      <w:divBdr>
        <w:top w:val="none" w:sz="0" w:space="0" w:color="auto"/>
        <w:left w:val="none" w:sz="0" w:space="0" w:color="auto"/>
        <w:bottom w:val="none" w:sz="0" w:space="0" w:color="auto"/>
        <w:right w:val="none" w:sz="0" w:space="0" w:color="auto"/>
      </w:divBdr>
    </w:div>
    <w:div w:id="1215190363">
      <w:bodyDiv w:val="1"/>
      <w:marLeft w:val="0"/>
      <w:marRight w:val="0"/>
      <w:marTop w:val="0"/>
      <w:marBottom w:val="0"/>
      <w:divBdr>
        <w:top w:val="none" w:sz="0" w:space="0" w:color="auto"/>
        <w:left w:val="none" w:sz="0" w:space="0" w:color="auto"/>
        <w:bottom w:val="none" w:sz="0" w:space="0" w:color="auto"/>
        <w:right w:val="none" w:sz="0" w:space="0" w:color="auto"/>
      </w:divBdr>
    </w:div>
    <w:div w:id="20470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anmerrill.com/regulatory-disclosure-for-corporations/periodic-interim-reporting-for-corporations/ixbrl-and-edgar-for-us-gaap-ifrs-filers/" TargetMode="External"/><Relationship Id="rId13" Type="http://schemas.openxmlformats.org/officeDocument/2006/relationships/hyperlink" Target="https://blog.toppanmerrill.com/insights-blog-all/xbrl-quality-gives-your-company-a-competitive-advantage-0" TargetMode="External"/><Relationship Id="rId18" Type="http://schemas.openxmlformats.org/officeDocument/2006/relationships/hyperlink" Target="https://www.toppanmerrill.com/glossary/form-10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oppanmerrill.com/glossary/form-8k/" TargetMode="External"/><Relationship Id="rId7" Type="http://schemas.openxmlformats.org/officeDocument/2006/relationships/hyperlink" Target="https://www.toppanmerrill.com/sec-edgar-resources/" TargetMode="External"/><Relationship Id="rId12" Type="http://schemas.openxmlformats.org/officeDocument/2006/relationships/hyperlink" Target="https://www.toppanmerrill.com/glossary/edgar/" TargetMode="External"/><Relationship Id="rId17" Type="http://schemas.openxmlformats.org/officeDocument/2006/relationships/hyperlink" Target="https://www.toppanmerrill.com/glossary/form-10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panmerrill.com/glossary/securities-exchange-act-of-1934/" TargetMode="External"/><Relationship Id="rId20" Type="http://schemas.openxmlformats.org/officeDocument/2006/relationships/hyperlink" Target="https://www.toppanmerrill.com/glossary/form-10q/" TargetMode="External"/><Relationship Id="rId1" Type="http://schemas.openxmlformats.org/officeDocument/2006/relationships/numbering" Target="numbering.xml"/><Relationship Id="rId6" Type="http://schemas.openxmlformats.org/officeDocument/2006/relationships/hyperlink" Target="https://www.toppanmerrill.com/glossary/ixbrl/" TargetMode="External"/><Relationship Id="rId11" Type="http://schemas.openxmlformats.org/officeDocument/2006/relationships/hyperlink" Target="https://www.toppanmerrill.com/glossary/european-single-electronic-format-esef-mandate/" TargetMode="External"/><Relationship Id="rId24" Type="http://schemas.openxmlformats.org/officeDocument/2006/relationships/hyperlink" Target="https://www.toppanmerrill.com/glossary/ifrs/" TargetMode="External"/><Relationship Id="rId5" Type="http://schemas.openxmlformats.org/officeDocument/2006/relationships/image" Target="media/image1.jpeg"/><Relationship Id="rId15" Type="http://schemas.openxmlformats.org/officeDocument/2006/relationships/hyperlink" Target="https://blog.toppanmerrill.com/insights-blog-all/will-your-xbrl-tell-your-company-story-the-way-you-intended" TargetMode="External"/><Relationship Id="rId23" Type="http://schemas.openxmlformats.org/officeDocument/2006/relationships/hyperlink" Target="https://www.toppanmerrill.com/glossary/ifrs/" TargetMode="External"/><Relationship Id="rId10" Type="http://schemas.openxmlformats.org/officeDocument/2006/relationships/hyperlink" Target="https://www.toppanmerrill.com/glossary/european-standards-market-authority-esma/" TargetMode="External"/><Relationship Id="rId19" Type="http://schemas.openxmlformats.org/officeDocument/2006/relationships/hyperlink" Target="https://www.toppanmerrill.com/glossary/form-10k/" TargetMode="External"/><Relationship Id="rId4" Type="http://schemas.openxmlformats.org/officeDocument/2006/relationships/webSettings" Target="webSettings.xml"/><Relationship Id="rId9" Type="http://schemas.openxmlformats.org/officeDocument/2006/relationships/hyperlink" Target="https://www.toppanmerrill.com/glossary/european-standards-market-authority-esma/" TargetMode="External"/><Relationship Id="rId14" Type="http://schemas.openxmlformats.org/officeDocument/2006/relationships/hyperlink" Target="https://www.toppanmerrill.com/glossary/xbrl/" TargetMode="External"/><Relationship Id="rId22" Type="http://schemas.openxmlformats.org/officeDocument/2006/relationships/hyperlink" Target="https://www.toppanmerrill.com/glossary/us-gaap-taxonom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3</Pages>
  <Words>1323</Words>
  <Characters>7281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2021-10-19T22:31:00Z</dcterms:created>
  <dcterms:modified xsi:type="dcterms:W3CDTF">2021-10-20T05:07:00Z</dcterms:modified>
</cp:coreProperties>
</file>