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67EEE" w14:textId="70198F3C" w:rsidR="00146C42" w:rsidRPr="00BA7AA7" w:rsidRDefault="00146C42" w:rsidP="00146C42">
      <w:pPr>
        <w:rPr>
          <w:sz w:val="24"/>
          <w:szCs w:val="24"/>
        </w:rPr>
      </w:pPr>
      <w:r w:rsidRPr="00BA7AA7">
        <w:rPr>
          <w:sz w:val="24"/>
          <w:szCs w:val="24"/>
        </w:rPr>
        <w:t>El banco central de China publica un plan Fintech de tres años</w:t>
      </w:r>
    </w:p>
    <w:p w14:paraId="3E5A6B0C" w14:textId="19B38AA0" w:rsidR="00146C42" w:rsidRPr="00146C42" w:rsidRDefault="00146C42" w:rsidP="00146C42">
      <w:r w:rsidRPr="00146C42">
        <w:t>Publicado el enero 14, 2022 por Editor</w:t>
      </w:r>
    </w:p>
    <w:p w14:paraId="70E72B75" w14:textId="54890C6A" w:rsidR="00146C42" w:rsidRPr="00146C42" w:rsidRDefault="00840485" w:rsidP="00146C42">
      <w:r>
        <w:rPr>
          <w:noProof/>
        </w:rPr>
        <w:drawing>
          <wp:inline distT="0" distB="0" distL="0" distR="0" wp14:anchorId="4D601A40" wp14:editId="76F29D4A">
            <wp:extent cx="5905500" cy="44291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2F36B1" w14:textId="4AC24285" w:rsidR="00840485" w:rsidRPr="00840485" w:rsidRDefault="00840485" w:rsidP="00094745">
      <w:pPr>
        <w:jc w:val="both"/>
      </w:pPr>
      <w:r w:rsidRPr="00840485">
        <w:t xml:space="preserve">El Banco Popular de China (PBOC) ha publicado su Plan de Desarrollo Fintech para 2022-2025, que busca guiar el desarrollo de </w:t>
      </w:r>
      <w:r w:rsidR="00B471BA" w:rsidRPr="00840485">
        <w:t>Fintech</w:t>
      </w:r>
      <w:r w:rsidRPr="00840485">
        <w:t xml:space="preserve"> y la transformación digital de las finanzas. Pide </w:t>
      </w:r>
      <w:r w:rsidRPr="00840485">
        <w:rPr>
          <w:i/>
          <w:iCs/>
        </w:rPr>
        <w:t xml:space="preserve">"fortalecer la aplicación de los datos financieros como factor de producción, hacer que la profundización de las reformas estructurales del lado de la oferta financiera sea el objetivo y fortalecer la regulación </w:t>
      </w:r>
      <w:r w:rsidR="00094745" w:rsidRPr="00840485">
        <w:rPr>
          <w:i/>
          <w:iCs/>
        </w:rPr>
        <w:t>macro prudencial</w:t>
      </w:r>
      <w:r w:rsidRPr="00840485">
        <w:rPr>
          <w:i/>
          <w:iCs/>
        </w:rPr>
        <w:t xml:space="preserve"> </w:t>
      </w:r>
      <w:r w:rsidR="00094745" w:rsidRPr="00840485">
        <w:rPr>
          <w:i/>
          <w:iCs/>
        </w:rPr>
        <w:t>Fintech</w:t>
      </w:r>
      <w:r w:rsidRPr="00840485">
        <w:rPr>
          <w:i/>
          <w:iCs/>
        </w:rPr>
        <w:t>".</w:t>
      </w:r>
      <w:r w:rsidRPr="00840485">
        <w:t xml:space="preserve"> Entre las misiones de amplio alcance incluidas en el plan se encuentran el desarrollo de la capacidad de datos, el establecimiento de centros de datos verdes y la inversión en talento e innovación </w:t>
      </w:r>
      <w:r w:rsidR="00B471BA" w:rsidRPr="00840485">
        <w:t>Fintech</w:t>
      </w:r>
      <w:r w:rsidRPr="00840485">
        <w:t xml:space="preserve">, así como la aplicación integral de </w:t>
      </w:r>
      <w:r w:rsidR="00B471BA" w:rsidRPr="00840485">
        <w:t>Regtech</w:t>
      </w:r>
      <w:r w:rsidRPr="00840485">
        <w:t xml:space="preserve"> y el desarrollo de la capacidad regulatoria digital.</w:t>
      </w:r>
    </w:p>
    <w:p w14:paraId="0C52082F" w14:textId="77777777" w:rsidR="00840485" w:rsidRPr="00840485" w:rsidRDefault="00840485" w:rsidP="00840485">
      <w:r w:rsidRPr="00840485">
        <w:t>Lea más </w:t>
      </w:r>
      <w:hyperlink r:id="rId6" w:tgtFrame="_blank" w:history="1">
        <w:r w:rsidRPr="00840485">
          <w:rPr>
            <w:rStyle w:val="Hipervnculo"/>
          </w:rPr>
          <w:t>aquí.</w:t>
        </w:r>
      </w:hyperlink>
    </w:p>
    <w:p w14:paraId="4210AB7F" w14:textId="77777777" w:rsidR="00840485" w:rsidRPr="00840485" w:rsidRDefault="00BA7AA7" w:rsidP="00840485">
      <w:hyperlink r:id="rId7" w:history="1">
        <w:r w:rsidR="00840485" w:rsidRPr="00840485">
          <w:rPr>
            <w:rStyle w:val="Hipervnculo"/>
          </w:rPr>
          <w:t>CHINA</w:t>
        </w:r>
      </w:hyperlink>
      <w:r w:rsidR="00840485" w:rsidRPr="00840485">
        <w:t> </w:t>
      </w:r>
      <w:hyperlink r:id="rId8" w:history="1">
        <w:r w:rsidR="00840485" w:rsidRPr="00840485">
          <w:rPr>
            <w:rStyle w:val="Hipervnculo"/>
          </w:rPr>
          <w:t>DATA</w:t>
        </w:r>
      </w:hyperlink>
      <w:r w:rsidR="00840485" w:rsidRPr="00840485">
        <w:t> </w:t>
      </w:r>
      <w:hyperlink r:id="rId9" w:history="1">
        <w:r w:rsidR="00840485" w:rsidRPr="00840485">
          <w:rPr>
            <w:rStyle w:val="Hipervnculo"/>
          </w:rPr>
          <w:t>FINTECH</w:t>
        </w:r>
      </w:hyperlink>
      <w:r w:rsidR="00840485" w:rsidRPr="00840485">
        <w:t> </w:t>
      </w:r>
      <w:hyperlink r:id="rId10" w:history="1">
        <w:r w:rsidR="00840485" w:rsidRPr="00840485">
          <w:rPr>
            <w:rStyle w:val="Hipervnculo"/>
          </w:rPr>
          <w:t>PBOC</w:t>
        </w:r>
      </w:hyperlink>
      <w:r w:rsidR="00840485" w:rsidRPr="00840485">
        <w:t> </w:t>
      </w:r>
      <w:hyperlink r:id="rId11" w:history="1">
        <w:r w:rsidR="00840485" w:rsidRPr="00840485">
          <w:rPr>
            <w:rStyle w:val="Hipervnculo"/>
          </w:rPr>
          <w:t>REGTECH</w:t>
        </w:r>
      </w:hyperlink>
    </w:p>
    <w:p w14:paraId="4BAE93CC" w14:textId="77777777" w:rsidR="00094745" w:rsidRDefault="00094745" w:rsidP="00840485"/>
    <w:p w14:paraId="65E1F7EC" w14:textId="1F98D607" w:rsidR="00094745" w:rsidRDefault="00094745" w:rsidP="00840485"/>
    <w:p w14:paraId="45578D4E" w14:textId="4AD4BD1B" w:rsidR="00BA7AA7" w:rsidRDefault="00BA7AA7" w:rsidP="00840485"/>
    <w:p w14:paraId="5E67917E" w14:textId="77777777" w:rsidR="00BA7AA7" w:rsidRDefault="00BA7AA7" w:rsidP="00840485"/>
    <w:p w14:paraId="6AF01240" w14:textId="0368C88A" w:rsidR="00840485" w:rsidRDefault="00840485" w:rsidP="00840485">
      <w:r>
        <w:t>El Banco Central de China lanza el Plan de Desarrollo Fintech 2022 - 2025</w:t>
      </w:r>
    </w:p>
    <w:p w14:paraId="44A4177A" w14:textId="53AFA16C" w:rsidR="00BE2E98" w:rsidRDefault="00840485" w:rsidP="00840485">
      <w:r>
        <w:t>Por CBN</w:t>
      </w:r>
      <w:r w:rsidR="00B471BA">
        <w:t xml:space="preserve"> </w:t>
      </w:r>
      <w:r>
        <w:t>Editor -</w:t>
      </w:r>
      <w:r w:rsidR="00B471BA">
        <w:t xml:space="preserve"> </w:t>
      </w:r>
      <w:r>
        <w:t>enero 6, 2022</w:t>
      </w:r>
    </w:p>
    <w:p w14:paraId="1CB8075C" w14:textId="2C30939A" w:rsidR="00840485" w:rsidRDefault="00840485" w:rsidP="00840485">
      <w:r w:rsidRPr="00840485">
        <w:rPr>
          <w:noProof/>
        </w:rPr>
        <w:drawing>
          <wp:inline distT="0" distB="0" distL="0" distR="0" wp14:anchorId="5E9B4F50" wp14:editId="4E03FBDC">
            <wp:extent cx="5612130" cy="375666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3DA2D" w14:textId="74614DC0" w:rsidR="00DF5BA7" w:rsidRPr="00DF5BA7" w:rsidRDefault="00DF5BA7" w:rsidP="00094745">
      <w:pPr>
        <w:jc w:val="both"/>
      </w:pPr>
      <w:r w:rsidRPr="00DF5BA7">
        <w:t xml:space="preserve">El Banco Popular de China (PBOC) ha publicado una nueva política de orientación para el desarrollo del sector </w:t>
      </w:r>
      <w:r w:rsidR="00B471BA" w:rsidRPr="00DF5BA7">
        <w:t>Fintech</w:t>
      </w:r>
      <w:r w:rsidRPr="00DF5BA7">
        <w:t xml:space="preserve"> chino hasta mediados de la década.</w:t>
      </w:r>
    </w:p>
    <w:p w14:paraId="4865C04C" w14:textId="146FBC82" w:rsidR="00DF5BA7" w:rsidRPr="00DF5BA7" w:rsidRDefault="00DF5BA7" w:rsidP="00094745">
      <w:pPr>
        <w:jc w:val="both"/>
      </w:pPr>
      <w:r w:rsidRPr="00DF5BA7">
        <w:t>El PBOC emitió recientemente el "Plan de Desarrollo Fintech (2022 – 2025)" (</w:t>
      </w:r>
      <w:proofErr w:type="spellStart"/>
      <w:r w:rsidRPr="00DF5BA7">
        <w:rPr>
          <w:rFonts w:ascii="MS Gothic" w:eastAsia="MS Gothic" w:hAnsi="MS Gothic" w:cs="MS Gothic" w:hint="eastAsia"/>
        </w:rPr>
        <w:t>金融科技</w:t>
      </w:r>
      <w:r w:rsidRPr="00DF5BA7">
        <w:rPr>
          <w:rFonts w:ascii="Microsoft JhengHei" w:eastAsia="Microsoft JhengHei" w:hAnsi="Microsoft JhengHei" w:cs="Microsoft JhengHei" w:hint="eastAsia"/>
        </w:rPr>
        <w:t>发展规划</w:t>
      </w:r>
      <w:proofErr w:type="spellEnd"/>
      <w:r w:rsidRPr="00DF5BA7">
        <w:t>(2022-2025</w:t>
      </w:r>
      <w:r w:rsidRPr="00DF5BA7">
        <w:rPr>
          <w:rFonts w:ascii="MS Gothic" w:eastAsia="MS Gothic" w:hAnsi="MS Gothic" w:cs="MS Gothic" w:hint="eastAsia"/>
        </w:rPr>
        <w:t>年</w:t>
      </w:r>
      <w:r w:rsidRPr="00DF5BA7">
        <w:t xml:space="preserve">)), que "propone opiniones de orientación para el desarrollo de </w:t>
      </w:r>
      <w:r w:rsidR="00094745" w:rsidRPr="00DF5BA7">
        <w:t>Fintech</w:t>
      </w:r>
      <w:r w:rsidRPr="00DF5BA7">
        <w:t xml:space="preserve"> en una nueva era, y aclara el pensamiento general para la transformación digital de las finanzas, así como los objetivos de desarrollo, las misiones clave y las garantías de implementación".</w:t>
      </w:r>
    </w:p>
    <w:p w14:paraId="028EF62F" w14:textId="1C535BCC" w:rsidR="00DF5BA7" w:rsidRPr="00DF5BA7" w:rsidRDefault="00DF5BA7" w:rsidP="00094745">
      <w:pPr>
        <w:jc w:val="both"/>
      </w:pPr>
      <w:r w:rsidRPr="00DF5BA7">
        <w:t xml:space="preserve">El Plan destaca los principios de desarrollo de "impulsado digitalmente, sabiduría para las personas, verde y bajo en carbono, equidad e inclusión", al tiempo que pide "fortalecer la aplicación de datos financieros como factor de producción, hacer que las reformas estructurales del lado de la oferta financiera sean el objetivo y fortalecer la regulación </w:t>
      </w:r>
      <w:r w:rsidR="00094745" w:rsidRPr="00DF5BA7">
        <w:t>macro prudencial</w:t>
      </w:r>
      <w:r w:rsidRPr="00DF5BA7">
        <w:t xml:space="preserve"> </w:t>
      </w:r>
      <w:r w:rsidR="00B471BA" w:rsidRPr="00DF5BA7">
        <w:t>Fintech</w:t>
      </w:r>
      <w:r w:rsidRPr="00DF5BA7">
        <w:t>".</w:t>
      </w:r>
    </w:p>
    <w:p w14:paraId="418722FE" w14:textId="4E690CD5" w:rsidR="00DF5BA7" w:rsidRPr="00DF5BA7" w:rsidRDefault="00DF5BA7" w:rsidP="00B471BA">
      <w:pPr>
        <w:jc w:val="both"/>
      </w:pPr>
      <w:r w:rsidRPr="00DF5BA7">
        <w:t xml:space="preserve">PBOC propone misiones clave en ocho áreas en el nuevo plan </w:t>
      </w:r>
      <w:r w:rsidR="00B471BA" w:rsidRPr="00DF5BA7">
        <w:t>Fintech</w:t>
      </w:r>
      <w:r w:rsidRPr="00DF5BA7">
        <w:t>:</w:t>
      </w:r>
    </w:p>
    <w:p w14:paraId="785653C6" w14:textId="31747873" w:rsidR="00DF5BA7" w:rsidRPr="00DF5BA7" w:rsidRDefault="00DF5BA7" w:rsidP="00094745">
      <w:pPr>
        <w:numPr>
          <w:ilvl w:val="0"/>
          <w:numId w:val="1"/>
        </w:numPr>
        <w:spacing w:after="0"/>
        <w:jc w:val="both"/>
      </w:pPr>
      <w:r w:rsidRPr="00DF5BA7">
        <w:t xml:space="preserve">Fortalecer la regulación </w:t>
      </w:r>
      <w:r w:rsidR="00B471BA" w:rsidRPr="00DF5BA7">
        <w:t>Fintech</w:t>
      </w:r>
      <w:r w:rsidRPr="00DF5BA7">
        <w:t xml:space="preserve">, forjar de manera integral la capacidad digital, mejorar la participación </w:t>
      </w:r>
      <w:proofErr w:type="spellStart"/>
      <w:r w:rsidRPr="00DF5BA7">
        <w:t>multipartita</w:t>
      </w:r>
      <w:proofErr w:type="spellEnd"/>
      <w:r w:rsidRPr="00DF5BA7">
        <w:t>, establecer un ecosistema digital de progreso conjunto.</w:t>
      </w:r>
    </w:p>
    <w:p w14:paraId="22D8BA2F" w14:textId="77777777" w:rsidR="00DF5BA7" w:rsidRPr="00DF5BA7" w:rsidRDefault="00DF5BA7" w:rsidP="00094745">
      <w:pPr>
        <w:numPr>
          <w:ilvl w:val="0"/>
          <w:numId w:val="1"/>
        </w:numPr>
        <w:spacing w:after="0"/>
        <w:jc w:val="both"/>
      </w:pPr>
      <w:r w:rsidRPr="00DF5BA7">
        <w:t xml:space="preserve">Fortalecer de manera integral el desarrollo de la capacidad de datos, impulsando el intercambio ordenado y la aplicación integral de datos bajo las condiciones previas de las protecciones de seguridad y privacidad; revitalizar plenamente el potencial de los datos </w:t>
      </w:r>
      <w:r w:rsidRPr="00DF5BA7">
        <w:lastRenderedPageBreak/>
        <w:t>como factor de producción; elevar vigorosamente la calidad y la eficiencia de los servicios financieros.</w:t>
      </w:r>
    </w:p>
    <w:p w14:paraId="6F6B5C3C" w14:textId="77777777" w:rsidR="00DF5BA7" w:rsidRPr="00DF5BA7" w:rsidRDefault="00DF5BA7" w:rsidP="00094745">
      <w:pPr>
        <w:numPr>
          <w:ilvl w:val="0"/>
          <w:numId w:val="1"/>
        </w:numPr>
        <w:spacing w:after="0"/>
        <w:jc w:val="both"/>
      </w:pPr>
      <w:r w:rsidRPr="00DF5BA7">
        <w:t>Establecer centros de datos ecológicos, establecer redes financieras totalmente seguras, solidificar aún más las bases para el desarrollo innovador de las finanzas.</w:t>
      </w:r>
    </w:p>
    <w:p w14:paraId="04BE6EB9" w14:textId="77777777" w:rsidR="00DF5BA7" w:rsidRPr="00DF5BA7" w:rsidRDefault="00DF5BA7" w:rsidP="00094745">
      <w:pPr>
        <w:numPr>
          <w:ilvl w:val="0"/>
          <w:numId w:val="1"/>
        </w:numPr>
        <w:spacing w:after="0"/>
        <w:jc w:val="both"/>
      </w:pPr>
      <w:r w:rsidRPr="00DF5BA7">
        <w:t>Profundizar las aplicaciones financieras de la tecnología digital, mejorar los mecanismos seguros y eficientes de aplicación de la investigación tecnológica, fortalecer continuamente la apertura y la innovación y los ecosistemas cooperativos de la industria en los que todos ganan.</w:t>
      </w:r>
    </w:p>
    <w:p w14:paraId="18AA6BAD" w14:textId="425A792E" w:rsidR="00DF5BA7" w:rsidRPr="00DF5BA7" w:rsidRDefault="00DF5BA7" w:rsidP="00094745">
      <w:pPr>
        <w:numPr>
          <w:ilvl w:val="0"/>
          <w:numId w:val="1"/>
        </w:numPr>
        <w:spacing w:after="0"/>
        <w:jc w:val="both"/>
      </w:pPr>
      <w:r w:rsidRPr="00DF5BA7">
        <w:t xml:space="preserve">Mejorar los sistemas de innovación </w:t>
      </w:r>
      <w:r w:rsidR="00B471BA" w:rsidRPr="00DF5BA7">
        <w:t>Fintech</w:t>
      </w:r>
      <w:r w:rsidRPr="00DF5BA7">
        <w:t xml:space="preserve"> seguros y altamente eficientes; establecer plataformas operativas integradas que combinen operaciones, tecnología y datos; establecer sistemas inteligentes de control de riesgos.</w:t>
      </w:r>
    </w:p>
    <w:p w14:paraId="5CF195BA" w14:textId="77777777" w:rsidR="00DF5BA7" w:rsidRPr="00DF5BA7" w:rsidRDefault="00DF5BA7" w:rsidP="00094745">
      <w:pPr>
        <w:numPr>
          <w:ilvl w:val="0"/>
          <w:numId w:val="1"/>
        </w:numPr>
        <w:spacing w:after="0"/>
        <w:jc w:val="both"/>
      </w:pPr>
      <w:r w:rsidRPr="00DF5BA7">
        <w:t xml:space="preserve">Profundizar la </w:t>
      </w:r>
      <w:proofErr w:type="spellStart"/>
      <w:r w:rsidRPr="00DF5BA7">
        <w:t>re-forja</w:t>
      </w:r>
      <w:proofErr w:type="spellEnd"/>
      <w:r w:rsidRPr="00DF5BA7">
        <w:t xml:space="preserve"> inteligente de los servicios financieros, establecer canales de servicios que conecten múltiples factores, esforzarse por crear sistemas de servicios sin barreras y proporcionar servicios financieros digitales más inclusivos, ecológicos y personalizados a las masas.</w:t>
      </w:r>
    </w:p>
    <w:p w14:paraId="3B09DE28" w14:textId="4716D03B" w:rsidR="00DF5BA7" w:rsidRPr="00DF5BA7" w:rsidRDefault="00DF5BA7" w:rsidP="00094745">
      <w:pPr>
        <w:numPr>
          <w:ilvl w:val="0"/>
          <w:numId w:val="1"/>
        </w:numPr>
        <w:spacing w:after="0"/>
        <w:jc w:val="both"/>
      </w:pPr>
      <w:r w:rsidRPr="00DF5BA7">
        <w:t xml:space="preserve">Acelerar la aplicación integral de </w:t>
      </w:r>
      <w:r w:rsidR="00B471BA" w:rsidRPr="00DF5BA7">
        <w:t>Regtech</w:t>
      </w:r>
      <w:r w:rsidRPr="00DF5BA7">
        <w:t xml:space="preserve">; fortalecer el desarrollo de la capacidad regulatoria digital. Implementar una regulación general de la innovación </w:t>
      </w:r>
      <w:r w:rsidR="00B471BA" w:rsidRPr="00DF5BA7">
        <w:t>Fintech</w:t>
      </w:r>
      <w:r w:rsidRPr="00DF5BA7">
        <w:t>; establecer cortafuegos de riesgo entre las finanzas y la tecnología.</w:t>
      </w:r>
    </w:p>
    <w:p w14:paraId="049C795B" w14:textId="5C681186" w:rsidR="00DF5BA7" w:rsidRPr="00DF5BA7" w:rsidRDefault="00DF5BA7" w:rsidP="00B471BA">
      <w:pPr>
        <w:numPr>
          <w:ilvl w:val="0"/>
          <w:numId w:val="1"/>
        </w:numPr>
        <w:jc w:val="both"/>
      </w:pPr>
      <w:r w:rsidRPr="00DF5BA7">
        <w:t xml:space="preserve">Consolidar y cultivar eficazmente el talento </w:t>
      </w:r>
      <w:r w:rsidR="00B471BA" w:rsidRPr="00DF5BA7">
        <w:t>Fintech</w:t>
      </w:r>
      <w:r w:rsidRPr="00DF5BA7">
        <w:t xml:space="preserve">; seguir impulsando el establecimiento de sistemas de normalización y normas; el fortalecimiento de la aplicación de los sistemas jurídicos y reglamentarios; navegando por el progreso estable y de largo alcance de </w:t>
      </w:r>
      <w:r w:rsidR="00B471BA" w:rsidRPr="00DF5BA7">
        <w:t>Fintech</w:t>
      </w:r>
      <w:r w:rsidRPr="00DF5BA7">
        <w:t>.</w:t>
      </w:r>
    </w:p>
    <w:p w14:paraId="6C4EB11B" w14:textId="21ED39FE" w:rsidR="00840485" w:rsidRDefault="00840485" w:rsidP="00B471BA">
      <w:pPr>
        <w:jc w:val="both"/>
      </w:pPr>
    </w:p>
    <w:p w14:paraId="24D68F61" w14:textId="77777777" w:rsidR="00840485" w:rsidRDefault="00840485" w:rsidP="00B471BA">
      <w:pPr>
        <w:jc w:val="both"/>
      </w:pPr>
    </w:p>
    <w:sectPr w:rsidR="0084048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AE65BD"/>
    <w:multiLevelType w:val="multilevel"/>
    <w:tmpl w:val="A0EAD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C42"/>
    <w:rsid w:val="00094745"/>
    <w:rsid w:val="00146C42"/>
    <w:rsid w:val="00840485"/>
    <w:rsid w:val="00AB379D"/>
    <w:rsid w:val="00B471BA"/>
    <w:rsid w:val="00BA7AA7"/>
    <w:rsid w:val="00BE2E98"/>
    <w:rsid w:val="00DF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5EC8E"/>
  <w15:chartTrackingRefBased/>
  <w15:docId w15:val="{A35E3154-C2BF-4AD0-A624-0C050F864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46C4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46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2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885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6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xbrl.org/tag/data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xbrl.org/tag/china/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hinabankingnews.com/2022/01/06/chinese-central-bank-releases-2022-2025-fintech-development-plan/" TargetMode="External"/><Relationship Id="rId11" Type="http://schemas.openxmlformats.org/officeDocument/2006/relationships/hyperlink" Target="https://www.xbrl.org/tag/regtech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xbrl.org/tag/pboc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xbrl.org/tag/fintech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668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 RANGEL MENDEZ</dc:creator>
  <cp:keywords/>
  <dc:description/>
  <cp:lastModifiedBy>RAUL RANGEL MENDEZ</cp:lastModifiedBy>
  <cp:revision>6</cp:revision>
  <dcterms:created xsi:type="dcterms:W3CDTF">2022-01-21T18:10:00Z</dcterms:created>
  <dcterms:modified xsi:type="dcterms:W3CDTF">2022-01-27T00:09:00Z</dcterms:modified>
</cp:coreProperties>
</file>