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FFC8" w14:textId="0667E4D8" w:rsidR="00A42367" w:rsidRPr="00BB79EF" w:rsidRDefault="00A35280" w:rsidP="006418ED">
      <w:pPr>
        <w:spacing w:after="0"/>
        <w:rPr>
          <w:sz w:val="24"/>
          <w:szCs w:val="24"/>
        </w:rPr>
      </w:pPr>
      <w:r w:rsidRPr="00BB79EF">
        <w:rPr>
          <w:sz w:val="24"/>
          <w:szCs w:val="24"/>
        </w:rPr>
        <w:t>Las CBDC significan evolución, no revolución</w:t>
      </w:r>
    </w:p>
    <w:p w14:paraId="25F082F7" w14:textId="77777777" w:rsidR="00427D2B" w:rsidRDefault="00427D2B" w:rsidP="006418ED">
      <w:pPr>
        <w:spacing w:after="0"/>
      </w:pPr>
    </w:p>
    <w:p w14:paraId="19D8FAE6" w14:textId="77777777" w:rsidR="00AB5192" w:rsidRPr="004A5FDC" w:rsidRDefault="00AB5192" w:rsidP="00AD0015">
      <w:pPr>
        <w:jc w:val="both"/>
      </w:pPr>
      <w:r w:rsidRPr="004A5FDC">
        <w:t>Opinión</w:t>
      </w:r>
    </w:p>
    <w:p w14:paraId="016C2073" w14:textId="77777777" w:rsidR="00AB5192" w:rsidRPr="00AB5192" w:rsidRDefault="00AB5192" w:rsidP="00AD0015">
      <w:pPr>
        <w:jc w:val="both"/>
      </w:pPr>
      <w:r w:rsidRPr="00AB5192">
        <w:t>Las monedas digitales del banco central pueden ayudar a crear un sistema financiero más inclusivo, dice el jefe de innovación del Banco de Pagos Internacionales.</w:t>
      </w:r>
    </w:p>
    <w:p w14:paraId="2C257C00" w14:textId="3C62184C" w:rsidR="00AB5192" w:rsidRPr="004A5FDC" w:rsidRDefault="004A5FDC" w:rsidP="00AD0015">
      <w:pPr>
        <w:jc w:val="both"/>
      </w:pPr>
      <w:r w:rsidRPr="004A5FDC">
        <w:t xml:space="preserve">Por: </w:t>
      </w:r>
      <w:r>
        <w:t>Benoit Coeuré</w:t>
      </w:r>
      <w:r w:rsidRPr="004A5FDC">
        <w:t xml:space="preserve"> </w:t>
      </w:r>
    </w:p>
    <w:p w14:paraId="3512C386" w14:textId="77777777" w:rsidR="00AB5192" w:rsidRPr="00AB5192" w:rsidRDefault="00AB5192" w:rsidP="00AD0015">
      <w:pPr>
        <w:jc w:val="both"/>
      </w:pPr>
      <w:r w:rsidRPr="00AB5192">
        <w:t xml:space="preserve">Perspectivas de </w:t>
      </w:r>
      <w:r w:rsidRPr="000F020B">
        <w:rPr>
          <w:b/>
          <w:bCs/>
          <w:color w:val="3B3838" w:themeColor="background2" w:themeShade="40"/>
          <w:u w:val="single"/>
        </w:rPr>
        <w:t>CoinDesk</w:t>
      </w:r>
    </w:p>
    <w:p w14:paraId="5B8387E8" w14:textId="47C3D843" w:rsidR="00AB5192" w:rsidRDefault="00AB5192" w:rsidP="00AD0015">
      <w:pPr>
        <w:jc w:val="both"/>
      </w:pPr>
      <w:r w:rsidRPr="00AB5192">
        <w:t>Actualizado el 14 de septiembre de 2021 a las 5:11 am CDT</w:t>
      </w:r>
    </w:p>
    <w:p w14:paraId="3F4C4B78" w14:textId="77777777" w:rsidR="00363D02" w:rsidRPr="00AB5192" w:rsidRDefault="00363D02" w:rsidP="00AD0015">
      <w:pPr>
        <w:jc w:val="both"/>
      </w:pPr>
    </w:p>
    <w:p w14:paraId="6DDEC639" w14:textId="77777777" w:rsidR="00AB5192" w:rsidRPr="00AB5192" w:rsidRDefault="00AB5192" w:rsidP="00AD0015">
      <w:pPr>
        <w:jc w:val="both"/>
      </w:pPr>
      <w:r w:rsidRPr="00AB5192">
        <w:t>¿Quién quiere una moneda digital del banco central (CBDC)?</w:t>
      </w:r>
    </w:p>
    <w:p w14:paraId="16676847" w14:textId="77777777" w:rsidR="00AB5192" w:rsidRPr="00AB5192" w:rsidRDefault="00AB5192" w:rsidP="00AD0015">
      <w:pPr>
        <w:jc w:val="both"/>
      </w:pPr>
      <w:r w:rsidRPr="00AB5192">
        <w:t>Mucha gente, aparentemente; </w:t>
      </w:r>
      <w:hyperlink r:id="rId4" w:anchor=":~:text=The%20Digital%20Dollar%20Project%20is,Bank%20Digital%20Currency%20(CBDC).&amp;text=The%20Project%20will%20develop%20a,to%20establish%20a%20dollar%20CBDC." w:tgtFrame="_blank" w:history="1">
        <w:r w:rsidRPr="00AB5192">
          <w:rPr>
            <w:rStyle w:val="Hipervnculo"/>
          </w:rPr>
          <w:t>Los grupos</w:t>
        </w:r>
      </w:hyperlink>
      <w:r w:rsidRPr="00AB5192">
        <w:t> de la industria están abogando por el efectivo digital, millones de personas </w:t>
      </w:r>
      <w:hyperlink r:id="rId5" w:tgtFrame="_blank" w:history="1">
        <w:r w:rsidRPr="00AB5192">
          <w:rPr>
            <w:rStyle w:val="Hipervnculo"/>
          </w:rPr>
          <w:t>se</w:t>
        </w:r>
      </w:hyperlink>
      <w:r w:rsidRPr="00AB5192">
        <w:t> han inscrito en una lotería para recibir renminbi digital en Shenzhen como parte del proyecto piloto del banco central chino, y la Asociación Libra quiere </w:t>
      </w:r>
      <w:hyperlink r:id="rId6" w:anchor="cover-letter" w:tgtFrame="_blank" w:history="1">
        <w:r w:rsidRPr="00AB5192">
          <w:rPr>
            <w:rStyle w:val="Hipervnculo"/>
          </w:rPr>
          <w:t>"integrar"</w:t>
        </w:r>
      </w:hyperlink>
      <w:r w:rsidRPr="00AB5192">
        <w:t> CBDC. Empresas de tecnología, bancos, ONG y consultorías ahora están luchando para subirse a la próxima ola de innovación.</w:t>
      </w:r>
    </w:p>
    <w:p w14:paraId="040CEE88" w14:textId="77777777" w:rsidR="00AB5192" w:rsidRPr="00AB5192" w:rsidRDefault="00AB5192" w:rsidP="00AD0015">
      <w:pPr>
        <w:jc w:val="both"/>
      </w:pPr>
      <w:r w:rsidRPr="00AB5192">
        <w:t>A principios de este año, el 80% de los bancos centrales del mundo ya habían comenzado a conceptualizar e investigar el potencial de las CBDC, el 40% estaba construyendo pruebas de concepto y el 10% estaba implementando proyectos piloto, según la </w:t>
      </w:r>
      <w:hyperlink r:id="rId7" w:tgtFrame="_blank" w:history="1">
        <w:r w:rsidRPr="00AB5192">
          <w:rPr>
            <w:rStyle w:val="Hipervnculo"/>
          </w:rPr>
          <w:t>investigación del BIS.</w:t>
        </w:r>
      </w:hyperlink>
    </w:p>
    <w:p w14:paraId="7F2786FB" w14:textId="77777777" w:rsidR="00AB5192" w:rsidRPr="00AB5192" w:rsidRDefault="00AB5192" w:rsidP="00AD0015">
      <w:pPr>
        <w:jc w:val="both"/>
      </w:pPr>
      <w:r w:rsidRPr="00AB5192">
        <w:t>Los banqueros centrales creen que el efectivo digital podría ser una adición útil a su caja de herramientas, combinando la seguridad del dinero del banco central con la conveniencia electrónica. El dinero electrónico seguro no es revolucionario. Para la mayoría de las personas en las economías avanzadas, los buenos servicios bancarios con seguro de depósitos están disponibles gratuitamente. No obstante, se ha planteado la preocupación de que un nuevo tipo de dinero súper seguro y súper conveniente podría desplazar los depósitos bancarios y privar a una economía de crédito en tiempos normales, mientras que las inseguridades nacientes podrían convertirse en una bola de nieve en carreras bancarias más rápidas que nunca gracias a lo fácil que podría ser mover los ahorros al efectivo digital.</w:t>
      </w:r>
    </w:p>
    <w:p w14:paraId="2A725880" w14:textId="77777777" w:rsidR="00AB5192" w:rsidRPr="00AB5192" w:rsidRDefault="00AB5192" w:rsidP="00AD0015">
      <w:pPr>
        <w:jc w:val="both"/>
      </w:pPr>
      <w:r w:rsidRPr="00AB5192">
        <w:t>Para empezar, una CBDC garantizaría que, a medida que nuestras economías se vuelvan digitales, el público en general retendría el acceso a la forma más segura de dinero, mantenida como un reclamo sobre un banco central que nunca puede quebrar. Y, esto será en una forma que podrían usar libremente en su vida diaria.</w:t>
      </w:r>
    </w:p>
    <w:p w14:paraId="216BB598" w14:textId="6CF81F38" w:rsidR="003A4F0A" w:rsidRDefault="00AB5192" w:rsidP="00AD0015">
      <w:pPr>
        <w:jc w:val="both"/>
      </w:pPr>
      <w:r w:rsidRPr="00AB5192">
        <w:t>Una CBDC sería una especie de billete digital y, como tal, podría satisfacer más casos de uso que el papel, mientras que el emisor, al ser un banco central, podría apoyar la liquidez, la firmeza de la liquidación y la confianza en el valor de la moneda. Como resultado, podría promover la diversidad de pagos, ayudar a que los pagos transfronterizos sean más rápidos y baratos, fomentar la inclusión financiera e incluso facilitar las transferencias fiscales en tiempos de crisis, como la actual pandemia de COVID-19.</w:t>
      </w:r>
    </w:p>
    <w:p w14:paraId="05D2A561" w14:textId="77777777" w:rsidR="00363D02" w:rsidRDefault="00363D02" w:rsidP="00AD0015">
      <w:pPr>
        <w:jc w:val="both"/>
      </w:pPr>
    </w:p>
    <w:p w14:paraId="23DC3EB0" w14:textId="3DAF8214" w:rsidR="00AB5192" w:rsidRPr="00363D02" w:rsidRDefault="00AB5192" w:rsidP="00AD0015">
      <w:pPr>
        <w:jc w:val="both"/>
        <w:rPr>
          <w:b/>
          <w:bCs/>
          <w:i/>
          <w:iCs/>
          <w:color w:val="3B3838" w:themeColor="background2" w:themeShade="40"/>
        </w:rPr>
      </w:pPr>
      <w:r w:rsidRPr="00363D02">
        <w:rPr>
          <w:b/>
          <w:bCs/>
          <w:i/>
          <w:iCs/>
          <w:color w:val="3B3838" w:themeColor="background2" w:themeShade="40"/>
        </w:rPr>
        <w:lastRenderedPageBreak/>
        <w:t>No son una revolución o un fin en sí mismos. Sin embargo, podrían ser una forma de lograr una forma de dinero más inclusiva, accesible, segura y conveniente.</w:t>
      </w:r>
    </w:p>
    <w:p w14:paraId="53A59428" w14:textId="77777777" w:rsidR="00AB5192" w:rsidRPr="00AB5192" w:rsidRDefault="00AB5192" w:rsidP="00AD0015">
      <w:pPr>
        <w:jc w:val="both"/>
      </w:pPr>
      <w:r w:rsidRPr="00AB5192">
        <w:t>Equilibrar estas oportunidades y riesgos es un desafío práctico y técnico significativo. Un </w:t>
      </w:r>
      <w:hyperlink r:id="rId8" w:history="1">
        <w:r w:rsidRPr="00AB5192">
          <w:rPr>
            <w:rStyle w:val="Hipervnculo"/>
          </w:rPr>
          <w:t>informe</w:t>
        </w:r>
      </w:hyperlink>
      <w:r w:rsidRPr="00AB5192">
        <w:t> reciente del Banco de Pagos Internacionales (BPI) y los bancos centrales de Canadá, la zona del euro, Japón, Suecia, Suiza, el Reino Unido y los Estados Unidos establece los principios y ofrece una guía para navegar por estas aguas desconocidas.</w:t>
      </w:r>
    </w:p>
    <w:p w14:paraId="1231A105" w14:textId="205E19D2" w:rsidR="00AB5192" w:rsidRPr="00AB5192" w:rsidRDefault="00AB5192" w:rsidP="00AD0015">
      <w:pPr>
        <w:jc w:val="both"/>
      </w:pPr>
      <w:r w:rsidRPr="00AB5192">
        <w:t xml:space="preserve">También presenta el equivalente a un juramento hipocrático monetario: prometer que cualquier CBDC potencial no debería "hacer daño" a los mandatos de estabilidad monetaria y financiera de los bancos centrales. De hecho, va un paso más allá, afirmando que una CBDC debe complementar, no reemplazar, el dinero privado seguro y efectivo en un nuevo ecosistema monetario que fomente la innovación y la competencia privada. Las CBDC son más que otra forma de pagar. Podrían ser la base evolutiva para nuevas plataformas de acceso público para fomentar diversos ecosistemas de bancos y </w:t>
      </w:r>
      <w:r w:rsidR="00AD0015" w:rsidRPr="00AB5192">
        <w:t>Fintech</w:t>
      </w:r>
      <w:r w:rsidR="00AD0015">
        <w:t>s</w:t>
      </w:r>
      <w:r w:rsidRPr="00AB5192">
        <w:t>, evitando las redes de "el ganador se lleva todas" que hemos visto emerger en nuestra vida digital diaria, y asegurándose de que la innovación beneficie a muchos, no solo a unos pocos.</w:t>
      </w:r>
    </w:p>
    <w:p w14:paraId="0978B768" w14:textId="5539CF34" w:rsidR="00AB5192" w:rsidRDefault="00AB5192" w:rsidP="00AD0015">
      <w:pPr>
        <w:jc w:val="both"/>
      </w:pPr>
      <w:r w:rsidRPr="00AB5192">
        <w:t>El diseño exacto variará según la jurisdicción, así como la medida en que una CBDC buscará ser un medio de pago neutral o una nueva forma de hacer política monetaria. Las respuestas variarán según el banco central, al igual que muchas otras opciones de diseño, y probablemente implicarán amplias consultas con el sector privado y el público en general.</w:t>
      </w:r>
    </w:p>
    <w:p w14:paraId="76B348ED" w14:textId="77777777" w:rsidR="00AB5192" w:rsidRPr="00AB5192" w:rsidRDefault="00AB5192" w:rsidP="00AD0015">
      <w:pPr>
        <w:jc w:val="both"/>
      </w:pPr>
      <w:r w:rsidRPr="00AB5192">
        <w:t>Pero si una CBDC es una cuestión de gusto nacional, ¿por qué (y cómo) deberían los bancos centrales trabajar juntos a través de las fronteras? Ahí es donde entra en juego el Banco de Pagos Internacionales y su Centro de Innovación. El BPI es propiedad de más de 60 bancos centrales de todo el mundo y está dirigido por ellos. Comenzamos en 1930, pero nos centramos en el futuro.</w:t>
      </w:r>
    </w:p>
    <w:p w14:paraId="5701AC4D" w14:textId="77777777" w:rsidR="00AB5192" w:rsidRPr="00AB5192" w:rsidRDefault="00AB5192" w:rsidP="00AD0015">
      <w:pPr>
        <w:jc w:val="both"/>
      </w:pPr>
      <w:r w:rsidRPr="00AB5192">
        <w:t>Nos tomamos en serio la exploración de las CBDC porque los bancos centrales se dan cuenta de que esto brinda una oportunidad esencial para poner en común conocimientos y recursos, así como para construir sistemas que se complementen entre sí y ayuden a que muchos pagos transfronterizos sean más rápidos, transparentes y baratos.</w:t>
      </w:r>
    </w:p>
    <w:p w14:paraId="763BD7B7" w14:textId="77777777" w:rsidR="00AB5192" w:rsidRPr="00AB5192" w:rsidRDefault="00AB5192" w:rsidP="00AD0015">
      <w:pPr>
        <w:jc w:val="both"/>
      </w:pPr>
      <w:r w:rsidRPr="00AB5192">
        <w:t>El Centro de Innovación está desarrollando capacidad tecnológica con sus anfitriones para ayudar a los bancos centrales a diseñar soluciones viables a los desafíos emergentes. A finales de este año, planeamos publicar nuestra primera prueba de concepto de CBDC al por mayor con el Banco Nacional Suizo.</w:t>
      </w:r>
    </w:p>
    <w:p w14:paraId="70CF8E33" w14:textId="77777777" w:rsidR="00AB5192" w:rsidRPr="00AB5192" w:rsidRDefault="00AB5192" w:rsidP="00AD0015">
      <w:pPr>
        <w:jc w:val="both"/>
      </w:pPr>
      <w:r w:rsidRPr="00AB5192">
        <w:t>Esto allanará el camino para experimentos sobre los componentes básicos de una CBDC minorista, que podrían incluir interconexiones con los sistemas de pago existentes, interfaces de programación de aplicaciones para la distribución, rieles de identidad digital, monitoreo de cumplimiento, resiliencia cibernética y de falsificación y funcionalidad fuera de línea. Para ayudar a esto, haremos crecer nuestra propia capacidad de blockchain</w:t>
      </w:r>
    </w:p>
    <w:p w14:paraId="25CEEA9D" w14:textId="098BE36F" w:rsidR="00AB5192" w:rsidRPr="00AB5192" w:rsidRDefault="00AB5192" w:rsidP="00AD0015">
      <w:pPr>
        <w:jc w:val="both"/>
      </w:pPr>
      <w:r w:rsidRPr="00AB5192">
        <w:t xml:space="preserve">Este trabajo está dirigido hacia soluciones prácticas más que hacia la investigación conceptual de los últimos años. Las CBDC no marcarán el comienzo de una era de prosperidad ni resolverán una serie de problemas sociales, esto está más allá del alcance de cualquier moneda. No son una revolución o un fin en sí mismos. Sin embargo, podrían ser una forma de lograr una forma de dinero </w:t>
      </w:r>
      <w:r w:rsidRPr="00AB5192">
        <w:lastRenderedPageBreak/>
        <w:t>más inclusiva, accesible, segura y conveniente. Podrían apoyar un ecosistema de pagos más diverso, a nivel nacional e internacional y, si se desarrollan astutamente, proporcionar una nueva forma de bien público global.</w:t>
      </w:r>
    </w:p>
    <w:p w14:paraId="256D428E" w14:textId="77777777" w:rsidR="00AB5192" w:rsidRPr="000F020B" w:rsidRDefault="00AB5192" w:rsidP="00AD0015">
      <w:pPr>
        <w:jc w:val="both"/>
        <w:rPr>
          <w:b/>
          <w:bCs/>
          <w:i/>
          <w:iCs/>
          <w:color w:val="3B3838" w:themeColor="background2" w:themeShade="40"/>
        </w:rPr>
      </w:pPr>
      <w:r w:rsidRPr="000F020B">
        <w:rPr>
          <w:b/>
          <w:bCs/>
          <w:i/>
          <w:iCs/>
          <w:color w:val="3B3838" w:themeColor="background2" w:themeShade="40"/>
        </w:rPr>
        <w:t>Benoît Cœuré es jefe del Centro de Innovación del Banco de Pagos Internacionales y miembro del Comité Ejecutivo del banco. Anteriormente, fue miembro de la junta ejecutiva del Banco Central Europeo. De 2013 a 2019, presidió el Comité de Pagos e Infraestructuras de Mercado del BIS.</w:t>
      </w:r>
    </w:p>
    <w:p w14:paraId="769EB467" w14:textId="19A05573" w:rsidR="00AB5192" w:rsidRDefault="00AB5192" w:rsidP="00AD0015">
      <w:pPr>
        <w:jc w:val="both"/>
      </w:pPr>
    </w:p>
    <w:p w14:paraId="7BC401B5" w14:textId="77777777" w:rsidR="00B57D3B" w:rsidRPr="000F020B" w:rsidRDefault="00B57D3B" w:rsidP="004A5FDC">
      <w:pPr>
        <w:spacing w:after="0"/>
        <w:jc w:val="both"/>
        <w:rPr>
          <w:b/>
          <w:bCs/>
          <w:color w:val="3B3838" w:themeColor="background2" w:themeShade="40"/>
        </w:rPr>
      </w:pPr>
      <w:r w:rsidRPr="000F020B">
        <w:rPr>
          <w:b/>
          <w:bCs/>
          <w:color w:val="3B3838" w:themeColor="background2" w:themeShade="40"/>
        </w:rPr>
        <w:t>REVELACIÓN</w:t>
      </w:r>
    </w:p>
    <w:p w14:paraId="29826668" w14:textId="7C131288" w:rsidR="00B57D3B" w:rsidRPr="00B57D3B" w:rsidRDefault="00B57D3B" w:rsidP="00AD0015">
      <w:pPr>
        <w:jc w:val="both"/>
        <w:rPr>
          <w:i/>
          <w:iCs/>
        </w:rPr>
      </w:pPr>
      <w:r w:rsidRPr="00B57D3B">
        <w:rPr>
          <w:i/>
          <w:iCs/>
        </w:rPr>
        <w:t xml:space="preserve">Líder en noticias e información sobre criptomonedas, activos digitales y el futuro del dinero, </w:t>
      </w:r>
      <w:r w:rsidRPr="004A5FDC">
        <w:rPr>
          <w:b/>
          <w:bCs/>
          <w:i/>
          <w:iCs/>
          <w:color w:val="3B3838" w:themeColor="background2" w:themeShade="40"/>
        </w:rPr>
        <w:t>CoinDesk</w:t>
      </w:r>
      <w:r w:rsidRPr="00B57D3B">
        <w:rPr>
          <w:i/>
          <w:iCs/>
        </w:rPr>
        <w:t xml:space="preserve"> es un medio de comunicación que se esfuerza por alcanzar los más altos estándares periodísticos y cumple con un </w:t>
      </w:r>
      <w:hyperlink r:id="rId9" w:history="1">
        <w:r w:rsidRPr="00B57D3B">
          <w:rPr>
            <w:rStyle w:val="Hipervnculo"/>
            <w:i/>
            <w:iCs/>
          </w:rPr>
          <w:t>estricto conjunto de políticas editoriales.</w:t>
        </w:r>
      </w:hyperlink>
      <w:r w:rsidRPr="00B57D3B">
        <w:rPr>
          <w:i/>
          <w:iCs/>
        </w:rPr>
        <w:t> CoinDesk es una subsidiaria operativa independiente de </w:t>
      </w:r>
      <w:hyperlink r:id="rId10" w:tgtFrame="_blank" w:history="1">
        <w:r w:rsidRPr="00B57D3B">
          <w:rPr>
            <w:rStyle w:val="Hipervnculo"/>
            <w:i/>
            <w:iCs/>
          </w:rPr>
          <w:t xml:space="preserve">Digital </w:t>
        </w:r>
        <w:proofErr w:type="spellStart"/>
        <w:r w:rsidRPr="00B57D3B">
          <w:rPr>
            <w:rStyle w:val="Hipervnculo"/>
            <w:i/>
            <w:iCs/>
          </w:rPr>
          <w:t>Currency</w:t>
        </w:r>
        <w:proofErr w:type="spellEnd"/>
        <w:r w:rsidRPr="00B57D3B">
          <w:rPr>
            <w:rStyle w:val="Hipervnculo"/>
            <w:i/>
            <w:iCs/>
          </w:rPr>
          <w:t xml:space="preserve"> Group,</w:t>
        </w:r>
      </w:hyperlink>
      <w:r>
        <w:rPr>
          <w:i/>
          <w:iCs/>
        </w:rPr>
        <w:t xml:space="preserve"> q</w:t>
      </w:r>
      <w:r w:rsidRPr="00B57D3B">
        <w:rPr>
          <w:i/>
          <w:iCs/>
        </w:rPr>
        <w:t>ue invierte en </w:t>
      </w:r>
      <w:hyperlink r:id="rId11" w:anchor="digital-assets-portfolio" w:tgtFrame="_blank" w:history="1">
        <w:r w:rsidRPr="00B57D3B">
          <w:rPr>
            <w:rStyle w:val="Hipervnculo"/>
            <w:i/>
            <w:iCs/>
          </w:rPr>
          <w:t>criptomonedas</w:t>
        </w:r>
      </w:hyperlink>
      <w:r w:rsidRPr="00B57D3B">
        <w:rPr>
          <w:i/>
          <w:iCs/>
        </w:rPr>
        <w:t> y </w:t>
      </w:r>
      <w:hyperlink r:id="rId12" w:tgtFrame="_blank" w:history="1">
        <w:r w:rsidRPr="00B57D3B">
          <w:rPr>
            <w:rStyle w:val="Hipervnculo"/>
            <w:i/>
            <w:iCs/>
          </w:rPr>
          <w:t>startups</w:t>
        </w:r>
      </w:hyperlink>
      <w:r w:rsidRPr="00B57D3B">
        <w:rPr>
          <w:i/>
          <w:iCs/>
        </w:rPr>
        <w:t xml:space="preserve"> </w:t>
      </w:r>
      <w:r>
        <w:rPr>
          <w:i/>
          <w:iCs/>
        </w:rPr>
        <w:t xml:space="preserve">de </w:t>
      </w:r>
      <w:r w:rsidRPr="00B57D3B">
        <w:rPr>
          <w:i/>
          <w:iCs/>
        </w:rPr>
        <w:t>blockchain. Como parte de su compensación, ciertos empleados de CoinDesk, incluidos los empleados editoriales, pueden recibir exposición al capital de DCG en forma de derechos de apreciación de </w:t>
      </w:r>
      <w:hyperlink r:id="rId13" w:tgtFrame="_blank" w:history="1">
        <w:r w:rsidRPr="00B57D3B">
          <w:rPr>
            <w:rStyle w:val="Hipervnculo"/>
            <w:i/>
            <w:iCs/>
          </w:rPr>
          <w:t>acciones,</w:t>
        </w:r>
      </w:hyperlink>
      <w:r>
        <w:rPr>
          <w:i/>
          <w:iCs/>
        </w:rPr>
        <w:t xml:space="preserve"> q</w:t>
      </w:r>
      <w:r w:rsidRPr="00B57D3B">
        <w:rPr>
          <w:i/>
          <w:iCs/>
        </w:rPr>
        <w:t>ue se otorgan durante un período de varios años. Los periodistas de CoinDesk no pueden comprar acciones directamente en DCG.</w:t>
      </w:r>
    </w:p>
    <w:p w14:paraId="36FAE755" w14:textId="77777777" w:rsidR="00B57D3B" w:rsidRDefault="00B57D3B" w:rsidP="00AD0015">
      <w:pPr>
        <w:jc w:val="both"/>
      </w:pPr>
    </w:p>
    <w:sectPr w:rsidR="00B57D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80"/>
    <w:rsid w:val="000F020B"/>
    <w:rsid w:val="00363D02"/>
    <w:rsid w:val="003A4F0A"/>
    <w:rsid w:val="00427D2B"/>
    <w:rsid w:val="004A5FDC"/>
    <w:rsid w:val="006057A9"/>
    <w:rsid w:val="006418ED"/>
    <w:rsid w:val="00946E9F"/>
    <w:rsid w:val="00995581"/>
    <w:rsid w:val="00A35280"/>
    <w:rsid w:val="00A42367"/>
    <w:rsid w:val="00AB5192"/>
    <w:rsid w:val="00AD0015"/>
    <w:rsid w:val="00B57D3B"/>
    <w:rsid w:val="00BB79EF"/>
    <w:rsid w:val="00BF1BA8"/>
    <w:rsid w:val="00E432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2705"/>
  <w15:chartTrackingRefBased/>
  <w15:docId w15:val="{AFC02BEE-929F-445B-8FC6-51639629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5280"/>
    <w:rPr>
      <w:color w:val="0563C1" w:themeColor="hyperlink"/>
      <w:u w:val="single"/>
    </w:rPr>
  </w:style>
  <w:style w:type="character" w:styleId="Mencinsinresolver">
    <w:name w:val="Unresolved Mention"/>
    <w:basedOn w:val="Fuentedeprrafopredeter"/>
    <w:uiPriority w:val="99"/>
    <w:semiHidden/>
    <w:unhideWhenUsed/>
    <w:rsid w:val="00A35280"/>
    <w:rPr>
      <w:color w:val="605E5C"/>
      <w:shd w:val="clear" w:color="auto" w:fill="E1DFDD"/>
    </w:rPr>
  </w:style>
  <w:style w:type="character" w:styleId="Hipervnculovisitado">
    <w:name w:val="FollowedHyperlink"/>
    <w:basedOn w:val="Fuentedeprrafopredeter"/>
    <w:uiPriority w:val="99"/>
    <w:semiHidden/>
    <w:unhideWhenUsed/>
    <w:rsid w:val="00E43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8044">
      <w:bodyDiv w:val="1"/>
      <w:marLeft w:val="0"/>
      <w:marRight w:val="0"/>
      <w:marTop w:val="0"/>
      <w:marBottom w:val="0"/>
      <w:divBdr>
        <w:top w:val="none" w:sz="0" w:space="0" w:color="auto"/>
        <w:left w:val="none" w:sz="0" w:space="0" w:color="auto"/>
        <w:bottom w:val="none" w:sz="0" w:space="0" w:color="auto"/>
        <w:right w:val="none" w:sz="0" w:space="0" w:color="auto"/>
      </w:divBdr>
      <w:divsChild>
        <w:div w:id="1999454198">
          <w:marLeft w:val="0"/>
          <w:marRight w:val="0"/>
          <w:marTop w:val="0"/>
          <w:marBottom w:val="0"/>
          <w:divBdr>
            <w:top w:val="none" w:sz="0" w:space="0" w:color="auto"/>
            <w:left w:val="none" w:sz="0" w:space="0" w:color="auto"/>
            <w:bottom w:val="none" w:sz="0" w:space="0" w:color="auto"/>
            <w:right w:val="none" w:sz="0" w:space="0" w:color="auto"/>
          </w:divBdr>
          <w:divsChild>
            <w:div w:id="86507693">
              <w:marLeft w:val="0"/>
              <w:marRight w:val="0"/>
              <w:marTop w:val="600"/>
              <w:marBottom w:val="600"/>
              <w:divBdr>
                <w:top w:val="none" w:sz="0" w:space="0" w:color="auto"/>
                <w:left w:val="single" w:sz="48" w:space="17" w:color="262626"/>
                <w:bottom w:val="none" w:sz="0" w:space="0" w:color="auto"/>
                <w:right w:val="none" w:sz="0" w:space="0" w:color="auto"/>
              </w:divBdr>
              <w:divsChild>
                <w:div w:id="242642945">
                  <w:marLeft w:val="0"/>
                  <w:marRight w:val="0"/>
                  <w:marTop w:val="0"/>
                  <w:marBottom w:val="0"/>
                  <w:divBdr>
                    <w:top w:val="none" w:sz="0" w:space="0" w:color="auto"/>
                    <w:left w:val="none" w:sz="0" w:space="0" w:color="auto"/>
                    <w:bottom w:val="none" w:sz="0" w:space="0" w:color="auto"/>
                    <w:right w:val="none" w:sz="0" w:space="0" w:color="auto"/>
                  </w:divBdr>
                  <w:divsChild>
                    <w:div w:id="6418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047489">
      <w:bodyDiv w:val="1"/>
      <w:marLeft w:val="0"/>
      <w:marRight w:val="0"/>
      <w:marTop w:val="0"/>
      <w:marBottom w:val="0"/>
      <w:divBdr>
        <w:top w:val="none" w:sz="0" w:space="0" w:color="auto"/>
        <w:left w:val="none" w:sz="0" w:space="0" w:color="auto"/>
        <w:bottom w:val="none" w:sz="0" w:space="0" w:color="auto"/>
        <w:right w:val="none" w:sz="0" w:space="0" w:color="auto"/>
      </w:divBdr>
      <w:divsChild>
        <w:div w:id="783185635">
          <w:marLeft w:val="0"/>
          <w:marRight w:val="0"/>
          <w:marTop w:val="0"/>
          <w:marBottom w:val="300"/>
          <w:divBdr>
            <w:top w:val="none" w:sz="0" w:space="0" w:color="auto"/>
            <w:left w:val="none" w:sz="0" w:space="0" w:color="auto"/>
            <w:bottom w:val="none" w:sz="0" w:space="0" w:color="auto"/>
            <w:right w:val="none" w:sz="0" w:space="0" w:color="auto"/>
          </w:divBdr>
        </w:div>
        <w:div w:id="458844819">
          <w:marLeft w:val="0"/>
          <w:marRight w:val="0"/>
          <w:marTop w:val="0"/>
          <w:marBottom w:val="150"/>
          <w:divBdr>
            <w:top w:val="none" w:sz="0" w:space="0" w:color="auto"/>
            <w:left w:val="none" w:sz="0" w:space="0" w:color="auto"/>
            <w:bottom w:val="none" w:sz="0" w:space="0" w:color="auto"/>
            <w:right w:val="none" w:sz="0" w:space="0" w:color="auto"/>
          </w:divBdr>
        </w:div>
        <w:div w:id="1119104058">
          <w:marLeft w:val="0"/>
          <w:marRight w:val="0"/>
          <w:marTop w:val="0"/>
          <w:marBottom w:val="450"/>
          <w:divBdr>
            <w:top w:val="none" w:sz="0" w:space="0" w:color="auto"/>
            <w:left w:val="none" w:sz="0" w:space="0" w:color="auto"/>
            <w:bottom w:val="none" w:sz="0" w:space="0" w:color="auto"/>
            <w:right w:val="none" w:sz="0" w:space="0" w:color="auto"/>
          </w:divBdr>
        </w:div>
        <w:div w:id="1074859522">
          <w:marLeft w:val="0"/>
          <w:marRight w:val="0"/>
          <w:marTop w:val="0"/>
          <w:marBottom w:val="225"/>
          <w:divBdr>
            <w:top w:val="none" w:sz="0" w:space="0" w:color="auto"/>
            <w:left w:val="none" w:sz="0" w:space="0" w:color="auto"/>
            <w:bottom w:val="none" w:sz="0" w:space="0" w:color="auto"/>
            <w:right w:val="none" w:sz="0" w:space="0" w:color="auto"/>
          </w:divBdr>
        </w:div>
        <w:div w:id="930310548">
          <w:marLeft w:val="0"/>
          <w:marRight w:val="0"/>
          <w:marTop w:val="0"/>
          <w:marBottom w:val="0"/>
          <w:divBdr>
            <w:top w:val="none" w:sz="0" w:space="0" w:color="auto"/>
            <w:left w:val="none" w:sz="0" w:space="0" w:color="auto"/>
            <w:bottom w:val="none" w:sz="0" w:space="0" w:color="auto"/>
            <w:right w:val="none" w:sz="0" w:space="0" w:color="auto"/>
          </w:divBdr>
          <w:divsChild>
            <w:div w:id="969937816">
              <w:marLeft w:val="150"/>
              <w:marRight w:val="0"/>
              <w:marTop w:val="0"/>
              <w:marBottom w:val="225"/>
              <w:divBdr>
                <w:top w:val="none" w:sz="0" w:space="0" w:color="auto"/>
                <w:left w:val="none" w:sz="0" w:space="0" w:color="auto"/>
                <w:bottom w:val="none" w:sz="0" w:space="0" w:color="auto"/>
                <w:right w:val="none" w:sz="0" w:space="0" w:color="auto"/>
              </w:divBdr>
              <w:divsChild>
                <w:div w:id="16245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91036">
          <w:marLeft w:val="0"/>
          <w:marRight w:val="0"/>
          <w:marTop w:val="0"/>
          <w:marBottom w:val="0"/>
          <w:divBdr>
            <w:top w:val="none" w:sz="0" w:space="0" w:color="auto"/>
            <w:left w:val="none" w:sz="0" w:space="0" w:color="auto"/>
            <w:bottom w:val="none" w:sz="0" w:space="0" w:color="auto"/>
            <w:right w:val="none" w:sz="0" w:space="0" w:color="auto"/>
          </w:divBdr>
          <w:divsChild>
            <w:div w:id="1969387232">
              <w:marLeft w:val="0"/>
              <w:marRight w:val="0"/>
              <w:marTop w:val="0"/>
              <w:marBottom w:val="225"/>
              <w:divBdr>
                <w:top w:val="none" w:sz="0" w:space="0" w:color="auto"/>
                <w:left w:val="none" w:sz="0" w:space="0" w:color="auto"/>
                <w:bottom w:val="none" w:sz="0" w:space="0" w:color="auto"/>
                <w:right w:val="none" w:sz="0" w:space="0" w:color="auto"/>
              </w:divBdr>
              <w:divsChild>
                <w:div w:id="200024393">
                  <w:marLeft w:val="0"/>
                  <w:marRight w:val="0"/>
                  <w:marTop w:val="0"/>
                  <w:marBottom w:val="0"/>
                  <w:divBdr>
                    <w:top w:val="none" w:sz="0" w:space="0" w:color="auto"/>
                    <w:left w:val="none" w:sz="0" w:space="0" w:color="auto"/>
                    <w:bottom w:val="none" w:sz="0" w:space="0" w:color="auto"/>
                    <w:right w:val="none" w:sz="0" w:space="0" w:color="auto"/>
                  </w:divBdr>
                </w:div>
              </w:divsChild>
            </w:div>
            <w:div w:id="501285163">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 w:id="450517702">
      <w:bodyDiv w:val="1"/>
      <w:marLeft w:val="0"/>
      <w:marRight w:val="0"/>
      <w:marTop w:val="0"/>
      <w:marBottom w:val="0"/>
      <w:divBdr>
        <w:top w:val="none" w:sz="0" w:space="0" w:color="auto"/>
        <w:left w:val="none" w:sz="0" w:space="0" w:color="auto"/>
        <w:bottom w:val="none" w:sz="0" w:space="0" w:color="auto"/>
        <w:right w:val="none" w:sz="0" w:space="0" w:color="auto"/>
      </w:divBdr>
      <w:divsChild>
        <w:div w:id="666910062">
          <w:marLeft w:val="0"/>
          <w:marRight w:val="0"/>
          <w:marTop w:val="0"/>
          <w:marBottom w:val="0"/>
          <w:divBdr>
            <w:top w:val="none" w:sz="0" w:space="0" w:color="auto"/>
            <w:left w:val="none" w:sz="0" w:space="0" w:color="auto"/>
            <w:bottom w:val="none" w:sz="0" w:space="0" w:color="auto"/>
            <w:right w:val="none" w:sz="0" w:space="0" w:color="auto"/>
          </w:divBdr>
        </w:div>
        <w:div w:id="1561791498">
          <w:marLeft w:val="0"/>
          <w:marRight w:val="0"/>
          <w:marTop w:val="0"/>
          <w:marBottom w:val="0"/>
          <w:divBdr>
            <w:top w:val="single" w:sz="18" w:space="15" w:color="AA332F"/>
            <w:left w:val="none" w:sz="0" w:space="0" w:color="auto"/>
            <w:bottom w:val="none" w:sz="0" w:space="0" w:color="auto"/>
            <w:right w:val="none" w:sz="0" w:space="0" w:color="auto"/>
          </w:divBdr>
          <w:divsChild>
            <w:div w:id="751853056">
              <w:marLeft w:val="0"/>
              <w:marRight w:val="0"/>
              <w:marTop w:val="0"/>
              <w:marBottom w:val="0"/>
              <w:divBdr>
                <w:top w:val="none" w:sz="0" w:space="0" w:color="auto"/>
                <w:left w:val="none" w:sz="0" w:space="0" w:color="auto"/>
                <w:bottom w:val="none" w:sz="0" w:space="0" w:color="auto"/>
                <w:right w:val="none" w:sz="0" w:space="0" w:color="auto"/>
              </w:divBdr>
              <w:divsChild>
                <w:div w:id="352001329">
                  <w:marLeft w:val="0"/>
                  <w:marRight w:val="0"/>
                  <w:marTop w:val="0"/>
                  <w:marBottom w:val="0"/>
                  <w:divBdr>
                    <w:top w:val="none" w:sz="0" w:space="0" w:color="auto"/>
                    <w:left w:val="none" w:sz="0" w:space="0" w:color="auto"/>
                    <w:bottom w:val="none" w:sz="0" w:space="0" w:color="auto"/>
                    <w:right w:val="none" w:sz="0" w:space="0" w:color="auto"/>
                  </w:divBdr>
                  <w:divsChild>
                    <w:div w:id="834145668">
                      <w:marLeft w:val="0"/>
                      <w:marRight w:val="0"/>
                      <w:marTop w:val="0"/>
                      <w:marBottom w:val="0"/>
                      <w:divBdr>
                        <w:top w:val="none" w:sz="0" w:space="0" w:color="auto"/>
                        <w:left w:val="none" w:sz="0" w:space="0" w:color="auto"/>
                        <w:bottom w:val="none" w:sz="0" w:space="0" w:color="auto"/>
                        <w:right w:val="none" w:sz="0" w:space="0" w:color="auto"/>
                      </w:divBdr>
                    </w:div>
                  </w:divsChild>
                </w:div>
                <w:div w:id="482743605">
                  <w:marLeft w:val="0"/>
                  <w:marRight w:val="0"/>
                  <w:marTop w:val="0"/>
                  <w:marBottom w:val="0"/>
                  <w:divBdr>
                    <w:top w:val="none" w:sz="0" w:space="0" w:color="auto"/>
                    <w:left w:val="none" w:sz="0" w:space="0" w:color="auto"/>
                    <w:bottom w:val="none" w:sz="0" w:space="0" w:color="auto"/>
                    <w:right w:val="none" w:sz="0" w:space="0" w:color="auto"/>
                  </w:divBdr>
                  <w:divsChild>
                    <w:div w:id="19779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2165">
          <w:marLeft w:val="0"/>
          <w:marRight w:val="0"/>
          <w:marTop w:val="0"/>
          <w:marBottom w:val="0"/>
          <w:divBdr>
            <w:top w:val="none" w:sz="0" w:space="0" w:color="auto"/>
            <w:left w:val="none" w:sz="0" w:space="0" w:color="auto"/>
            <w:bottom w:val="none" w:sz="0" w:space="0" w:color="auto"/>
            <w:right w:val="none" w:sz="0" w:space="0" w:color="auto"/>
          </w:divBdr>
        </w:div>
        <w:div w:id="675772085">
          <w:marLeft w:val="0"/>
          <w:marRight w:val="0"/>
          <w:marTop w:val="600"/>
          <w:marBottom w:val="0"/>
          <w:divBdr>
            <w:top w:val="none" w:sz="0" w:space="0" w:color="auto"/>
            <w:left w:val="none" w:sz="0" w:space="0" w:color="auto"/>
            <w:bottom w:val="none" w:sz="0" w:space="0" w:color="auto"/>
            <w:right w:val="none" w:sz="0" w:space="0" w:color="auto"/>
          </w:divBdr>
          <w:divsChild>
            <w:div w:id="1841197462">
              <w:marLeft w:val="0"/>
              <w:marRight w:val="0"/>
              <w:marTop w:val="0"/>
              <w:marBottom w:val="0"/>
              <w:divBdr>
                <w:top w:val="none" w:sz="0" w:space="0" w:color="auto"/>
                <w:left w:val="none" w:sz="0" w:space="0" w:color="auto"/>
                <w:bottom w:val="none" w:sz="0" w:space="0" w:color="auto"/>
                <w:right w:val="none" w:sz="0" w:space="0" w:color="auto"/>
              </w:divBdr>
            </w:div>
            <w:div w:id="429281817">
              <w:marLeft w:val="0"/>
              <w:marRight w:val="0"/>
              <w:marTop w:val="0"/>
              <w:marBottom w:val="0"/>
              <w:divBdr>
                <w:top w:val="none" w:sz="0" w:space="0" w:color="auto"/>
                <w:left w:val="none" w:sz="0" w:space="0" w:color="auto"/>
                <w:bottom w:val="none" w:sz="0" w:space="0" w:color="auto"/>
                <w:right w:val="none" w:sz="0" w:space="0" w:color="auto"/>
              </w:divBdr>
              <w:divsChild>
                <w:div w:id="923031796">
                  <w:marLeft w:val="-450"/>
                  <w:marRight w:val="0"/>
                  <w:marTop w:val="0"/>
                  <w:marBottom w:val="450"/>
                  <w:divBdr>
                    <w:top w:val="none" w:sz="0" w:space="0" w:color="auto"/>
                    <w:left w:val="none" w:sz="0" w:space="0" w:color="auto"/>
                    <w:bottom w:val="none" w:sz="0" w:space="0" w:color="auto"/>
                    <w:right w:val="none" w:sz="0" w:space="0" w:color="auto"/>
                  </w:divBdr>
                  <w:divsChild>
                    <w:div w:id="933392163">
                      <w:marLeft w:val="0"/>
                      <w:marRight w:val="0"/>
                      <w:marTop w:val="0"/>
                      <w:marBottom w:val="0"/>
                      <w:divBdr>
                        <w:top w:val="none" w:sz="0" w:space="0" w:color="auto"/>
                        <w:left w:val="none" w:sz="0" w:space="0" w:color="auto"/>
                        <w:bottom w:val="none" w:sz="0" w:space="0" w:color="auto"/>
                        <w:right w:val="none" w:sz="0" w:space="0" w:color="auto"/>
                      </w:divBdr>
                      <w:divsChild>
                        <w:div w:id="443353630">
                          <w:marLeft w:val="0"/>
                          <w:marRight w:val="0"/>
                          <w:marTop w:val="0"/>
                          <w:marBottom w:val="0"/>
                          <w:divBdr>
                            <w:top w:val="none" w:sz="0" w:space="0" w:color="auto"/>
                            <w:left w:val="none" w:sz="0" w:space="0" w:color="auto"/>
                            <w:bottom w:val="none" w:sz="0" w:space="0" w:color="auto"/>
                            <w:right w:val="none" w:sz="0" w:space="0" w:color="auto"/>
                          </w:divBdr>
                          <w:divsChild>
                            <w:div w:id="1376538234">
                              <w:marLeft w:val="0"/>
                              <w:marRight w:val="0"/>
                              <w:marTop w:val="0"/>
                              <w:marBottom w:val="0"/>
                              <w:divBdr>
                                <w:top w:val="none" w:sz="0" w:space="0" w:color="auto"/>
                                <w:left w:val="none" w:sz="0" w:space="0" w:color="auto"/>
                                <w:bottom w:val="none" w:sz="0" w:space="0" w:color="auto"/>
                                <w:right w:val="none" w:sz="0" w:space="0" w:color="auto"/>
                              </w:divBdr>
                            </w:div>
                            <w:div w:id="3601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519913">
      <w:bodyDiv w:val="1"/>
      <w:marLeft w:val="0"/>
      <w:marRight w:val="0"/>
      <w:marTop w:val="0"/>
      <w:marBottom w:val="0"/>
      <w:divBdr>
        <w:top w:val="none" w:sz="0" w:space="0" w:color="auto"/>
        <w:left w:val="none" w:sz="0" w:space="0" w:color="auto"/>
        <w:bottom w:val="none" w:sz="0" w:space="0" w:color="auto"/>
        <w:right w:val="none" w:sz="0" w:space="0" w:color="auto"/>
      </w:divBdr>
      <w:divsChild>
        <w:div w:id="1895576061">
          <w:marLeft w:val="0"/>
          <w:marRight w:val="0"/>
          <w:marTop w:val="300"/>
          <w:marBottom w:val="600"/>
          <w:divBdr>
            <w:top w:val="none" w:sz="0" w:space="0" w:color="auto"/>
            <w:left w:val="none" w:sz="0" w:space="0" w:color="auto"/>
            <w:bottom w:val="none" w:sz="0" w:space="0" w:color="auto"/>
            <w:right w:val="none" w:sz="0" w:space="0" w:color="auto"/>
          </w:divBdr>
        </w:div>
      </w:divsChild>
    </w:div>
    <w:div w:id="1450583720">
      <w:bodyDiv w:val="1"/>
      <w:marLeft w:val="0"/>
      <w:marRight w:val="0"/>
      <w:marTop w:val="0"/>
      <w:marBottom w:val="0"/>
      <w:divBdr>
        <w:top w:val="none" w:sz="0" w:space="0" w:color="auto"/>
        <w:left w:val="none" w:sz="0" w:space="0" w:color="auto"/>
        <w:bottom w:val="none" w:sz="0" w:space="0" w:color="auto"/>
        <w:right w:val="none" w:sz="0" w:space="0" w:color="auto"/>
      </w:divBdr>
      <w:divsChild>
        <w:div w:id="1627464920">
          <w:marLeft w:val="0"/>
          <w:marRight w:val="0"/>
          <w:marTop w:val="0"/>
          <w:marBottom w:val="0"/>
          <w:divBdr>
            <w:top w:val="none" w:sz="0" w:space="0" w:color="auto"/>
            <w:left w:val="none" w:sz="0" w:space="0" w:color="auto"/>
            <w:bottom w:val="none" w:sz="0" w:space="0" w:color="auto"/>
            <w:right w:val="none" w:sz="0" w:space="0" w:color="auto"/>
          </w:divBdr>
          <w:divsChild>
            <w:div w:id="202327754">
              <w:marLeft w:val="0"/>
              <w:marRight w:val="0"/>
              <w:marTop w:val="0"/>
              <w:marBottom w:val="0"/>
              <w:divBdr>
                <w:top w:val="none" w:sz="0" w:space="0" w:color="auto"/>
                <w:left w:val="none" w:sz="0" w:space="0" w:color="auto"/>
                <w:bottom w:val="none" w:sz="0" w:space="0" w:color="auto"/>
                <w:right w:val="none" w:sz="0" w:space="0" w:color="auto"/>
              </w:divBdr>
              <w:divsChild>
                <w:div w:id="18829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8197">
          <w:marLeft w:val="0"/>
          <w:marRight w:val="0"/>
          <w:marTop w:val="0"/>
          <w:marBottom w:val="0"/>
          <w:divBdr>
            <w:top w:val="none" w:sz="0" w:space="0" w:color="auto"/>
            <w:left w:val="none" w:sz="0" w:space="0" w:color="auto"/>
            <w:bottom w:val="none" w:sz="0" w:space="0" w:color="auto"/>
            <w:right w:val="none" w:sz="0" w:space="0" w:color="auto"/>
          </w:divBdr>
          <w:divsChild>
            <w:div w:id="2052148786">
              <w:marLeft w:val="0"/>
              <w:marRight w:val="0"/>
              <w:marTop w:val="0"/>
              <w:marBottom w:val="0"/>
              <w:divBdr>
                <w:top w:val="none" w:sz="0" w:space="0" w:color="auto"/>
                <w:left w:val="none" w:sz="0" w:space="0" w:color="auto"/>
                <w:bottom w:val="none" w:sz="0" w:space="0" w:color="auto"/>
                <w:right w:val="none" w:sz="0" w:space="0" w:color="auto"/>
              </w:divBdr>
              <w:divsChild>
                <w:div w:id="3891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992">
          <w:marLeft w:val="0"/>
          <w:marRight w:val="0"/>
          <w:marTop w:val="0"/>
          <w:marBottom w:val="0"/>
          <w:divBdr>
            <w:top w:val="none" w:sz="0" w:space="0" w:color="auto"/>
            <w:left w:val="none" w:sz="0" w:space="0" w:color="auto"/>
            <w:bottom w:val="none" w:sz="0" w:space="0" w:color="auto"/>
            <w:right w:val="none" w:sz="0" w:space="0" w:color="auto"/>
          </w:divBdr>
          <w:divsChild>
            <w:div w:id="230427086">
              <w:marLeft w:val="0"/>
              <w:marRight w:val="0"/>
              <w:marTop w:val="0"/>
              <w:marBottom w:val="0"/>
              <w:divBdr>
                <w:top w:val="none" w:sz="0" w:space="0" w:color="auto"/>
                <w:left w:val="none" w:sz="0" w:space="0" w:color="auto"/>
                <w:bottom w:val="none" w:sz="0" w:space="0" w:color="auto"/>
                <w:right w:val="none" w:sz="0" w:space="0" w:color="auto"/>
              </w:divBdr>
              <w:divsChild>
                <w:div w:id="7619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2256">
      <w:bodyDiv w:val="1"/>
      <w:marLeft w:val="0"/>
      <w:marRight w:val="0"/>
      <w:marTop w:val="0"/>
      <w:marBottom w:val="0"/>
      <w:divBdr>
        <w:top w:val="none" w:sz="0" w:space="0" w:color="auto"/>
        <w:left w:val="none" w:sz="0" w:space="0" w:color="auto"/>
        <w:bottom w:val="none" w:sz="0" w:space="0" w:color="auto"/>
        <w:right w:val="none" w:sz="0" w:space="0" w:color="auto"/>
      </w:divBdr>
      <w:divsChild>
        <w:div w:id="1789812456">
          <w:marLeft w:val="0"/>
          <w:marRight w:val="0"/>
          <w:marTop w:val="0"/>
          <w:marBottom w:val="0"/>
          <w:divBdr>
            <w:top w:val="none" w:sz="0" w:space="0" w:color="auto"/>
            <w:left w:val="none" w:sz="0" w:space="0" w:color="auto"/>
            <w:bottom w:val="none" w:sz="0" w:space="0" w:color="auto"/>
            <w:right w:val="none" w:sz="0" w:space="0" w:color="auto"/>
          </w:divBdr>
          <w:divsChild>
            <w:div w:id="621423845">
              <w:marLeft w:val="0"/>
              <w:marRight w:val="0"/>
              <w:marTop w:val="0"/>
              <w:marBottom w:val="0"/>
              <w:divBdr>
                <w:top w:val="none" w:sz="0" w:space="0" w:color="auto"/>
                <w:left w:val="none" w:sz="0" w:space="0" w:color="auto"/>
                <w:bottom w:val="none" w:sz="0" w:space="0" w:color="auto"/>
                <w:right w:val="none" w:sz="0" w:space="0" w:color="auto"/>
              </w:divBdr>
              <w:divsChild>
                <w:div w:id="21139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0966">
          <w:marLeft w:val="0"/>
          <w:marRight w:val="0"/>
          <w:marTop w:val="0"/>
          <w:marBottom w:val="0"/>
          <w:divBdr>
            <w:top w:val="none" w:sz="0" w:space="0" w:color="auto"/>
            <w:left w:val="none" w:sz="0" w:space="0" w:color="auto"/>
            <w:bottom w:val="none" w:sz="0" w:space="0" w:color="auto"/>
            <w:right w:val="none" w:sz="0" w:space="0" w:color="auto"/>
          </w:divBdr>
          <w:divsChild>
            <w:div w:id="1243370849">
              <w:marLeft w:val="0"/>
              <w:marRight w:val="0"/>
              <w:marTop w:val="0"/>
              <w:marBottom w:val="0"/>
              <w:divBdr>
                <w:top w:val="none" w:sz="0" w:space="0" w:color="auto"/>
                <w:left w:val="none" w:sz="0" w:space="0" w:color="auto"/>
                <w:bottom w:val="none" w:sz="0" w:space="0" w:color="auto"/>
                <w:right w:val="none" w:sz="0" w:space="0" w:color="auto"/>
              </w:divBdr>
              <w:divsChild>
                <w:div w:id="20716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2303">
          <w:marLeft w:val="0"/>
          <w:marRight w:val="0"/>
          <w:marTop w:val="0"/>
          <w:marBottom w:val="0"/>
          <w:divBdr>
            <w:top w:val="none" w:sz="0" w:space="0" w:color="auto"/>
            <w:left w:val="none" w:sz="0" w:space="0" w:color="auto"/>
            <w:bottom w:val="none" w:sz="0" w:space="0" w:color="auto"/>
            <w:right w:val="none" w:sz="0" w:space="0" w:color="auto"/>
          </w:divBdr>
          <w:divsChild>
            <w:div w:id="1636836606">
              <w:marLeft w:val="0"/>
              <w:marRight w:val="0"/>
              <w:marTop w:val="0"/>
              <w:marBottom w:val="0"/>
              <w:divBdr>
                <w:top w:val="none" w:sz="0" w:space="0" w:color="auto"/>
                <w:left w:val="none" w:sz="0" w:space="0" w:color="auto"/>
                <w:bottom w:val="none" w:sz="0" w:space="0" w:color="auto"/>
                <w:right w:val="none" w:sz="0" w:space="0" w:color="auto"/>
              </w:divBdr>
              <w:divsChild>
                <w:div w:id="20669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5040">
          <w:marLeft w:val="0"/>
          <w:marRight w:val="0"/>
          <w:marTop w:val="0"/>
          <w:marBottom w:val="0"/>
          <w:divBdr>
            <w:top w:val="none" w:sz="0" w:space="0" w:color="auto"/>
            <w:left w:val="none" w:sz="0" w:space="0" w:color="auto"/>
            <w:bottom w:val="none" w:sz="0" w:space="0" w:color="auto"/>
            <w:right w:val="none" w:sz="0" w:space="0" w:color="auto"/>
          </w:divBdr>
          <w:divsChild>
            <w:div w:id="615409407">
              <w:marLeft w:val="0"/>
              <w:marRight w:val="0"/>
              <w:marTop w:val="0"/>
              <w:marBottom w:val="0"/>
              <w:divBdr>
                <w:top w:val="none" w:sz="0" w:space="0" w:color="auto"/>
                <w:left w:val="none" w:sz="0" w:space="0" w:color="auto"/>
                <w:bottom w:val="none" w:sz="0" w:space="0" w:color="auto"/>
                <w:right w:val="none" w:sz="0" w:space="0" w:color="auto"/>
              </w:divBdr>
              <w:divsChild>
                <w:div w:id="10553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05710">
      <w:bodyDiv w:val="1"/>
      <w:marLeft w:val="0"/>
      <w:marRight w:val="0"/>
      <w:marTop w:val="0"/>
      <w:marBottom w:val="0"/>
      <w:divBdr>
        <w:top w:val="none" w:sz="0" w:space="0" w:color="auto"/>
        <w:left w:val="none" w:sz="0" w:space="0" w:color="auto"/>
        <w:bottom w:val="none" w:sz="0" w:space="0" w:color="auto"/>
        <w:right w:val="none" w:sz="0" w:space="0" w:color="auto"/>
      </w:divBdr>
      <w:divsChild>
        <w:div w:id="1220290458">
          <w:marLeft w:val="0"/>
          <w:marRight w:val="0"/>
          <w:marTop w:val="0"/>
          <w:marBottom w:val="0"/>
          <w:divBdr>
            <w:top w:val="none" w:sz="0" w:space="0" w:color="auto"/>
            <w:left w:val="none" w:sz="0" w:space="0" w:color="auto"/>
            <w:bottom w:val="none" w:sz="0" w:space="0" w:color="auto"/>
            <w:right w:val="none" w:sz="0" w:space="0" w:color="auto"/>
          </w:divBdr>
          <w:divsChild>
            <w:div w:id="1646664337">
              <w:marLeft w:val="0"/>
              <w:marRight w:val="0"/>
              <w:marTop w:val="0"/>
              <w:marBottom w:val="0"/>
              <w:divBdr>
                <w:top w:val="none" w:sz="0" w:space="0" w:color="auto"/>
                <w:left w:val="none" w:sz="0" w:space="0" w:color="auto"/>
                <w:bottom w:val="none" w:sz="0" w:space="0" w:color="auto"/>
                <w:right w:val="none" w:sz="0" w:space="0" w:color="auto"/>
              </w:divBdr>
              <w:divsChild>
                <w:div w:id="2815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05829">
          <w:marLeft w:val="0"/>
          <w:marRight w:val="0"/>
          <w:marTop w:val="0"/>
          <w:marBottom w:val="0"/>
          <w:divBdr>
            <w:top w:val="none" w:sz="0" w:space="0" w:color="auto"/>
            <w:left w:val="none" w:sz="0" w:space="0" w:color="auto"/>
            <w:bottom w:val="none" w:sz="0" w:space="0" w:color="auto"/>
            <w:right w:val="none" w:sz="0" w:space="0" w:color="auto"/>
          </w:divBdr>
          <w:divsChild>
            <w:div w:id="1262569455">
              <w:marLeft w:val="0"/>
              <w:marRight w:val="0"/>
              <w:marTop w:val="0"/>
              <w:marBottom w:val="0"/>
              <w:divBdr>
                <w:top w:val="none" w:sz="0" w:space="0" w:color="auto"/>
                <w:left w:val="none" w:sz="0" w:space="0" w:color="auto"/>
                <w:bottom w:val="none" w:sz="0" w:space="0" w:color="auto"/>
                <w:right w:val="none" w:sz="0" w:space="0" w:color="auto"/>
              </w:divBdr>
              <w:divsChild>
                <w:div w:id="1204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95515">
      <w:bodyDiv w:val="1"/>
      <w:marLeft w:val="0"/>
      <w:marRight w:val="0"/>
      <w:marTop w:val="0"/>
      <w:marBottom w:val="0"/>
      <w:divBdr>
        <w:top w:val="none" w:sz="0" w:space="0" w:color="auto"/>
        <w:left w:val="none" w:sz="0" w:space="0" w:color="auto"/>
        <w:bottom w:val="none" w:sz="0" w:space="0" w:color="auto"/>
        <w:right w:val="none" w:sz="0" w:space="0" w:color="auto"/>
      </w:divBdr>
      <w:divsChild>
        <w:div w:id="1586302737">
          <w:marLeft w:val="0"/>
          <w:marRight w:val="0"/>
          <w:marTop w:val="0"/>
          <w:marBottom w:val="0"/>
          <w:divBdr>
            <w:top w:val="none" w:sz="0" w:space="0" w:color="auto"/>
            <w:left w:val="none" w:sz="0" w:space="0" w:color="auto"/>
            <w:bottom w:val="none" w:sz="0" w:space="0" w:color="auto"/>
            <w:right w:val="none" w:sz="0" w:space="0" w:color="auto"/>
          </w:divBdr>
          <w:divsChild>
            <w:div w:id="1182205888">
              <w:marLeft w:val="0"/>
              <w:marRight w:val="0"/>
              <w:marTop w:val="0"/>
              <w:marBottom w:val="0"/>
              <w:divBdr>
                <w:top w:val="none" w:sz="0" w:space="0" w:color="auto"/>
                <w:left w:val="none" w:sz="0" w:space="0" w:color="auto"/>
                <w:bottom w:val="none" w:sz="0" w:space="0" w:color="auto"/>
                <w:right w:val="none" w:sz="0" w:space="0" w:color="auto"/>
              </w:divBdr>
              <w:divsChild>
                <w:div w:id="18736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619">
          <w:marLeft w:val="0"/>
          <w:marRight w:val="0"/>
          <w:marTop w:val="0"/>
          <w:marBottom w:val="0"/>
          <w:divBdr>
            <w:top w:val="none" w:sz="0" w:space="0" w:color="auto"/>
            <w:left w:val="none" w:sz="0" w:space="0" w:color="auto"/>
            <w:bottom w:val="none" w:sz="0" w:space="0" w:color="auto"/>
            <w:right w:val="none" w:sz="0" w:space="0" w:color="auto"/>
          </w:divBdr>
          <w:divsChild>
            <w:div w:id="489635638">
              <w:marLeft w:val="0"/>
              <w:marRight w:val="0"/>
              <w:marTop w:val="0"/>
              <w:marBottom w:val="0"/>
              <w:divBdr>
                <w:top w:val="none" w:sz="0" w:space="0" w:color="auto"/>
                <w:left w:val="none" w:sz="0" w:space="0" w:color="auto"/>
                <w:bottom w:val="none" w:sz="0" w:space="0" w:color="auto"/>
                <w:right w:val="none" w:sz="0" w:space="0" w:color="auto"/>
              </w:divBdr>
              <w:divsChild>
                <w:div w:id="691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publ/othp33.htm" TargetMode="External"/><Relationship Id="rId13" Type="http://schemas.openxmlformats.org/officeDocument/2006/relationships/hyperlink" Target="https://www.investopedia.com/terms/s/sar.asp" TargetMode="External"/><Relationship Id="rId3" Type="http://schemas.openxmlformats.org/officeDocument/2006/relationships/webSettings" Target="webSettings.xml"/><Relationship Id="rId7" Type="http://schemas.openxmlformats.org/officeDocument/2006/relationships/hyperlink" Target="https://www.bis.org/publ/bppdf/bispap107.pdf" TargetMode="External"/><Relationship Id="rId12" Type="http://schemas.openxmlformats.org/officeDocument/2006/relationships/hyperlink" Target="https://dcg.co/portfol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a.org/en-US/white-paper/" TargetMode="External"/><Relationship Id="rId11" Type="http://schemas.openxmlformats.org/officeDocument/2006/relationships/hyperlink" Target="https://dcg.co/" TargetMode="External"/><Relationship Id="rId5" Type="http://schemas.openxmlformats.org/officeDocument/2006/relationships/hyperlink" Target="https://www.bbc.com/news/business-54519326" TargetMode="External"/><Relationship Id="rId15" Type="http://schemas.openxmlformats.org/officeDocument/2006/relationships/theme" Target="theme/theme1.xml"/><Relationship Id="rId10" Type="http://schemas.openxmlformats.org/officeDocument/2006/relationships/hyperlink" Target="https://dcg.co/" TargetMode="External"/><Relationship Id="rId4" Type="http://schemas.openxmlformats.org/officeDocument/2006/relationships/hyperlink" Target="https://www.digitaldollarproject.org/" TargetMode="External"/><Relationship Id="rId9" Type="http://schemas.openxmlformats.org/officeDocument/2006/relationships/hyperlink" Target="https://www.coindesk.com/ethic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1259</Words>
  <Characters>6928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13</cp:revision>
  <dcterms:created xsi:type="dcterms:W3CDTF">2022-01-19T03:41:00Z</dcterms:created>
  <dcterms:modified xsi:type="dcterms:W3CDTF">2022-02-03T00:36:00Z</dcterms:modified>
</cp:coreProperties>
</file>