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A8E4" w14:textId="0F9B46F4" w:rsidR="009A370C" w:rsidRPr="00761BAC" w:rsidRDefault="00BB0898" w:rsidP="00AA64E9">
      <w:pPr>
        <w:spacing w:after="0"/>
        <w:rPr>
          <w:sz w:val="24"/>
          <w:szCs w:val="24"/>
        </w:rPr>
      </w:pPr>
      <w:r w:rsidRPr="00761BAC">
        <w:rPr>
          <w:sz w:val="24"/>
          <w:szCs w:val="24"/>
        </w:rPr>
        <w:t>Moneda digital del banco central</w:t>
      </w:r>
      <w:r w:rsidR="00E65969" w:rsidRPr="00761BAC">
        <w:rPr>
          <w:sz w:val="24"/>
          <w:szCs w:val="24"/>
        </w:rPr>
        <w:t xml:space="preserve"> CBDC</w:t>
      </w:r>
      <w:r w:rsidR="00115FB4">
        <w:rPr>
          <w:sz w:val="24"/>
          <w:szCs w:val="24"/>
        </w:rPr>
        <w:t xml:space="preserve"> - E</w:t>
      </w:r>
      <w:r w:rsidRPr="00761BAC">
        <w:rPr>
          <w:sz w:val="24"/>
          <w:szCs w:val="24"/>
        </w:rPr>
        <w:t>l futuro comienza hoy</w:t>
      </w:r>
    </w:p>
    <w:p w14:paraId="6523B018" w14:textId="77777777" w:rsidR="00E65969" w:rsidRDefault="00E65969"/>
    <w:p w14:paraId="03790CE5" w14:textId="77777777" w:rsidR="00AA64E9" w:rsidRDefault="00AA64E9"/>
    <w:p w14:paraId="4D14D5BE" w14:textId="03C01677" w:rsidR="00E65969" w:rsidRDefault="00E65969">
      <w:r w:rsidRPr="00E65969">
        <w:t>Discurso de </w:t>
      </w:r>
      <w:hyperlink r:id="rId4" w:history="1">
        <w:r w:rsidRPr="00E65969">
          <w:rPr>
            <w:rStyle w:val="Hipervnculo"/>
          </w:rPr>
          <w:t>Benoît Cœuré,</w:t>
        </w:r>
      </w:hyperlink>
      <w:r w:rsidR="00115FB4">
        <w:t xml:space="preserve"> d</w:t>
      </w:r>
      <w:r w:rsidRPr="00E65969">
        <w:t>irector del Centro de Innovación del BIS, en el Foro Financiero Eurofi, Liubliana, viernes 10 de septiembre de 2021.</w:t>
      </w:r>
    </w:p>
    <w:p w14:paraId="11830F6E" w14:textId="15482BEC" w:rsidR="00E65969" w:rsidRDefault="00E65969" w:rsidP="00E65969">
      <w:r>
        <w:t>BIS, centro de | de discursos de Innovation Hub   10 septiembre 2021</w:t>
      </w:r>
    </w:p>
    <w:p w14:paraId="0CC9BE86" w14:textId="1FA599C6" w:rsidR="00E65969" w:rsidRDefault="00E65969" w:rsidP="00E65969"/>
    <w:p w14:paraId="2685CB2F" w14:textId="77777777" w:rsidR="00E65969" w:rsidRPr="00E65969" w:rsidRDefault="00E65969" w:rsidP="00E65969">
      <w:r w:rsidRPr="00E65969">
        <w:t>Distinguidos invitados, señoras y señores.</w:t>
      </w:r>
    </w:p>
    <w:p w14:paraId="75D08F9B" w14:textId="77777777" w:rsidR="00E65969" w:rsidRPr="00E65969" w:rsidRDefault="00E65969" w:rsidP="00695607">
      <w:pPr>
        <w:jc w:val="both"/>
      </w:pPr>
      <w:r w:rsidRPr="00E65969">
        <w:t>Gracias por invitarme a hablar hoy aquí. Todos experimentamos cómo la pandemia aceleró el cambio a eventos virtuales, pero me complace que hoy nos reunamos en persona.</w:t>
      </w:r>
    </w:p>
    <w:p w14:paraId="5D221CBA" w14:textId="77777777" w:rsidR="00E65969" w:rsidRPr="00E65969" w:rsidRDefault="00E65969" w:rsidP="00695607">
      <w:pPr>
        <w:jc w:val="both"/>
      </w:pPr>
      <w:r w:rsidRPr="00E65969">
        <w:t>Sin embargo, el mundo no está volviendo a la vieja normalidad. Los pagos son un buen ejemplo. La pandemia ha acelerado un movimiento a largo plazo hacia lo digital. Los pagos móviles y sin contacto ya forman parte de nuestra vida cotidiana; Los códigos QR y las opciones de "comprar ahora, pagar más tarde" están ganando popularidad; se están preparando guantes, insignias y uniformes olímpicos con funciones de pago para los Juegos Olímpicos de Invierno de Beijing; y la generación experta en tecnología pronto soñará con dinero y pagos para el metaverso.</w:t>
      </w:r>
    </w:p>
    <w:p w14:paraId="00B4E94F" w14:textId="77777777" w:rsidR="00E65969" w:rsidRPr="00E65969" w:rsidRDefault="00E65969" w:rsidP="00695607">
      <w:pPr>
        <w:jc w:val="both"/>
      </w:pPr>
      <w:r w:rsidRPr="00E65969">
        <w:t>Junto con estos desarrollos, los bancos centrales del mundo están intensificando los esfuerzos para preparar el terreno para el efectivo digital: la moneda digital del banco central (CBDC).</w:t>
      </w:r>
      <w:bookmarkStart w:id="0" w:name="_ftnref1"/>
      <w:r w:rsidRPr="00E65969">
        <w:rPr>
          <w:vertAlign w:val="superscript"/>
        </w:rPr>
        <w:fldChar w:fldCharType="begin"/>
      </w:r>
      <w:r w:rsidRPr="00E65969">
        <w:rPr>
          <w:vertAlign w:val="superscript"/>
        </w:rPr>
        <w:instrText xml:space="preserve"> HYPERLINK "https://www.bis.org/speeches/sp210910.htm" \l "_ftn1" </w:instrText>
      </w:r>
      <w:r w:rsidRPr="00E65969">
        <w:rPr>
          <w:vertAlign w:val="superscript"/>
        </w:rPr>
        <w:fldChar w:fldCharType="separate"/>
      </w:r>
      <w:r w:rsidRPr="00E65969">
        <w:rPr>
          <w:rStyle w:val="Hipervnculo"/>
        </w:rPr>
        <w:t>1</w:t>
      </w:r>
      <w:r w:rsidRPr="00E65969">
        <w:fldChar w:fldCharType="end"/>
      </w:r>
      <w:bookmarkEnd w:id="0"/>
      <w:r w:rsidRPr="00E65969">
        <w:t> Tienen un trabajo que hacer, ofrecer estabilidad de precios y estabilidad financiera, y deben conservar su capacidad para hacerlo.</w:t>
      </w:r>
    </w:p>
    <w:p w14:paraId="37673818" w14:textId="77777777" w:rsidR="00E65969" w:rsidRPr="00E65969" w:rsidRDefault="00E65969" w:rsidP="00695607">
      <w:pPr>
        <w:jc w:val="both"/>
      </w:pPr>
      <w:r w:rsidRPr="00E65969">
        <w:t>Déjame explicarte.</w:t>
      </w:r>
    </w:p>
    <w:p w14:paraId="0DDFB3A2" w14:textId="77777777" w:rsidR="00E65969" w:rsidRPr="00E65969" w:rsidRDefault="00E65969" w:rsidP="00695607">
      <w:pPr>
        <w:jc w:val="both"/>
      </w:pPr>
      <w:r w:rsidRPr="00E65969">
        <w:t>El dinero del banco central tiene ventajas únicas: seguridad, finalidad, liquidez e integridad. A medida que nuestras economías se digitalizan, deben seguir beneficiándose de estas ventajas. El dinero está en el corazón del sistema y tiene que seguir siendo emitido y controlado por instituciones confiables y responsables que tienen objetivos de política pública, no de lucro. El dinero del banco central tendrá que evolucionar para ser apto para el futuro digital.</w:t>
      </w:r>
    </w:p>
    <w:p w14:paraId="59FB14A8" w14:textId="77777777" w:rsidR="00E65969" w:rsidRPr="00E65969" w:rsidRDefault="00E65969" w:rsidP="00695607">
      <w:pPr>
        <w:jc w:val="both"/>
      </w:pPr>
      <w:r w:rsidRPr="00E65969">
        <w:t>Entonces, ¿cuáles son las prioridades ahora? </w:t>
      </w:r>
      <w:r w:rsidRPr="00E65969">
        <w:rPr>
          <w:i/>
          <w:iCs/>
        </w:rPr>
        <w:t>Sepa a dónde va,</w:t>
      </w:r>
      <w:r w:rsidRPr="00E65969">
        <w:t xml:space="preserve"> como dijo una vez </w:t>
      </w:r>
      <w:proofErr w:type="spellStart"/>
      <w:r w:rsidRPr="00E65969">
        <w:t>Dag</w:t>
      </w:r>
      <w:proofErr w:type="spellEnd"/>
      <w:r w:rsidRPr="00E65969">
        <w:t xml:space="preserve"> Hammarskjöld</w:t>
      </w:r>
      <w:bookmarkStart w:id="1" w:name="_ftnref2"/>
      <w:r w:rsidRPr="00E65969">
        <w:rPr>
          <w:vertAlign w:val="superscript"/>
        </w:rPr>
        <w:fldChar w:fldCharType="begin"/>
      </w:r>
      <w:r w:rsidRPr="00E65969">
        <w:rPr>
          <w:vertAlign w:val="superscript"/>
        </w:rPr>
        <w:instrText xml:space="preserve"> HYPERLINK "https://www.bis.org/speeches/sp210910.htm" \l "_ftn2" </w:instrText>
      </w:r>
      <w:r w:rsidRPr="00E65969">
        <w:rPr>
          <w:vertAlign w:val="superscript"/>
        </w:rPr>
        <w:fldChar w:fldCharType="separate"/>
      </w:r>
      <w:r w:rsidRPr="00E65969">
        <w:rPr>
          <w:rStyle w:val="Hipervnculo"/>
        </w:rPr>
        <w:t>2</w:t>
      </w:r>
      <w:r w:rsidRPr="00E65969">
        <w:fldChar w:fldCharType="end"/>
      </w:r>
      <w:bookmarkEnd w:id="1"/>
      <w:r w:rsidRPr="00E65969">
        <w:t>, "sólo el que mantiene la mirada fija en el horizonte lejano encontrará el camino correcto". Y </w:t>
      </w:r>
      <w:r w:rsidRPr="00E65969">
        <w:rPr>
          <w:i/>
          <w:iCs/>
        </w:rPr>
        <w:t>ponte en marcha.</w:t>
      </w:r>
    </w:p>
    <w:p w14:paraId="105463D3" w14:textId="77777777" w:rsidR="00E65969" w:rsidRPr="00E65969" w:rsidRDefault="00E65969" w:rsidP="00695607">
      <w:pPr>
        <w:jc w:val="both"/>
      </w:pPr>
      <w:r w:rsidRPr="00E65969">
        <w:t>Permítanme dar más detalles.</w:t>
      </w:r>
    </w:p>
    <w:p w14:paraId="1086539F" w14:textId="77777777" w:rsidR="00E65969" w:rsidRPr="00E65969" w:rsidRDefault="00E65969" w:rsidP="00695607">
      <w:pPr>
        <w:jc w:val="both"/>
      </w:pPr>
      <w:r w:rsidRPr="00E65969">
        <w:t>¿Por qué necesitamos saber hacia </w:t>
      </w:r>
      <w:r w:rsidRPr="00E65969">
        <w:rPr>
          <w:i/>
          <w:iCs/>
        </w:rPr>
        <w:t>dónde vamos?</w:t>
      </w:r>
      <w:r w:rsidRPr="00E65969">
        <w:t> Porque hoy, el sistema financiero está cambiando bajo nuestros pies.</w:t>
      </w:r>
    </w:p>
    <w:p w14:paraId="0C42B68F" w14:textId="77777777" w:rsidR="00E65969" w:rsidRPr="00E65969" w:rsidRDefault="00E65969" w:rsidP="00695607">
      <w:pPr>
        <w:jc w:val="both"/>
      </w:pPr>
      <w:r w:rsidRPr="00E65969">
        <w:t>Las grandes tecnológicas están expandiendo su presencia en los pagos minoristas. Las monedas estables están llamando a la puerta, buscando la aprobación regulatoria. Las plataformas de finanzas descentralizadas (DeFi) están desafiando la intermediación financiera tradicional. Todos vienen con diferentes preguntas regulatorias, que necesitan respuestas rápidas y consistentes.</w:t>
      </w:r>
    </w:p>
    <w:p w14:paraId="76623D79" w14:textId="77777777" w:rsidR="00E65969" w:rsidRPr="00E65969" w:rsidRDefault="00E65969" w:rsidP="00695607">
      <w:pPr>
        <w:jc w:val="both"/>
      </w:pPr>
      <w:r w:rsidRPr="00E65969">
        <w:lastRenderedPageBreak/>
        <w:t>Los bancos están preocupados por las implicaciones de las CBDC para los depósitos de los clientes. Los bancos centrales son conscientes de estas preocupaciones y están trabajando en respuestas. Ven a los bancos como parte de los futuros sistemas de CBDC. Pero no se equivoquen: las monedas estables globales, las plataformas DeFi y las grandes empresas de tecnología desafiarán los modelos de los bancos a pesar de todo.</w:t>
      </w:r>
    </w:p>
    <w:p w14:paraId="31DD4DA2" w14:textId="77777777" w:rsidR="00E65969" w:rsidRPr="00E65969" w:rsidRDefault="00E65969" w:rsidP="006916C5">
      <w:pPr>
        <w:jc w:val="both"/>
      </w:pPr>
      <w:r w:rsidRPr="00E65969">
        <w:t>Las monedas estables pueden desarrollarse como ecosistemas cerrados o "jardines amurallados", creando fragmentación. Con protocolos DeFi,</w:t>
      </w:r>
      <w:bookmarkStart w:id="2" w:name="_ftnref3"/>
      <w:r w:rsidRPr="00E65969">
        <w:rPr>
          <w:vertAlign w:val="superscript"/>
        </w:rPr>
        <w:fldChar w:fldCharType="begin"/>
      </w:r>
      <w:r w:rsidRPr="00E65969">
        <w:rPr>
          <w:vertAlign w:val="superscript"/>
        </w:rPr>
        <w:instrText xml:space="preserve"> HYPERLINK "https://www.bis.org/speeches/sp210910.htm" \l "_ftn3" </w:instrText>
      </w:r>
      <w:r w:rsidRPr="00E65969">
        <w:rPr>
          <w:vertAlign w:val="superscript"/>
        </w:rPr>
        <w:fldChar w:fldCharType="separate"/>
      </w:r>
      <w:r w:rsidRPr="00E65969">
        <w:rPr>
          <w:rStyle w:val="Hipervnculo"/>
        </w:rPr>
        <w:t>3</w:t>
      </w:r>
      <w:r w:rsidRPr="00E65969">
        <w:fldChar w:fldCharType="end"/>
      </w:r>
      <w:bookmarkEnd w:id="2"/>
      <w:r w:rsidRPr="00E65969">
        <w:t> cualquier preocupación sobre los activos subyacentes a las monedas estables podría hacer que el contagio se propague a través de un sistema. Y la creciente huella de las grandes tecnológicas en las finanzas aumenta el poder de mercado y los problemas de privacidad, y desafía los enfoques regulatorios actuales.</w:t>
      </w:r>
      <w:bookmarkStart w:id="3" w:name="_ftnref4"/>
      <w:r w:rsidRPr="00E65969">
        <w:fldChar w:fldCharType="begin"/>
      </w:r>
      <w:r w:rsidRPr="00E65969">
        <w:instrText xml:space="preserve"> HYPERLINK "https://www.bis.org/speeches/sp210910.htm" \l "_ftn4" </w:instrText>
      </w:r>
      <w:r w:rsidRPr="00E65969">
        <w:fldChar w:fldCharType="separate"/>
      </w:r>
      <w:r w:rsidRPr="00E65969">
        <w:rPr>
          <w:rStyle w:val="Hipervnculo"/>
          <w:vertAlign w:val="superscript"/>
        </w:rPr>
        <w:t>4</w:t>
      </w:r>
      <w:r w:rsidRPr="00E65969">
        <w:fldChar w:fldCharType="end"/>
      </w:r>
      <w:bookmarkEnd w:id="3"/>
    </w:p>
    <w:p w14:paraId="11F8114D" w14:textId="77777777" w:rsidR="00E65969" w:rsidRPr="00E65969" w:rsidRDefault="00E65969" w:rsidP="006916C5">
      <w:pPr>
        <w:jc w:val="both"/>
      </w:pPr>
      <w:r w:rsidRPr="00E65969">
        <w:t>¿Los nuevos actores complementarán o desplazarán a los bancos comerciales? ¿Deberían los bancos centrales abrir cuentas a estos nuevos actores, y bajo qué condiciones regulatorias? ¿Qué tipo de intermediación financiera necesitamos para financiar la inversión y la transformación verde? ¿Cómo deberían coexistir el dinero público y privado en los nuevos ecosistemas, por ejemplo, debería usarse el dinero del banco central en DeFi en lugar de en monedas estables privadas?</w:t>
      </w:r>
    </w:p>
    <w:p w14:paraId="74BC7B74" w14:textId="77777777" w:rsidR="00E65969" w:rsidRPr="00E65969" w:rsidRDefault="00E65969" w:rsidP="006916C5">
      <w:pPr>
        <w:jc w:val="both"/>
      </w:pPr>
      <w:r w:rsidRPr="00E65969">
        <w:t>Necesitamos urgentemente hacernos este tipo de preguntas sobre el futuro. Este es el horizonte lejano para el sistema financiero, pero nos acercamos a él cada vez más rápido. Los bancos centrales necesitan saber a dónde quieren ir a medida que se embarcan en su viaje de CBDC.</w:t>
      </w:r>
    </w:p>
    <w:p w14:paraId="7DD91217" w14:textId="77777777" w:rsidR="00E65969" w:rsidRPr="00E65969" w:rsidRDefault="00E65969" w:rsidP="006916C5">
      <w:pPr>
        <w:jc w:val="both"/>
      </w:pPr>
      <w:r w:rsidRPr="00E65969">
        <w:t>CBDC será parte de la respuesta. Una CBDC bien diseñada será un medio seguro y neutral de pago y activo de liquidación, que servirá como una plataforma interoperable común en torno a la cual el nuevo ecosistema de pago puede organizarse. Permitirá una arquitectura de finanzas abiertas que se integre al tiempo que da la bienvenida a la competencia y la innovación.</w:t>
      </w:r>
      <w:bookmarkStart w:id="4" w:name="_ftnref5"/>
      <w:r w:rsidRPr="00E65969">
        <w:rPr>
          <w:vertAlign w:val="superscript"/>
        </w:rPr>
        <w:fldChar w:fldCharType="begin"/>
      </w:r>
      <w:r w:rsidRPr="00E65969">
        <w:rPr>
          <w:vertAlign w:val="superscript"/>
        </w:rPr>
        <w:instrText xml:space="preserve"> HYPERLINK "https://www.bis.org/speeches/sp210910.htm" \l "_ftn5" </w:instrText>
      </w:r>
      <w:r w:rsidRPr="00E65969">
        <w:rPr>
          <w:vertAlign w:val="superscript"/>
        </w:rPr>
        <w:fldChar w:fldCharType="separate"/>
      </w:r>
      <w:r w:rsidRPr="00E65969">
        <w:rPr>
          <w:rStyle w:val="Hipervnculo"/>
        </w:rPr>
        <w:t>5</w:t>
      </w:r>
      <w:r w:rsidRPr="00E65969">
        <w:fldChar w:fldCharType="end"/>
      </w:r>
      <w:bookmarkEnd w:id="4"/>
      <w:r w:rsidRPr="00E65969">
        <w:t> Y preservará el control democrático de la moneda.</w:t>
      </w:r>
    </w:p>
    <w:p w14:paraId="0B97ED6D" w14:textId="77777777" w:rsidR="00E65969" w:rsidRPr="00E65969" w:rsidRDefault="00E65969" w:rsidP="006916C5">
      <w:pPr>
        <w:jc w:val="both"/>
      </w:pPr>
      <w:r w:rsidRPr="00E65969">
        <w:t>Esto me lleva a mi segundo mensaje: ha pasado el tiempo para que los bancos centrales se pongan en marcha. Debemos arremangarnos y acelerar nuestro trabajo en el meollo del diseño de CBDC. Las CBDC tardarán años en implementarse, mientras que las monedas estables y los criptoactivos ya están aquí. Esto hace que sea aún más urgente comenzar.</w:t>
      </w:r>
    </w:p>
    <w:p w14:paraId="5E7C25D1" w14:textId="77777777" w:rsidR="00E65969" w:rsidRPr="00E65969" w:rsidRDefault="00E65969" w:rsidP="006916C5">
      <w:pPr>
        <w:jc w:val="both"/>
      </w:pPr>
      <w:r w:rsidRPr="00E65969">
        <w:t>En las metodologías de pensamiento de diseño que utilizamos en el BIS Innovation Hub, el producto ideal se encuentra en un punto óptimo en la intersección de la conveniencia, la viabilidad y la viabilidad. Cuando se aplican a las CBDC, estas se traducen en tres dimensiones: casos de uso del consumidor, objetivos de política pública y tecnología.</w:t>
      </w:r>
    </w:p>
    <w:p w14:paraId="5BC3BE1B" w14:textId="3C914815" w:rsidR="00E65969" w:rsidRPr="00E65969" w:rsidRDefault="00E65969" w:rsidP="006916C5">
      <w:pPr>
        <w:jc w:val="both"/>
      </w:pPr>
      <w:r w:rsidRPr="00E65969">
        <w:t>Tenemos que preguntarnos por qué </w:t>
      </w:r>
      <w:r w:rsidRPr="00E65969">
        <w:rPr>
          <w:i/>
          <w:iCs/>
        </w:rPr>
        <w:t>los consumidores</w:t>
      </w:r>
      <w:r w:rsidRPr="00E65969">
        <w:t> querrían una CBDC y qué querrían que hiciera. La reciente consulta pública del Banco Central Europeo (BCE) demostró que valoran la privacidad, la seguridad y la usabilidad general.</w:t>
      </w:r>
      <w:bookmarkStart w:id="5" w:name="_ftnref6"/>
      <w:r w:rsidRPr="00E65969">
        <w:rPr>
          <w:vertAlign w:val="superscript"/>
        </w:rPr>
        <w:fldChar w:fldCharType="begin"/>
      </w:r>
      <w:r w:rsidRPr="00E65969">
        <w:rPr>
          <w:vertAlign w:val="superscript"/>
        </w:rPr>
        <w:instrText xml:space="preserve"> HYPERLINK "https://www.bis.org/speeches/sp210910.htm" \l "_ftn6" </w:instrText>
      </w:r>
      <w:r w:rsidRPr="00E65969">
        <w:rPr>
          <w:vertAlign w:val="superscript"/>
        </w:rPr>
        <w:fldChar w:fldCharType="separate"/>
      </w:r>
      <w:r w:rsidRPr="00E65969">
        <w:rPr>
          <w:rStyle w:val="Hipervnculo"/>
        </w:rPr>
        <w:t>6</w:t>
      </w:r>
      <w:r w:rsidRPr="00E65969">
        <w:fldChar w:fldCharType="end"/>
      </w:r>
      <w:bookmarkEnd w:id="5"/>
      <w:r w:rsidRPr="00E65969">
        <w:t xml:space="preserve"> Para satisfacer las expectativas de los consumidores, las CBDC deben funcionar de la manera más conveniente. Los datos de pago deben estar protegidos. Se pueden desarrollar funciones digitales que no están disponibles con efectivo, como la programabilidad o los </w:t>
      </w:r>
      <w:r w:rsidR="00115FB4" w:rsidRPr="00E65969">
        <w:t>micro pagos</w:t>
      </w:r>
      <w:r w:rsidRPr="00E65969">
        <w:t xml:space="preserve"> viables.</w:t>
      </w:r>
    </w:p>
    <w:p w14:paraId="7F610352" w14:textId="28F7AD7E" w:rsidR="00E65969" w:rsidRPr="00E65969" w:rsidRDefault="00E65969" w:rsidP="006916C5">
      <w:pPr>
        <w:jc w:val="both"/>
      </w:pPr>
      <w:r w:rsidRPr="00E65969">
        <w:t>Entonces las CBDC deben cumplir con los </w:t>
      </w:r>
      <w:r w:rsidRPr="00E65969">
        <w:rPr>
          <w:i/>
          <w:iCs/>
        </w:rPr>
        <w:t>objetivos de política pública.</w:t>
      </w:r>
      <w:bookmarkStart w:id="6" w:name="_ftnref7"/>
      <w:r w:rsidRPr="00E65969">
        <w:rPr>
          <w:vertAlign w:val="superscript"/>
        </w:rPr>
        <w:fldChar w:fldCharType="begin"/>
      </w:r>
      <w:r w:rsidRPr="00E65969">
        <w:rPr>
          <w:vertAlign w:val="superscript"/>
        </w:rPr>
        <w:instrText xml:space="preserve"> HYPERLINK "https://www.bis.org/speeches/sp210910.htm" \l "_ftn7" </w:instrText>
      </w:r>
      <w:r w:rsidRPr="00E65969">
        <w:rPr>
          <w:vertAlign w:val="superscript"/>
        </w:rPr>
        <w:fldChar w:fldCharType="separate"/>
      </w:r>
      <w:r w:rsidRPr="00E65969">
        <w:rPr>
          <w:rStyle w:val="Hipervnculo"/>
        </w:rPr>
        <w:t>7</w:t>
      </w:r>
      <w:r w:rsidRPr="00E65969">
        <w:fldChar w:fldCharType="end"/>
      </w:r>
      <w:bookmarkEnd w:id="6"/>
      <w:r w:rsidRPr="00E65969">
        <w:t xml:space="preserve"> Los bancos centrales existen para salvaguardar la estabilidad monetaria y financiera para el bien público. Las CBDC son una herramienta para lograr esto a través de la mejora de la seguridad y la neutralidad en los pagos </w:t>
      </w:r>
      <w:r w:rsidRPr="00E65969">
        <w:lastRenderedPageBreak/>
        <w:t xml:space="preserve">digitales, la inclusión y el acceso financiero, la innovación y la apertura. Quedan preguntas importantes. ¿Cómo pueden interoperar los sistemas </w:t>
      </w:r>
      <w:r w:rsidR="00115FB4">
        <w:t>CBD</w:t>
      </w:r>
      <w:r w:rsidRPr="00E65969">
        <w:t>C y se debe desalentar el uso en alta mar?</w:t>
      </w:r>
    </w:p>
    <w:p w14:paraId="47C9681C" w14:textId="77777777" w:rsidR="00E65969" w:rsidRPr="00E65969" w:rsidRDefault="00E65969" w:rsidP="006916C5">
      <w:pPr>
        <w:jc w:val="both"/>
      </w:pPr>
      <w:r w:rsidRPr="00E65969">
        <w:rPr>
          <w:i/>
          <w:iCs/>
        </w:rPr>
        <w:t>La tecnología</w:t>
      </w:r>
      <w:r w:rsidRPr="00E65969">
        <w:t> abre opciones de diseño. El diseño del sistema será complejo. Implica un papel operativo y de supervisión práctico para los bancos centrales y las asociaciones público-privadas para desarrollar las características centrales del instrumento CBDC y su sistema subyacente. Estas características son: facilidad de uso, bajo costo, convertibilidad, liquidación instantánea, disponibilidad continua y un alto grado de seguridad, resiliencia, flexibilidad y seguridad.</w:t>
      </w:r>
      <w:bookmarkStart w:id="7" w:name="_ftnref8"/>
      <w:r w:rsidRPr="00E65969">
        <w:rPr>
          <w:vertAlign w:val="superscript"/>
        </w:rPr>
        <w:fldChar w:fldCharType="begin"/>
      </w:r>
      <w:r w:rsidRPr="00E65969">
        <w:rPr>
          <w:vertAlign w:val="superscript"/>
        </w:rPr>
        <w:instrText xml:space="preserve"> HYPERLINK "https://www.bis.org/speeches/sp210910.htm" \l "_ftn8" </w:instrText>
      </w:r>
      <w:r w:rsidRPr="00E65969">
        <w:rPr>
          <w:vertAlign w:val="superscript"/>
        </w:rPr>
        <w:fldChar w:fldCharType="separate"/>
      </w:r>
      <w:r w:rsidRPr="00E65969">
        <w:rPr>
          <w:rStyle w:val="Hipervnculo"/>
        </w:rPr>
        <w:t>8</w:t>
      </w:r>
      <w:r w:rsidRPr="00E65969">
        <w:fldChar w:fldCharType="end"/>
      </w:r>
      <w:bookmarkEnd w:id="7"/>
      <w:r w:rsidRPr="00E65969">
        <w:t> Los bancos centrales abordarán las complejas compensaciones, incluida la forma de equilibrar la escala, la velocidad y el acceso abierto con la seguridad; y cómo equilibrar la funcionalidad fuera de línea con la complejidad y la seguridad.</w:t>
      </w:r>
    </w:p>
    <w:p w14:paraId="14ABD5D0" w14:textId="77777777" w:rsidR="00E65969" w:rsidRPr="00E65969" w:rsidRDefault="00E65969" w:rsidP="006916C5">
      <w:pPr>
        <w:jc w:val="both"/>
      </w:pPr>
      <w:r w:rsidRPr="00E65969">
        <w:t>En todo el mundo, los bancos centrales se están uniendo para centrarse en su misión común. Cargados de estabilidad, no se apresurarán. Quieren moverse rápido, pero no romper cosas. En algunos países se han iniciado consultas con los sistemas y proveedores de pagos, los bancos, el público y una amplia gama de partes interesadas. Para construir una CBDC para el público, un banco central necesita entender lo que necesita y trabajar en estrecha colaboración con otras autoridades. El BIS Innovation Hub está ayudando a los bancos centrales. Ya tenemos seis pruebas de concepto y prototipos relacionados con CBDC que se están desarrollando en nuestros centros, y más por venir.</w:t>
      </w:r>
      <w:bookmarkStart w:id="8" w:name="_ftnref9"/>
      <w:r w:rsidRPr="00E65969">
        <w:rPr>
          <w:vertAlign w:val="superscript"/>
        </w:rPr>
        <w:fldChar w:fldCharType="begin"/>
      </w:r>
      <w:r w:rsidRPr="00E65969">
        <w:rPr>
          <w:vertAlign w:val="superscript"/>
        </w:rPr>
        <w:instrText xml:space="preserve"> HYPERLINK "https://www.bis.org/speeches/sp210910.htm" \l "_ftn9" </w:instrText>
      </w:r>
      <w:r w:rsidRPr="00E65969">
        <w:rPr>
          <w:vertAlign w:val="superscript"/>
        </w:rPr>
        <w:fldChar w:fldCharType="separate"/>
      </w:r>
      <w:r w:rsidRPr="00E65969">
        <w:rPr>
          <w:rStyle w:val="Hipervnculo"/>
        </w:rPr>
        <w:t>9</w:t>
      </w:r>
      <w:r w:rsidRPr="00E65969">
        <w:fldChar w:fldCharType="end"/>
      </w:r>
      <w:bookmarkEnd w:id="8"/>
    </w:p>
    <w:p w14:paraId="1F3645A9" w14:textId="77777777" w:rsidR="00E65969" w:rsidRPr="00E65969" w:rsidRDefault="00E65969" w:rsidP="006916C5">
      <w:pPr>
        <w:jc w:val="both"/>
      </w:pPr>
      <w:r w:rsidRPr="00E65969">
        <w:t>La Unión Europea está en una posición única para afrontar el futuro. Puede basarse en un sistema de pago rápido de última generación, en las sólidas protecciones proporcionadas por el Reglamento General de Protección de Datos y en la filosofía abierta de la Segunda Directiva de Servicios de Pago. El informe del BCE sobre un euro digital prepara el escenario.</w:t>
      </w:r>
    </w:p>
    <w:p w14:paraId="001B279C" w14:textId="77777777" w:rsidR="00E65969" w:rsidRPr="00E65969" w:rsidRDefault="00E65969" w:rsidP="006916C5">
      <w:pPr>
        <w:jc w:val="both"/>
      </w:pPr>
      <w:r w:rsidRPr="00E65969">
        <w:t>El objetivo de una CBDC es, en última instancia, preservar los mejores elementos de nuestros sistemas actuales y, al mismo tiempo, permitir un espacio seguro para la innovación del mañana. Para hacerlo, los bancos centrales tienen que actuar mientras el sistema actual todavía está en su lugar, y actuar ahora.</w:t>
      </w:r>
    </w:p>
    <w:p w14:paraId="07B0FC77" w14:textId="77777777" w:rsidR="000A6BFA" w:rsidRDefault="000A6BFA" w:rsidP="006916C5">
      <w:pPr>
        <w:jc w:val="both"/>
      </w:pPr>
    </w:p>
    <w:p w14:paraId="2CCB3C87" w14:textId="0DAB8243" w:rsidR="00E65969" w:rsidRDefault="00E65969" w:rsidP="006916C5">
      <w:pPr>
        <w:jc w:val="both"/>
      </w:pPr>
      <w:r w:rsidRPr="00E65969">
        <w:t>Les agradezco su atención.</w:t>
      </w:r>
    </w:p>
    <w:p w14:paraId="11441C8C" w14:textId="7D07ECD7" w:rsidR="000A6BFA" w:rsidRDefault="000A6BFA" w:rsidP="00E65969"/>
    <w:p w14:paraId="3415E6F9" w14:textId="474AA377" w:rsidR="000A6BFA" w:rsidRDefault="000A6BFA" w:rsidP="00E65969"/>
    <w:p w14:paraId="156DF13D" w14:textId="35CC5EF1" w:rsidR="000A6BFA" w:rsidRDefault="000A6BFA" w:rsidP="00E65969"/>
    <w:p w14:paraId="7C631CB6" w14:textId="0151782B" w:rsidR="000A6BFA" w:rsidRDefault="000A6BFA" w:rsidP="00E65969"/>
    <w:p w14:paraId="2D7BBB73" w14:textId="7ED2FC99" w:rsidR="000A6BFA" w:rsidRDefault="000A6BFA" w:rsidP="00E65969"/>
    <w:p w14:paraId="7F316C68" w14:textId="2618CCE4" w:rsidR="000A6BFA" w:rsidRDefault="000A6BFA" w:rsidP="00E65969"/>
    <w:p w14:paraId="20790B17" w14:textId="5EAB370A" w:rsidR="000A6BFA" w:rsidRDefault="000A6BFA" w:rsidP="00E65969"/>
    <w:p w14:paraId="696B519F" w14:textId="55273C8B" w:rsidR="000A6BFA" w:rsidRPr="006916C5" w:rsidRDefault="000A6BFA" w:rsidP="006916C5">
      <w:pPr>
        <w:jc w:val="both"/>
        <w:rPr>
          <w:sz w:val="20"/>
          <w:szCs w:val="20"/>
        </w:rPr>
      </w:pPr>
    </w:p>
    <w:p w14:paraId="0BDDCB02" w14:textId="77777777" w:rsidR="00E65969" w:rsidRPr="006916C5" w:rsidRDefault="00115FB4" w:rsidP="006916C5">
      <w:pPr>
        <w:jc w:val="both"/>
        <w:rPr>
          <w:sz w:val="20"/>
          <w:szCs w:val="20"/>
        </w:rPr>
      </w:pPr>
      <w:r>
        <w:rPr>
          <w:sz w:val="20"/>
          <w:szCs w:val="20"/>
        </w:rPr>
        <w:lastRenderedPageBreak/>
        <w:pict w14:anchorId="48E579FD">
          <v:rect id="_x0000_i1025" style="width:655.45pt;height:0" o:hrpct="0" o:hralign="center" o:hrstd="t" o:hrnoshade="t" o:hr="t" fillcolor="#372f32" stroked="f"/>
        </w:pict>
      </w:r>
    </w:p>
    <w:bookmarkStart w:id="9" w:name="_ftn1"/>
    <w:p w14:paraId="56C1C3EC"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"_ftnref1" </w:instrText>
      </w:r>
      <w:r w:rsidRPr="006916C5">
        <w:rPr>
          <w:sz w:val="20"/>
          <w:szCs w:val="20"/>
          <w:vertAlign w:val="superscript"/>
        </w:rPr>
        <w:fldChar w:fldCharType="separate"/>
      </w:r>
      <w:r w:rsidRPr="006916C5">
        <w:rPr>
          <w:rStyle w:val="Hipervnculo"/>
          <w:sz w:val="20"/>
          <w:szCs w:val="20"/>
        </w:rPr>
        <w:t>1</w:t>
      </w:r>
      <w:r w:rsidRPr="006916C5">
        <w:rPr>
          <w:sz w:val="20"/>
          <w:szCs w:val="20"/>
        </w:rPr>
        <w:fldChar w:fldCharType="end"/>
      </w:r>
      <w:bookmarkEnd w:id="9"/>
      <w:r w:rsidRPr="006916C5">
        <w:rPr>
          <w:sz w:val="20"/>
          <w:szCs w:val="20"/>
        </w:rPr>
        <w:t xml:space="preserve"> Sobre la preparación de los bancos centrales para </w:t>
      </w:r>
      <w:proofErr w:type="spellStart"/>
      <w:r w:rsidRPr="006916C5">
        <w:rPr>
          <w:sz w:val="20"/>
          <w:szCs w:val="20"/>
        </w:rPr>
        <w:t>cbdc</w:t>
      </w:r>
      <w:proofErr w:type="spellEnd"/>
      <w:r w:rsidRPr="006916C5">
        <w:rPr>
          <w:sz w:val="20"/>
          <w:szCs w:val="20"/>
        </w:rPr>
        <w:t>, ver C Boar y A Wehrli, </w:t>
      </w:r>
      <w:proofErr w:type="spellStart"/>
      <w:r w:rsidRPr="006916C5">
        <w:rPr>
          <w:i/>
          <w:iCs/>
          <w:sz w:val="20"/>
          <w:szCs w:val="20"/>
        </w:rPr>
        <w:fldChar w:fldCharType="begin"/>
      </w:r>
      <w:r w:rsidRPr="006916C5">
        <w:rPr>
          <w:i/>
          <w:iCs/>
          <w:sz w:val="20"/>
          <w:szCs w:val="20"/>
        </w:rPr>
        <w:instrText xml:space="preserve"> HYPERLINK "https://www.bis.org/publ/bppdf/bispap114.htm" </w:instrText>
      </w:r>
      <w:r w:rsidRPr="006916C5">
        <w:rPr>
          <w:i/>
          <w:iCs/>
          <w:sz w:val="20"/>
          <w:szCs w:val="20"/>
        </w:rPr>
        <w:fldChar w:fldCharType="separate"/>
      </w:r>
      <w:r w:rsidRPr="006916C5">
        <w:rPr>
          <w:rStyle w:val="Hipervnculo"/>
          <w:i/>
          <w:iCs/>
          <w:sz w:val="20"/>
          <w:szCs w:val="20"/>
        </w:rPr>
        <w:t>Ready</w:t>
      </w:r>
      <w:proofErr w:type="spellEnd"/>
      <w:r w:rsidRPr="006916C5">
        <w:rPr>
          <w:rStyle w:val="Hipervnculo"/>
          <w:i/>
          <w:iCs/>
          <w:sz w:val="20"/>
          <w:szCs w:val="20"/>
        </w:rPr>
        <w:t>, </w:t>
      </w:r>
      <w:proofErr w:type="spellStart"/>
      <w:r w:rsidRPr="006916C5">
        <w:rPr>
          <w:rStyle w:val="Hipervnculo"/>
          <w:i/>
          <w:iCs/>
          <w:sz w:val="20"/>
          <w:szCs w:val="20"/>
        </w:rPr>
        <w:t>steady</w:t>
      </w:r>
      <w:proofErr w:type="spellEnd"/>
      <w:r w:rsidRPr="006916C5">
        <w:rPr>
          <w:rStyle w:val="Hipervnculo"/>
          <w:i/>
          <w:iCs/>
          <w:sz w:val="20"/>
          <w:szCs w:val="20"/>
        </w:rPr>
        <w:t xml:space="preserve"> </w:t>
      </w:r>
      <w:proofErr w:type="spellStart"/>
      <w:r w:rsidRPr="006916C5">
        <w:rPr>
          <w:rStyle w:val="Hipervnculo"/>
          <w:i/>
          <w:iCs/>
          <w:sz w:val="20"/>
          <w:szCs w:val="20"/>
        </w:rPr>
        <w:t>go</w:t>
      </w:r>
      <w:proofErr w:type="spellEnd"/>
      <w:r w:rsidRPr="006916C5">
        <w:rPr>
          <w:rStyle w:val="Hipervnculo"/>
          <w:i/>
          <w:iCs/>
          <w:sz w:val="20"/>
          <w:szCs w:val="20"/>
        </w:rPr>
        <w:t xml:space="preserve">? Resultados de la tercera encuesta del BPI sobre la moneda digital del banco </w:t>
      </w:r>
      <w:proofErr w:type="spellStart"/>
      <w:r w:rsidRPr="006916C5">
        <w:rPr>
          <w:rStyle w:val="Hipervnculo"/>
          <w:i/>
          <w:iCs/>
          <w:sz w:val="20"/>
          <w:szCs w:val="20"/>
        </w:rPr>
        <w:t>central,</w:t>
      </w:r>
      <w:r w:rsidRPr="006916C5">
        <w:rPr>
          <w:sz w:val="20"/>
          <w:szCs w:val="20"/>
        </w:rPr>
        <w:fldChar w:fldCharType="end"/>
      </w:r>
      <w:r w:rsidRPr="006916C5">
        <w:rPr>
          <w:sz w:val="20"/>
          <w:szCs w:val="20"/>
        </w:rPr>
        <w:t>BIS</w:t>
      </w:r>
      <w:proofErr w:type="spellEnd"/>
      <w:r w:rsidRPr="006916C5">
        <w:rPr>
          <w:sz w:val="20"/>
          <w:szCs w:val="20"/>
        </w:rPr>
        <w:t xml:space="preserve"> </w:t>
      </w:r>
      <w:proofErr w:type="spellStart"/>
      <w:r w:rsidRPr="006916C5">
        <w:rPr>
          <w:sz w:val="20"/>
          <w:szCs w:val="20"/>
        </w:rPr>
        <w:t>Papers</w:t>
      </w:r>
      <w:proofErr w:type="spellEnd"/>
      <w:r w:rsidRPr="006916C5">
        <w:rPr>
          <w:sz w:val="20"/>
          <w:szCs w:val="20"/>
        </w:rPr>
        <w:t xml:space="preserve"> No 114, enero de 2021.</w:t>
      </w:r>
    </w:p>
    <w:bookmarkStart w:id="10" w:name="_ftn2"/>
    <w:p w14:paraId="6286176A"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"_ftnref2" </w:instrText>
      </w:r>
      <w:r w:rsidRPr="006916C5">
        <w:rPr>
          <w:sz w:val="20"/>
          <w:szCs w:val="20"/>
          <w:vertAlign w:val="superscript"/>
        </w:rPr>
        <w:fldChar w:fldCharType="separate"/>
      </w:r>
      <w:r w:rsidRPr="006916C5">
        <w:rPr>
          <w:rStyle w:val="Hipervnculo"/>
          <w:sz w:val="20"/>
          <w:szCs w:val="20"/>
        </w:rPr>
        <w:t>2</w:t>
      </w:r>
      <w:r w:rsidRPr="006916C5">
        <w:rPr>
          <w:sz w:val="20"/>
          <w:szCs w:val="20"/>
        </w:rPr>
        <w:fldChar w:fldCharType="end"/>
      </w:r>
      <w:bookmarkEnd w:id="10"/>
      <w:r w:rsidRPr="006916C5">
        <w:rPr>
          <w:sz w:val="20"/>
          <w:szCs w:val="20"/>
        </w:rPr>
        <w:t xml:space="preserve"> Véase D </w:t>
      </w:r>
      <w:proofErr w:type="spellStart"/>
      <w:r w:rsidRPr="006916C5">
        <w:rPr>
          <w:sz w:val="20"/>
          <w:szCs w:val="20"/>
        </w:rPr>
        <w:t>Hammarskjöld</w:t>
      </w:r>
      <w:proofErr w:type="spellEnd"/>
      <w:r w:rsidRPr="006916C5">
        <w:rPr>
          <w:sz w:val="20"/>
          <w:szCs w:val="20"/>
        </w:rPr>
        <w:t>, </w:t>
      </w:r>
      <w:r w:rsidRPr="006916C5">
        <w:rPr>
          <w:i/>
          <w:iCs/>
          <w:sz w:val="20"/>
          <w:szCs w:val="20"/>
        </w:rPr>
        <w:t>Markings,</w:t>
      </w:r>
      <w:r w:rsidRPr="006916C5">
        <w:rPr>
          <w:sz w:val="20"/>
          <w:szCs w:val="20"/>
        </w:rPr>
        <w:t>1963.</w:t>
      </w:r>
    </w:p>
    <w:bookmarkStart w:id="11" w:name="_ftn3"/>
    <w:p w14:paraId="4D3D1FD0"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"_ftnref3" </w:instrText>
      </w:r>
      <w:r w:rsidRPr="006916C5">
        <w:rPr>
          <w:sz w:val="20"/>
          <w:szCs w:val="20"/>
          <w:vertAlign w:val="superscript"/>
        </w:rPr>
        <w:fldChar w:fldCharType="separate"/>
      </w:r>
      <w:r w:rsidRPr="006916C5">
        <w:rPr>
          <w:rStyle w:val="Hipervnculo"/>
          <w:sz w:val="20"/>
          <w:szCs w:val="20"/>
        </w:rPr>
        <w:t>3</w:t>
      </w:r>
      <w:r w:rsidRPr="006916C5">
        <w:rPr>
          <w:sz w:val="20"/>
          <w:szCs w:val="20"/>
        </w:rPr>
        <w:fldChar w:fldCharType="end"/>
      </w:r>
      <w:bookmarkEnd w:id="11"/>
      <w:r w:rsidRPr="006916C5">
        <w:rPr>
          <w:sz w:val="20"/>
          <w:szCs w:val="20"/>
        </w:rPr>
        <w:t> Los protocolos DeFi se refieren a los contratos inteligentes que realizan las funciones en una plataforma DeFi.</w:t>
      </w:r>
    </w:p>
    <w:bookmarkStart w:id="12" w:name="_ftn4"/>
    <w:p w14:paraId="3CFA5464" w14:textId="77777777" w:rsidR="00E65969" w:rsidRPr="006916C5" w:rsidRDefault="00E65969" w:rsidP="006916C5">
      <w:pPr>
        <w:jc w:val="both"/>
        <w:rPr>
          <w:sz w:val="20"/>
          <w:szCs w:val="20"/>
          <w:lang w:val="en-US"/>
        </w:rPr>
      </w:pPr>
      <w:r w:rsidRPr="006916C5">
        <w:rPr>
          <w:sz w:val="20"/>
          <w:szCs w:val="20"/>
          <w:vertAlign w:val="superscript"/>
        </w:rPr>
        <w:fldChar w:fldCharType="begin"/>
      </w:r>
      <w:r w:rsidRPr="006916C5">
        <w:rPr>
          <w:sz w:val="20"/>
          <w:szCs w:val="20"/>
          <w:vertAlign w:val="superscript"/>
          <w:lang w:val="en-US"/>
        </w:rPr>
        <w:instrText xml:space="preserve"> HYPERLINK "https://www.bis.org/speeches/sp210910.htm" \l "_ftnref4" </w:instrText>
      </w:r>
      <w:r w:rsidRPr="006916C5">
        <w:rPr>
          <w:sz w:val="20"/>
          <w:szCs w:val="20"/>
          <w:vertAlign w:val="superscript"/>
        </w:rPr>
        <w:fldChar w:fldCharType="separate"/>
      </w:r>
      <w:r w:rsidRPr="006916C5">
        <w:rPr>
          <w:rStyle w:val="Hipervnculo"/>
          <w:sz w:val="20"/>
          <w:szCs w:val="20"/>
          <w:lang w:val="en-US"/>
        </w:rPr>
        <w:t>4</w:t>
      </w:r>
      <w:r w:rsidRPr="006916C5">
        <w:rPr>
          <w:sz w:val="20"/>
          <w:szCs w:val="20"/>
        </w:rPr>
        <w:fldChar w:fldCharType="end"/>
      </w:r>
      <w:bookmarkEnd w:id="12"/>
      <w:r w:rsidRPr="006916C5">
        <w:rPr>
          <w:sz w:val="20"/>
          <w:szCs w:val="20"/>
          <w:lang w:val="en-US"/>
        </w:rPr>
        <w:t> </w:t>
      </w:r>
      <w:proofErr w:type="spellStart"/>
      <w:r w:rsidRPr="006916C5">
        <w:rPr>
          <w:sz w:val="20"/>
          <w:szCs w:val="20"/>
          <w:lang w:val="en-US"/>
        </w:rPr>
        <w:t>Véase</w:t>
      </w:r>
      <w:proofErr w:type="spellEnd"/>
      <w:r w:rsidRPr="006916C5">
        <w:rPr>
          <w:sz w:val="20"/>
          <w:szCs w:val="20"/>
          <w:lang w:val="en-US"/>
        </w:rPr>
        <w:t xml:space="preserve"> A Carstens, S Claessens, F Restoy y H S Shin, "</w:t>
      </w:r>
      <w:hyperlink r:id="rId5" w:history="1">
        <w:r w:rsidRPr="006916C5">
          <w:rPr>
            <w:rStyle w:val="Hipervnculo"/>
            <w:sz w:val="20"/>
            <w:szCs w:val="20"/>
            <w:lang w:val="en-US"/>
          </w:rPr>
          <w:t>Regulating big techs in finance</w:t>
        </w:r>
      </w:hyperlink>
      <w:r w:rsidRPr="006916C5">
        <w:rPr>
          <w:sz w:val="20"/>
          <w:szCs w:val="20"/>
          <w:lang w:val="en-US"/>
        </w:rPr>
        <w:t>", BIS Bulletin No 45, agosto de 2021.</w:t>
      </w:r>
    </w:p>
    <w:bookmarkStart w:id="13" w:name="_ftn5"/>
    <w:p w14:paraId="6A845465"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"_ftnref5" </w:instrText>
      </w:r>
      <w:r w:rsidRPr="006916C5">
        <w:rPr>
          <w:sz w:val="20"/>
          <w:szCs w:val="20"/>
          <w:vertAlign w:val="superscript"/>
        </w:rPr>
        <w:fldChar w:fldCharType="separate"/>
      </w:r>
      <w:r w:rsidRPr="006916C5">
        <w:rPr>
          <w:rStyle w:val="Hipervnculo"/>
          <w:sz w:val="20"/>
          <w:szCs w:val="20"/>
        </w:rPr>
        <w:t>5</w:t>
      </w:r>
      <w:r w:rsidRPr="006916C5">
        <w:rPr>
          <w:sz w:val="20"/>
          <w:szCs w:val="20"/>
        </w:rPr>
        <w:fldChar w:fldCharType="end"/>
      </w:r>
      <w:bookmarkEnd w:id="13"/>
      <w:r w:rsidRPr="006916C5">
        <w:rPr>
          <w:sz w:val="20"/>
          <w:szCs w:val="20"/>
        </w:rPr>
        <w:t> Véase Banco de Pagos Internacionales, </w:t>
      </w:r>
      <w:hyperlink r:id="rId6" w:history="1">
        <w:r w:rsidRPr="006916C5">
          <w:rPr>
            <w:rStyle w:val="Hipervnculo"/>
            <w:i/>
            <w:iCs/>
            <w:sz w:val="20"/>
            <w:szCs w:val="20"/>
          </w:rPr>
          <w:t>"</w:t>
        </w:r>
        <w:proofErr w:type="spellStart"/>
        <w:r w:rsidRPr="006916C5">
          <w:rPr>
            <w:rStyle w:val="Hipervnculo"/>
            <w:i/>
            <w:iCs/>
            <w:sz w:val="20"/>
            <w:szCs w:val="20"/>
          </w:rPr>
          <w:t>CBDCs</w:t>
        </w:r>
        <w:proofErr w:type="spellEnd"/>
        <w:r w:rsidRPr="006916C5">
          <w:rPr>
            <w:rStyle w:val="Hipervnculo"/>
            <w:i/>
            <w:iCs/>
            <w:sz w:val="20"/>
            <w:szCs w:val="20"/>
          </w:rPr>
          <w:t>: una oportunidad para el sistema monetario",</w:t>
        </w:r>
      </w:hyperlink>
      <w:r w:rsidRPr="006916C5">
        <w:rPr>
          <w:sz w:val="20"/>
          <w:szCs w:val="20"/>
        </w:rPr>
        <w:t> </w:t>
      </w:r>
      <w:r w:rsidRPr="006916C5">
        <w:rPr>
          <w:i/>
          <w:iCs/>
          <w:sz w:val="20"/>
          <w:szCs w:val="20"/>
        </w:rPr>
        <w:t xml:space="preserve">Informe Económico Anual </w:t>
      </w:r>
      <w:proofErr w:type="gramStart"/>
      <w:r w:rsidRPr="006916C5">
        <w:rPr>
          <w:i/>
          <w:iCs/>
          <w:sz w:val="20"/>
          <w:szCs w:val="20"/>
        </w:rPr>
        <w:t>2021,</w:t>
      </w:r>
      <w:r w:rsidRPr="006916C5">
        <w:rPr>
          <w:sz w:val="20"/>
          <w:szCs w:val="20"/>
        </w:rPr>
        <w:t>junio</w:t>
      </w:r>
      <w:proofErr w:type="gramEnd"/>
      <w:r w:rsidRPr="006916C5">
        <w:rPr>
          <w:sz w:val="20"/>
          <w:szCs w:val="20"/>
        </w:rPr>
        <w:t>.</w:t>
      </w:r>
    </w:p>
    <w:bookmarkStart w:id="14" w:name="_ftn6"/>
    <w:p w14:paraId="71A69F40"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"_ftnref6" </w:instrText>
      </w:r>
      <w:r w:rsidRPr="006916C5">
        <w:rPr>
          <w:sz w:val="20"/>
          <w:szCs w:val="20"/>
          <w:vertAlign w:val="superscript"/>
        </w:rPr>
        <w:fldChar w:fldCharType="separate"/>
      </w:r>
      <w:r w:rsidRPr="006916C5">
        <w:rPr>
          <w:rStyle w:val="Hipervnculo"/>
          <w:sz w:val="20"/>
          <w:szCs w:val="20"/>
        </w:rPr>
        <w:t>6</w:t>
      </w:r>
      <w:r w:rsidRPr="006916C5">
        <w:rPr>
          <w:sz w:val="20"/>
          <w:szCs w:val="20"/>
        </w:rPr>
        <w:fldChar w:fldCharType="end"/>
      </w:r>
      <w:bookmarkEnd w:id="14"/>
      <w:r w:rsidRPr="006916C5">
        <w:rPr>
          <w:sz w:val="20"/>
          <w:szCs w:val="20"/>
        </w:rPr>
        <w:t> Véase BCE, </w:t>
      </w:r>
      <w:r w:rsidRPr="006916C5">
        <w:rPr>
          <w:i/>
          <w:iCs/>
          <w:sz w:val="20"/>
          <w:szCs w:val="20"/>
        </w:rPr>
        <w:t xml:space="preserve">Informe del Eurosistema sobre la consulta pública sobre un euro </w:t>
      </w:r>
      <w:proofErr w:type="spellStart"/>
      <w:proofErr w:type="gramStart"/>
      <w:r w:rsidRPr="006916C5">
        <w:rPr>
          <w:i/>
          <w:iCs/>
          <w:sz w:val="20"/>
          <w:szCs w:val="20"/>
        </w:rPr>
        <w:t>digital,</w:t>
      </w:r>
      <w:r w:rsidRPr="006916C5">
        <w:rPr>
          <w:sz w:val="20"/>
          <w:szCs w:val="20"/>
        </w:rPr>
        <w:t>abril</w:t>
      </w:r>
      <w:proofErr w:type="spellEnd"/>
      <w:proofErr w:type="gramEnd"/>
      <w:r w:rsidRPr="006916C5">
        <w:rPr>
          <w:sz w:val="20"/>
          <w:szCs w:val="20"/>
        </w:rPr>
        <w:t xml:space="preserve"> de 2021.</w:t>
      </w:r>
    </w:p>
    <w:bookmarkStart w:id="15" w:name="_ftn7"/>
    <w:p w14:paraId="20383E0F"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"_ftnref7" </w:instrText>
      </w:r>
      <w:r w:rsidRPr="006916C5">
        <w:rPr>
          <w:sz w:val="20"/>
          <w:szCs w:val="20"/>
          <w:vertAlign w:val="superscript"/>
        </w:rPr>
        <w:fldChar w:fldCharType="separate"/>
      </w:r>
      <w:r w:rsidRPr="006916C5">
        <w:rPr>
          <w:rStyle w:val="Hipervnculo"/>
          <w:sz w:val="20"/>
          <w:szCs w:val="20"/>
        </w:rPr>
        <w:t>7</w:t>
      </w:r>
      <w:r w:rsidRPr="006916C5">
        <w:rPr>
          <w:sz w:val="20"/>
          <w:szCs w:val="20"/>
        </w:rPr>
        <w:fldChar w:fldCharType="end"/>
      </w:r>
      <w:bookmarkEnd w:id="15"/>
      <w:r w:rsidRPr="006916C5">
        <w:rPr>
          <w:sz w:val="20"/>
          <w:szCs w:val="20"/>
        </w:rPr>
        <w:t> Véase Grupo de bancos centrales, </w:t>
      </w:r>
      <w:hyperlink r:id="rId7" w:history="1">
        <w:r w:rsidRPr="006916C5">
          <w:rPr>
            <w:rStyle w:val="Hipervnculo"/>
            <w:i/>
            <w:iCs/>
            <w:sz w:val="20"/>
            <w:szCs w:val="20"/>
          </w:rPr>
          <w:t xml:space="preserve">Monedas digitales del banco central: principios fundamentales y características </w:t>
        </w:r>
        <w:proofErr w:type="spellStart"/>
        <w:r w:rsidRPr="006916C5">
          <w:rPr>
            <w:rStyle w:val="Hipervnculo"/>
            <w:i/>
            <w:iCs/>
            <w:sz w:val="20"/>
            <w:szCs w:val="20"/>
          </w:rPr>
          <w:t>básicas,</w:t>
        </w:r>
      </w:hyperlink>
      <w:r w:rsidRPr="006916C5">
        <w:rPr>
          <w:sz w:val="20"/>
          <w:szCs w:val="20"/>
        </w:rPr>
        <w:t>octubre</w:t>
      </w:r>
      <w:proofErr w:type="spellEnd"/>
      <w:r w:rsidRPr="006916C5">
        <w:rPr>
          <w:sz w:val="20"/>
          <w:szCs w:val="20"/>
        </w:rPr>
        <w:t xml:space="preserve"> de 2020.</w:t>
      </w:r>
    </w:p>
    <w:bookmarkStart w:id="16" w:name="_ftn8"/>
    <w:p w14:paraId="28B176D4"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"_ftnref8" </w:instrText>
      </w:r>
      <w:r w:rsidRPr="006916C5">
        <w:rPr>
          <w:sz w:val="20"/>
          <w:szCs w:val="20"/>
          <w:vertAlign w:val="superscript"/>
        </w:rPr>
        <w:fldChar w:fldCharType="separate"/>
      </w:r>
      <w:r w:rsidRPr="006916C5">
        <w:rPr>
          <w:rStyle w:val="Hipervnculo"/>
          <w:sz w:val="20"/>
          <w:szCs w:val="20"/>
        </w:rPr>
        <w:t>8</w:t>
      </w:r>
      <w:r w:rsidRPr="006916C5">
        <w:rPr>
          <w:sz w:val="20"/>
          <w:szCs w:val="20"/>
        </w:rPr>
        <w:fldChar w:fldCharType="end"/>
      </w:r>
      <w:bookmarkEnd w:id="16"/>
      <w:r w:rsidRPr="006916C5">
        <w:rPr>
          <w:sz w:val="20"/>
          <w:szCs w:val="20"/>
        </w:rPr>
        <w:t xml:space="preserve"> Véase Grupo de bancos centrales, </w:t>
      </w:r>
      <w:proofErr w:type="spellStart"/>
      <w:r w:rsidRPr="006916C5">
        <w:rPr>
          <w:sz w:val="20"/>
          <w:szCs w:val="20"/>
        </w:rPr>
        <w:t>op</w:t>
      </w:r>
      <w:proofErr w:type="spellEnd"/>
      <w:r w:rsidRPr="006916C5">
        <w:rPr>
          <w:sz w:val="20"/>
          <w:szCs w:val="20"/>
        </w:rPr>
        <w:t xml:space="preserve"> cit.</w:t>
      </w:r>
    </w:p>
    <w:bookmarkStart w:id="17" w:name="_ftn9"/>
    <w:p w14:paraId="3B287164" w14:textId="77777777" w:rsidR="00E65969" w:rsidRPr="006916C5" w:rsidRDefault="00E65969" w:rsidP="006916C5">
      <w:pPr>
        <w:jc w:val="both"/>
        <w:rPr>
          <w:sz w:val="20"/>
          <w:szCs w:val="20"/>
        </w:rPr>
      </w:pPr>
      <w:r w:rsidRPr="006916C5">
        <w:rPr>
          <w:sz w:val="20"/>
          <w:szCs w:val="20"/>
          <w:vertAlign w:val="superscript"/>
        </w:rPr>
        <w:fldChar w:fldCharType="begin"/>
      </w:r>
      <w:r w:rsidRPr="006916C5">
        <w:rPr>
          <w:sz w:val="20"/>
          <w:szCs w:val="20"/>
          <w:vertAlign w:val="superscript"/>
        </w:rPr>
        <w:instrText xml:space="preserve"> HYPERLINK "https://www.bis.org/speeches/sp210910.htm" \l "_ftnref9" </w:instrText>
      </w:r>
      <w:r w:rsidRPr="006916C5">
        <w:rPr>
          <w:sz w:val="20"/>
          <w:szCs w:val="20"/>
          <w:vertAlign w:val="superscript"/>
        </w:rPr>
        <w:fldChar w:fldCharType="separate"/>
      </w:r>
      <w:r w:rsidRPr="006916C5">
        <w:rPr>
          <w:rStyle w:val="Hipervnculo"/>
          <w:sz w:val="20"/>
          <w:szCs w:val="20"/>
        </w:rPr>
        <w:t>9</w:t>
      </w:r>
      <w:r w:rsidRPr="006916C5">
        <w:rPr>
          <w:sz w:val="20"/>
          <w:szCs w:val="20"/>
        </w:rPr>
        <w:fldChar w:fldCharType="end"/>
      </w:r>
      <w:bookmarkEnd w:id="17"/>
      <w:r w:rsidRPr="006916C5">
        <w:rPr>
          <w:sz w:val="20"/>
          <w:szCs w:val="20"/>
        </w:rPr>
        <w:t> Estos son: Proyectos </w:t>
      </w:r>
      <w:hyperlink r:id="rId8" w:history="1">
        <w:r w:rsidRPr="006916C5">
          <w:rPr>
            <w:rStyle w:val="Hipervnculo"/>
            <w:sz w:val="20"/>
            <w:szCs w:val="20"/>
          </w:rPr>
          <w:t>Helvetia,</w:t>
        </w:r>
      </w:hyperlink>
      <w:r w:rsidRPr="006916C5">
        <w:rPr>
          <w:sz w:val="20"/>
          <w:szCs w:val="20"/>
        </w:rPr>
        <w:t> </w:t>
      </w:r>
      <w:hyperlink r:id="rId9" w:history="1">
        <w:r w:rsidRPr="006916C5">
          <w:rPr>
            <w:rStyle w:val="Hipervnculo"/>
            <w:sz w:val="20"/>
            <w:szCs w:val="20"/>
          </w:rPr>
          <w:t>Jura </w:t>
        </w:r>
      </w:hyperlink>
      <w:r w:rsidRPr="006916C5">
        <w:rPr>
          <w:sz w:val="20"/>
          <w:szCs w:val="20"/>
        </w:rPr>
        <w:t>y Arena en el Centro Suizo BIS Innovation Hub, Proyectos </w:t>
      </w:r>
      <w:hyperlink r:id="rId10" w:history="1">
        <w:r w:rsidRPr="006916C5">
          <w:rPr>
            <w:rStyle w:val="Hipervnculo"/>
            <w:sz w:val="20"/>
            <w:szCs w:val="20"/>
          </w:rPr>
          <w:t>m-CBDC Bridge</w:t>
        </w:r>
      </w:hyperlink>
      <w:r w:rsidRPr="006916C5">
        <w:rPr>
          <w:sz w:val="20"/>
          <w:szCs w:val="20"/>
        </w:rPr>
        <w:t> y </w:t>
      </w:r>
      <w:hyperlink r:id="rId11" w:history="1">
        <w:r w:rsidRPr="006916C5">
          <w:rPr>
            <w:rStyle w:val="Hipervnculo"/>
            <w:sz w:val="20"/>
            <w:szCs w:val="20"/>
          </w:rPr>
          <w:t>Aurum </w:t>
        </w:r>
      </w:hyperlink>
      <w:r w:rsidRPr="006916C5">
        <w:rPr>
          <w:sz w:val="20"/>
          <w:szCs w:val="20"/>
        </w:rPr>
        <w:t>en el BIS Innovation Hub Hong Kong Centre, y Proyecto </w:t>
      </w:r>
      <w:hyperlink r:id="rId12" w:history="1">
        <w:r w:rsidRPr="006916C5">
          <w:rPr>
            <w:rStyle w:val="Hipervnculo"/>
            <w:sz w:val="20"/>
            <w:szCs w:val="20"/>
          </w:rPr>
          <w:t>Dunbar </w:t>
        </w:r>
      </w:hyperlink>
      <w:r w:rsidRPr="006916C5">
        <w:rPr>
          <w:sz w:val="20"/>
          <w:szCs w:val="20"/>
        </w:rPr>
        <w:t xml:space="preserve">en el BIS Innovation Hub </w:t>
      </w:r>
      <w:proofErr w:type="spellStart"/>
      <w:r w:rsidRPr="006916C5">
        <w:rPr>
          <w:sz w:val="20"/>
          <w:szCs w:val="20"/>
        </w:rPr>
        <w:t>Singapore</w:t>
      </w:r>
      <w:proofErr w:type="spellEnd"/>
      <w:r w:rsidRPr="006916C5">
        <w:rPr>
          <w:sz w:val="20"/>
          <w:szCs w:val="20"/>
        </w:rPr>
        <w:t xml:space="preserve"> Centre, ver </w:t>
      </w:r>
      <w:hyperlink r:id="rId13" w:history="1">
        <w:r w:rsidRPr="006916C5">
          <w:rPr>
            <w:rStyle w:val="Hipervnculo"/>
            <w:sz w:val="20"/>
            <w:szCs w:val="20"/>
          </w:rPr>
          <w:t>www.bisih.org.</w:t>
        </w:r>
      </w:hyperlink>
    </w:p>
    <w:p w14:paraId="6323E278" w14:textId="77777777" w:rsidR="00BB0898" w:rsidRPr="006916C5" w:rsidRDefault="00BB0898" w:rsidP="006916C5">
      <w:pPr>
        <w:jc w:val="both"/>
        <w:rPr>
          <w:sz w:val="20"/>
          <w:szCs w:val="20"/>
        </w:rPr>
      </w:pPr>
    </w:p>
    <w:sectPr w:rsidR="00BB0898" w:rsidRPr="006916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98"/>
    <w:rsid w:val="000A6BFA"/>
    <w:rsid w:val="00115FB4"/>
    <w:rsid w:val="0015235C"/>
    <w:rsid w:val="00481D67"/>
    <w:rsid w:val="004B2B9E"/>
    <w:rsid w:val="005A5BCE"/>
    <w:rsid w:val="005F6B63"/>
    <w:rsid w:val="006916C5"/>
    <w:rsid w:val="00695607"/>
    <w:rsid w:val="00761BAC"/>
    <w:rsid w:val="009A370C"/>
    <w:rsid w:val="00AA64E9"/>
    <w:rsid w:val="00BB0898"/>
    <w:rsid w:val="00E65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165995"/>
  <w15:chartTrackingRefBased/>
  <w15:docId w15:val="{EA909CFD-E8D4-43AA-9E7B-474B83C4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5969"/>
    <w:rPr>
      <w:color w:val="0563C1" w:themeColor="hyperlink"/>
      <w:u w:val="single"/>
    </w:rPr>
  </w:style>
  <w:style w:type="character" w:styleId="Mencinsinresolver">
    <w:name w:val="Unresolved Mention"/>
    <w:basedOn w:val="Fuentedeprrafopredeter"/>
    <w:uiPriority w:val="99"/>
    <w:semiHidden/>
    <w:unhideWhenUsed/>
    <w:rsid w:val="00E6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17742">
      <w:bodyDiv w:val="1"/>
      <w:marLeft w:val="0"/>
      <w:marRight w:val="0"/>
      <w:marTop w:val="0"/>
      <w:marBottom w:val="0"/>
      <w:divBdr>
        <w:top w:val="none" w:sz="0" w:space="0" w:color="auto"/>
        <w:left w:val="none" w:sz="0" w:space="0" w:color="auto"/>
        <w:bottom w:val="none" w:sz="0" w:space="0" w:color="auto"/>
        <w:right w:val="none" w:sz="0" w:space="0" w:color="auto"/>
      </w:divBdr>
      <w:divsChild>
        <w:div w:id="1985576509">
          <w:marLeft w:val="0"/>
          <w:marRight w:val="0"/>
          <w:marTop w:val="0"/>
          <w:marBottom w:val="0"/>
          <w:divBdr>
            <w:top w:val="none" w:sz="0" w:space="0" w:color="auto"/>
            <w:left w:val="none" w:sz="0" w:space="0" w:color="auto"/>
            <w:bottom w:val="none" w:sz="0" w:space="0" w:color="auto"/>
            <w:right w:val="none" w:sz="0" w:space="0" w:color="auto"/>
          </w:divBdr>
        </w:div>
      </w:divsChild>
    </w:div>
    <w:div w:id="11170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about/bisih/topics/cbdc/helvetia.htm" TargetMode="External"/><Relationship Id="rId13" Type="http://schemas.openxmlformats.org/officeDocument/2006/relationships/hyperlink" Target="http://www.bisih.org/" TargetMode="External"/><Relationship Id="rId3" Type="http://schemas.openxmlformats.org/officeDocument/2006/relationships/webSettings" Target="webSettings.xml"/><Relationship Id="rId7" Type="http://schemas.openxmlformats.org/officeDocument/2006/relationships/hyperlink" Target="https://www.bis.org/publ/othp33.htm" TargetMode="External"/><Relationship Id="rId12" Type="http://schemas.openxmlformats.org/officeDocument/2006/relationships/hyperlink" Target="https://www.bis.org/about/bisih/topics/cbdc/wcbd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publ/arpdf/ar2021e3.htm" TargetMode="External"/><Relationship Id="rId11" Type="http://schemas.openxmlformats.org/officeDocument/2006/relationships/hyperlink" Target="https://www.bis.org/about/bisih/topics/cbdc/rcbdc.htm" TargetMode="External"/><Relationship Id="rId5" Type="http://schemas.openxmlformats.org/officeDocument/2006/relationships/hyperlink" Target="https://www.bis.org/publ/bisbull45.htm" TargetMode="External"/><Relationship Id="rId15" Type="http://schemas.openxmlformats.org/officeDocument/2006/relationships/theme" Target="theme/theme1.xml"/><Relationship Id="rId10" Type="http://schemas.openxmlformats.org/officeDocument/2006/relationships/hyperlink" Target="https://www.bis.org/about/bisih/topics/cbdc/mcbdc_bridge.htm" TargetMode="External"/><Relationship Id="rId4" Type="http://schemas.openxmlformats.org/officeDocument/2006/relationships/hyperlink" Target="https://www.bis.org/author/beno%C3%AEt_c%C5%93ur%C3%A9.htm" TargetMode="External"/><Relationship Id="rId9" Type="http://schemas.openxmlformats.org/officeDocument/2006/relationships/hyperlink" Target="https://www.bis.org/press/p210610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1772</Words>
  <Characters>9752</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14</cp:revision>
  <dcterms:created xsi:type="dcterms:W3CDTF">2022-01-15T00:09:00Z</dcterms:created>
  <dcterms:modified xsi:type="dcterms:W3CDTF">2022-02-03T01:00:00Z</dcterms:modified>
</cp:coreProperties>
</file>