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0640" w14:textId="3DF099FF" w:rsidR="00B24CEB" w:rsidRDefault="00B24CEB" w:rsidP="00A43CDA">
      <w:pPr>
        <w:spacing w:after="0" w:line="240" w:lineRule="auto"/>
      </w:pPr>
    </w:p>
    <w:p w14:paraId="0C227B50" w14:textId="1AFB352C" w:rsidR="00B24CEB" w:rsidRPr="00BA6C45" w:rsidRDefault="00B24CEB" w:rsidP="00BA6C45">
      <w:pPr>
        <w:spacing w:line="240" w:lineRule="auto"/>
        <w:rPr>
          <w:sz w:val="24"/>
          <w:szCs w:val="24"/>
        </w:rPr>
      </w:pPr>
      <w:bookmarkStart w:id="0" w:name="_Hlk90411473"/>
      <w:r w:rsidRPr="00BA6C45">
        <w:rPr>
          <w:sz w:val="24"/>
          <w:szCs w:val="24"/>
        </w:rPr>
        <w:t>SEC actualiza el análisis de tendencias de etiquetas personalizadas</w:t>
      </w:r>
    </w:p>
    <w:bookmarkEnd w:id="0"/>
    <w:p w14:paraId="21E17665" w14:textId="5C816AB8" w:rsidR="00B24CEB" w:rsidRPr="00B24CEB" w:rsidRDefault="00B24CEB" w:rsidP="00B24CEB">
      <w:pPr>
        <w:spacing w:after="0" w:line="240" w:lineRule="auto"/>
      </w:pPr>
      <w:r w:rsidRPr="00B24CEB">
        <w:rPr>
          <w:noProof/>
        </w:rPr>
        <w:drawing>
          <wp:inline distT="0" distB="0" distL="0" distR="0" wp14:anchorId="1663C252" wp14:editId="19F3BC7A">
            <wp:extent cx="2819400" cy="2110523"/>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527" cy="2126338"/>
                    </a:xfrm>
                    <a:prstGeom prst="rect">
                      <a:avLst/>
                    </a:prstGeom>
                    <a:noFill/>
                    <a:ln>
                      <a:noFill/>
                    </a:ln>
                  </pic:spPr>
                </pic:pic>
              </a:graphicData>
            </a:graphic>
          </wp:inline>
        </w:drawing>
      </w:r>
    </w:p>
    <w:p w14:paraId="6187BB5C" w14:textId="2F70F48C" w:rsidR="00B24CEB" w:rsidRPr="00B24CEB" w:rsidRDefault="00B24CEB" w:rsidP="00B24CEB">
      <w:pPr>
        <w:spacing w:after="0" w:line="240" w:lineRule="auto"/>
      </w:pPr>
      <w:r w:rsidRPr="00B24CEB">
        <w:t>Publicado el 24 de junio de 2020</w:t>
      </w:r>
    </w:p>
    <w:p w14:paraId="258E46A3" w14:textId="77777777" w:rsidR="001C1943" w:rsidRDefault="001C1943" w:rsidP="00B24CEB">
      <w:pPr>
        <w:spacing w:after="0" w:line="240" w:lineRule="auto"/>
      </w:pPr>
    </w:p>
    <w:p w14:paraId="36E17724" w14:textId="77777777" w:rsidR="00B24CEB" w:rsidRPr="00B24CEB" w:rsidRDefault="00B24CEB" w:rsidP="00BA6C45">
      <w:pPr>
        <w:spacing w:after="0" w:line="240" w:lineRule="auto"/>
        <w:jc w:val="both"/>
      </w:pPr>
      <w:r w:rsidRPr="00B24CEB">
        <w:t>La Comisión de Bolsa y Valores publicó un análisis actualizado de las tendencias de las tasas de etiquetas personalizadas que muestra una ligera disminución en el uso de etiquetas personalizadas (del 18% al 17%) para todos los declarantes. La mayor disminución en el uso de etiquetas personalizadas fue de los grandes archivadores acelerados, lo que se vio compensado por un aumento entre las empresas de informes más pequeñas.</w:t>
      </w:r>
    </w:p>
    <w:p w14:paraId="52508FD2" w14:textId="77777777" w:rsidR="00B24CEB" w:rsidRDefault="00B24CEB" w:rsidP="00A43CDA">
      <w:pPr>
        <w:spacing w:after="0" w:line="240" w:lineRule="auto"/>
      </w:pPr>
    </w:p>
    <w:p w14:paraId="48359010" w14:textId="0CFAAF25" w:rsidR="00C41B4F" w:rsidRDefault="00C41B4F" w:rsidP="00A43CDA">
      <w:pPr>
        <w:spacing w:after="0" w:line="240" w:lineRule="auto"/>
      </w:pPr>
      <w:bookmarkStart w:id="1" w:name="_Hlk90411507"/>
    </w:p>
    <w:p w14:paraId="081DCCD3" w14:textId="7A477ED5" w:rsidR="002A229C" w:rsidRDefault="002A229C" w:rsidP="00A43CDA">
      <w:pPr>
        <w:spacing w:after="0" w:line="240" w:lineRule="auto"/>
      </w:pPr>
    </w:p>
    <w:p w14:paraId="23D9BCD3" w14:textId="732D9F79" w:rsidR="002A229C" w:rsidRDefault="002A229C" w:rsidP="00A43CDA">
      <w:pPr>
        <w:spacing w:after="0" w:line="240" w:lineRule="auto"/>
      </w:pPr>
    </w:p>
    <w:p w14:paraId="051C6170" w14:textId="2CD2ACA7" w:rsidR="00C41B4F" w:rsidRDefault="00C41B4F" w:rsidP="00A43CDA">
      <w:pPr>
        <w:spacing w:after="0" w:line="240" w:lineRule="auto"/>
      </w:pPr>
    </w:p>
    <w:p w14:paraId="447E47BF" w14:textId="77777777" w:rsidR="00C41B4F" w:rsidRPr="009B4D7F" w:rsidRDefault="00C41B4F" w:rsidP="00BA6C45">
      <w:pPr>
        <w:spacing w:after="0" w:line="240" w:lineRule="auto"/>
        <w:jc w:val="both"/>
        <w:rPr>
          <w:sz w:val="24"/>
          <w:szCs w:val="24"/>
        </w:rPr>
      </w:pPr>
      <w:r w:rsidRPr="009B4D7F">
        <w:rPr>
          <w:sz w:val="24"/>
          <w:szCs w:val="24"/>
        </w:rPr>
        <w:t>Análisis de tendencias GAAP 2019</w:t>
      </w:r>
    </w:p>
    <w:p w14:paraId="3B9331A5" w14:textId="77777777" w:rsidR="00C41B4F" w:rsidRPr="009B4D7F" w:rsidRDefault="00C41B4F" w:rsidP="00907C90">
      <w:pPr>
        <w:spacing w:line="240" w:lineRule="auto"/>
        <w:jc w:val="both"/>
      </w:pPr>
      <w:r w:rsidRPr="009B4D7F">
        <w:t>Análisis de tendencias de tasas de etiquetas personalizadas en exhibiciones XBRL presentadas de 2017 a 2019</w:t>
      </w:r>
    </w:p>
    <w:bookmarkEnd w:id="1"/>
    <w:p w14:paraId="18E456D1" w14:textId="77777777" w:rsidR="00C41B4F" w:rsidRPr="00C41B4F" w:rsidRDefault="00C41B4F" w:rsidP="00907C90">
      <w:pPr>
        <w:spacing w:line="240" w:lineRule="auto"/>
        <w:jc w:val="both"/>
      </w:pPr>
      <w:r w:rsidRPr="00C41B4F">
        <w:t>El personal de la División de Análisis Económico y de Riesgos (DERA) de la Comisión analizó recientemente las pruebas documentales</w:t>
      </w:r>
      <w:bookmarkStart w:id="2" w:name="_ftnref1"/>
      <w:r w:rsidRPr="00C41B4F">
        <w:fldChar w:fldCharType="begin"/>
      </w:r>
      <w:r w:rsidRPr="00C41B4F">
        <w:instrText xml:space="preserve"> HYPERLINK "https://www.sec.gov/structureddata/gaap_trends_2019" \l "_ftn1" \o "" </w:instrText>
      </w:r>
      <w:r w:rsidRPr="00C41B4F">
        <w:fldChar w:fldCharType="separate"/>
      </w:r>
      <w:r w:rsidRPr="00C41B4F">
        <w:rPr>
          <w:rStyle w:val="Hipervnculo"/>
        </w:rPr>
        <w:t>[1]</w:t>
      </w:r>
      <w:r w:rsidRPr="00C41B4F">
        <w:fldChar w:fldCharType="end"/>
      </w:r>
      <w:bookmarkEnd w:id="2"/>
      <w:r w:rsidRPr="00C41B4F">
        <w:t xml:space="preserve"> de </w:t>
      </w:r>
      <w:proofErr w:type="spellStart"/>
      <w:r w:rsidRPr="00C41B4F">
        <w:t>eXtensible</w:t>
      </w:r>
      <w:proofErr w:type="spellEnd"/>
      <w:r w:rsidRPr="00C41B4F">
        <w:t xml:space="preserve"> Business </w:t>
      </w:r>
      <w:proofErr w:type="spellStart"/>
      <w:r w:rsidRPr="00C41B4F">
        <w:t>Reporting</w:t>
      </w:r>
      <w:proofErr w:type="spellEnd"/>
      <w:r w:rsidRPr="00C41B4F">
        <w:t xml:space="preserve"> </w:t>
      </w:r>
      <w:proofErr w:type="spellStart"/>
      <w:r w:rsidRPr="00C41B4F">
        <w:t>Language</w:t>
      </w:r>
      <w:proofErr w:type="spellEnd"/>
      <w:r w:rsidRPr="00C41B4F">
        <w:t xml:space="preserve"> (XBRL) presentadas por emisores que cumplen con las normas de datos interactivos de 2009 para presentar información de los estados financieros en un formato XBRL. </w:t>
      </w:r>
      <w:bookmarkStart w:id="3" w:name="_ftnref2"/>
      <w:r w:rsidRPr="00C41B4F">
        <w:fldChar w:fldCharType="begin"/>
      </w:r>
      <w:r w:rsidRPr="00C41B4F">
        <w:instrText xml:space="preserve"> HYPERLINK "https://www.sec.gov/structureddata/gaap_trends_2019" \l "_ftn2" \o "" </w:instrText>
      </w:r>
      <w:r w:rsidRPr="00C41B4F">
        <w:fldChar w:fldCharType="separate"/>
      </w:r>
      <w:r w:rsidRPr="00C41B4F">
        <w:rPr>
          <w:rStyle w:val="Hipervnculo"/>
        </w:rPr>
        <w:t>[2]</w:t>
      </w:r>
      <w:r w:rsidRPr="00C41B4F">
        <w:fldChar w:fldCharType="end"/>
      </w:r>
      <w:bookmarkEnd w:id="3"/>
      <w:r w:rsidRPr="00C41B4F">
        <w:t> Nuestro análisis cubrió las pruebas documentales de XBRL presentadas en los Formularios 10-K y 10-K/A desde enero de 2017 hasta diciembre de 2019. </w:t>
      </w:r>
      <w:bookmarkStart w:id="4" w:name="_ftnref3"/>
      <w:r w:rsidRPr="00C41B4F">
        <w:fldChar w:fldCharType="begin"/>
      </w:r>
      <w:r w:rsidRPr="00C41B4F">
        <w:instrText xml:space="preserve"> HYPERLINK "https://www.sec.gov/structureddata/gaap_trends_2019" \l "_ftn3" \o "" </w:instrText>
      </w:r>
      <w:r w:rsidRPr="00C41B4F">
        <w:fldChar w:fldCharType="separate"/>
      </w:r>
      <w:r w:rsidRPr="00C41B4F">
        <w:rPr>
          <w:rStyle w:val="Hipervnculo"/>
        </w:rPr>
        <w:t>[3]</w:t>
      </w:r>
      <w:r w:rsidRPr="00C41B4F">
        <w:fldChar w:fldCharType="end"/>
      </w:r>
      <w:bookmarkEnd w:id="4"/>
      <w:r w:rsidRPr="00C41B4F">
        <w:t> El propósito del análisis fue analizar las tendencias en el uso de etiquetas personalizadas por parte de los declarantes</w:t>
      </w:r>
      <w:bookmarkStart w:id="5" w:name="_ftnref4"/>
      <w:r w:rsidRPr="00C41B4F">
        <w:fldChar w:fldCharType="begin"/>
      </w:r>
      <w:r w:rsidRPr="00C41B4F">
        <w:instrText xml:space="preserve"> HYPERLINK "https://www.sec.gov/structureddata/gaap_trends_2019" \l "_ftn4" \o "" </w:instrText>
      </w:r>
      <w:r w:rsidRPr="00C41B4F">
        <w:fldChar w:fldCharType="separate"/>
      </w:r>
      <w:r w:rsidRPr="00C41B4F">
        <w:rPr>
          <w:rStyle w:val="Hipervnculo"/>
        </w:rPr>
        <w:t>[4]</w:t>
      </w:r>
      <w:r w:rsidRPr="00C41B4F">
        <w:fldChar w:fldCharType="end"/>
      </w:r>
      <w:bookmarkEnd w:id="5"/>
      <w:r w:rsidRPr="00C41B4F">
        <w:t> en sus presentaciones XBRL durante los últimos tres años.</w:t>
      </w:r>
    </w:p>
    <w:p w14:paraId="0AE35B88" w14:textId="52F683D1" w:rsidR="00C41B4F" w:rsidRDefault="00C41B4F" w:rsidP="00907C90">
      <w:pPr>
        <w:spacing w:line="240" w:lineRule="auto"/>
        <w:jc w:val="both"/>
      </w:pPr>
      <w:r w:rsidRPr="00C41B4F">
        <w:t>Las normas de la Comisión permiten a los declarantes crear etiquetas personalizadas cuando la taxonomía estándar no proporciona una etiqueta para el elemento financiero necesario. Si bien esta personalización se adapta a circunstancias únicas en la divulgación particular de un declarante, la Comisión ha reconocido que el uso de etiquetas personalizadas innecesarias podría reducir potencialmente la comparabilidad de los datos entre empresas. </w:t>
      </w:r>
      <w:bookmarkStart w:id="6" w:name="_ftnref5"/>
      <w:r w:rsidRPr="00C41B4F">
        <w:fldChar w:fldCharType="begin"/>
      </w:r>
      <w:r w:rsidRPr="00C41B4F">
        <w:instrText xml:space="preserve"> HYPERLINK "https://www.sec.gov/structureddata/gaap_trends_2019" \l "_ftn5" \o "" </w:instrText>
      </w:r>
      <w:r w:rsidRPr="00C41B4F">
        <w:fldChar w:fldCharType="separate"/>
      </w:r>
      <w:r w:rsidRPr="00C41B4F">
        <w:rPr>
          <w:rStyle w:val="Hipervnculo"/>
        </w:rPr>
        <w:t>[5]</w:t>
      </w:r>
      <w:r w:rsidRPr="00C41B4F">
        <w:fldChar w:fldCharType="end"/>
      </w:r>
      <w:bookmarkEnd w:id="6"/>
      <w:r w:rsidRPr="00C41B4F">
        <w:t> Así pues, las normas de la Comisión especifican las circunstancias limitadas en las que un declarante puede crear etiquetas personalizadas. </w:t>
      </w:r>
      <w:bookmarkStart w:id="7" w:name="_ftnref6"/>
      <w:r w:rsidRPr="00C41B4F">
        <w:fldChar w:fldCharType="begin"/>
      </w:r>
      <w:r w:rsidRPr="00C41B4F">
        <w:instrText xml:space="preserve"> HYPERLINK "https://www.sec.gov/structureddata/gaap_trends_2019" \l "_ftn6" \o "" </w:instrText>
      </w:r>
      <w:r w:rsidRPr="00C41B4F">
        <w:fldChar w:fldCharType="separate"/>
      </w:r>
      <w:r w:rsidRPr="00C41B4F">
        <w:rPr>
          <w:rStyle w:val="Hipervnculo"/>
        </w:rPr>
        <w:t>[6]</w:t>
      </w:r>
      <w:r w:rsidRPr="00C41B4F">
        <w:fldChar w:fldCharType="end"/>
      </w:r>
      <w:bookmarkEnd w:id="7"/>
    </w:p>
    <w:p w14:paraId="562BBDE5" w14:textId="165CCC40" w:rsidR="002A229C" w:rsidRDefault="002A229C" w:rsidP="00907C90">
      <w:pPr>
        <w:spacing w:line="240" w:lineRule="auto"/>
        <w:jc w:val="both"/>
      </w:pPr>
    </w:p>
    <w:p w14:paraId="01147DCF" w14:textId="77777777" w:rsidR="002A229C" w:rsidRPr="00C41B4F" w:rsidRDefault="002A229C" w:rsidP="00907C90">
      <w:pPr>
        <w:spacing w:line="240" w:lineRule="auto"/>
        <w:jc w:val="both"/>
      </w:pPr>
    </w:p>
    <w:p w14:paraId="4F3B2E72" w14:textId="77777777" w:rsidR="00C41B4F" w:rsidRPr="009B4D7F" w:rsidRDefault="00C41B4F" w:rsidP="00C41B4F">
      <w:pPr>
        <w:spacing w:after="0" w:line="240" w:lineRule="auto"/>
        <w:rPr>
          <w:sz w:val="24"/>
          <w:szCs w:val="24"/>
        </w:rPr>
      </w:pPr>
      <w:r w:rsidRPr="009B4D7F">
        <w:rPr>
          <w:sz w:val="24"/>
          <w:szCs w:val="24"/>
        </w:rPr>
        <w:t>I. ANÁLISIS DE TENDENCIAS</w:t>
      </w:r>
    </w:p>
    <w:p w14:paraId="2C71B48A" w14:textId="77777777" w:rsidR="00C41B4F" w:rsidRPr="009B4D7F" w:rsidRDefault="00C41B4F" w:rsidP="00C41B4F">
      <w:pPr>
        <w:spacing w:after="0" w:line="240" w:lineRule="auto"/>
      </w:pPr>
      <w:r w:rsidRPr="009B4D7F">
        <w:t>Gráfico A: Tasas promedio de etiquetas personalizadas por año calendario – Formularios 10-K y 10-K/A</w:t>
      </w:r>
    </w:p>
    <w:p w14:paraId="29364787" w14:textId="153A284E" w:rsidR="00C41B4F" w:rsidRDefault="00C41B4F" w:rsidP="00A43CDA">
      <w:pPr>
        <w:spacing w:after="0" w:line="240" w:lineRule="auto"/>
      </w:pPr>
    </w:p>
    <w:p w14:paraId="7328EDC2" w14:textId="6521F544" w:rsidR="00B24CEB" w:rsidRDefault="00B24CEB" w:rsidP="00A43CDA">
      <w:pPr>
        <w:spacing w:after="0" w:line="240" w:lineRule="auto"/>
      </w:pPr>
      <w:r>
        <w:rPr>
          <w:noProof/>
        </w:rPr>
        <w:drawing>
          <wp:inline distT="0" distB="0" distL="0" distR="0" wp14:anchorId="092DBE41" wp14:editId="44EFF7EB">
            <wp:extent cx="5741670" cy="24421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5094" cy="2456340"/>
                    </a:xfrm>
                    <a:prstGeom prst="rect">
                      <a:avLst/>
                    </a:prstGeom>
                    <a:noFill/>
                  </pic:spPr>
                </pic:pic>
              </a:graphicData>
            </a:graphic>
          </wp:inline>
        </w:drawing>
      </w:r>
    </w:p>
    <w:p w14:paraId="4CB58F3C" w14:textId="4506CA90" w:rsidR="002A5883" w:rsidRDefault="002A5883" w:rsidP="00A43CDA">
      <w:pPr>
        <w:spacing w:after="0" w:line="240" w:lineRule="auto"/>
      </w:pPr>
    </w:p>
    <w:p w14:paraId="473F461A" w14:textId="77777777" w:rsidR="00B24CEB" w:rsidRPr="00B24CEB" w:rsidRDefault="00B24CEB" w:rsidP="00907C90">
      <w:pPr>
        <w:spacing w:line="240" w:lineRule="auto"/>
        <w:jc w:val="both"/>
      </w:pPr>
      <w:r w:rsidRPr="00B24CEB">
        <w:t>* El personal de DERA identificó "grandes declarantes acelerados", "contribuyentes acelerados", "contribuyentes no acelerados" y "compañías de informes más pequeñas" en función de las autoidentificaciones de los declarantes en los datos XBRL de sus Formularios 10-K y 10-K / A. La Comisión adoptó enmiendas a la definición de "empresa informante más pequeña" el 10 de junio de 2018 con la fecha de entrada en vigor de la regla del 10 de septiembre de 2018. </w:t>
      </w:r>
      <w:bookmarkStart w:id="8" w:name="_ftnref7"/>
      <w:r w:rsidRPr="00B24CEB">
        <w:fldChar w:fldCharType="begin"/>
      </w:r>
      <w:r w:rsidRPr="00B24CEB">
        <w:instrText xml:space="preserve"> HYPERLINK "https://www.sec.gov/structureddata/gaap_trends_2019" \l "_ftn7" \o "" </w:instrText>
      </w:r>
      <w:r w:rsidRPr="00B24CEB">
        <w:fldChar w:fldCharType="separate"/>
      </w:r>
      <w:r w:rsidRPr="00B24CEB">
        <w:rPr>
          <w:rStyle w:val="Hipervnculo"/>
        </w:rPr>
        <w:t>[7]</w:t>
      </w:r>
      <w:r w:rsidRPr="00B24CEB">
        <w:fldChar w:fldCharType="end"/>
      </w:r>
      <w:bookmarkEnd w:id="8"/>
      <w:r w:rsidRPr="00B24CEB">
        <w:t> Junto con estas enmiendas, la Comisión también modificó varios formularios (incluido el Formulario 10-K) para eliminar el paréntesis junto a la definición de "declarante no acelerado" que dice "(No verifique si es una empresa informante más pequeña)" y ordenó a los declarantes que "marquen todas las casillas aplicables en la portada que aborden, entre otras cosas, el estado de declarante no acelerado, acelerado y acelerado grande". Estado SRC y estatus de empresa de crecimiento emergente". </w:t>
      </w:r>
      <w:bookmarkStart w:id="9" w:name="_ftnref8"/>
      <w:r w:rsidRPr="00B24CEB">
        <w:fldChar w:fldCharType="begin"/>
      </w:r>
      <w:r w:rsidRPr="00B24CEB">
        <w:instrText xml:space="preserve"> HYPERLINK "https://www.sec.gov/structureddata/gaap_trends_2019" \l "_ftn8" \o "" </w:instrText>
      </w:r>
      <w:r w:rsidRPr="00B24CEB">
        <w:fldChar w:fldCharType="separate"/>
      </w:r>
      <w:r w:rsidRPr="00B24CEB">
        <w:rPr>
          <w:rStyle w:val="Hipervnculo"/>
        </w:rPr>
        <w:t>[8]</w:t>
      </w:r>
      <w:r w:rsidRPr="00B24CEB">
        <w:fldChar w:fldCharType="end"/>
      </w:r>
      <w:bookmarkEnd w:id="9"/>
    </w:p>
    <w:p w14:paraId="61711BE6" w14:textId="77777777" w:rsidR="00B24CEB" w:rsidRPr="00B24CEB" w:rsidRDefault="00B24CEB" w:rsidP="00BA6C45">
      <w:pPr>
        <w:spacing w:after="0" w:line="240" w:lineRule="auto"/>
        <w:jc w:val="both"/>
      </w:pPr>
      <w:r w:rsidRPr="00B24CEB">
        <w:t>A los efectos de este análisis, los archivadores que se autoidentificaron como empresas de informes más pequeñas y también informaron un estado de archivador separado (es decir, un gran archivador acelerado, un archivador acelerado o un estado de archivador no acelerado) se incluyeron en las categorías respectivas de grandes archivadores acelerados, archivadores acelerados o archivadores no acelerados en el análisis de 2019 junto con otros archivadores que solo informaron un estado de archivador (es decir, archivador acelerado grande, archivador acelerado o archivador no acelerado).</w:t>
      </w:r>
    </w:p>
    <w:p w14:paraId="4B483932" w14:textId="77777777" w:rsidR="00B24CEB" w:rsidRPr="00B24CEB" w:rsidRDefault="00B24CEB" w:rsidP="00907C90">
      <w:pPr>
        <w:spacing w:line="240" w:lineRule="auto"/>
        <w:jc w:val="both"/>
      </w:pPr>
      <w:r w:rsidRPr="00B24CEB">
        <w:t>A la luz de la modificación de la portada antes mencionada y el consiguiente aumento de los declarantes que se autoidentifican como empresas informantes más pequeñas, al tiempo que informan de un estado de declarante separado, dichas empresas se incluyeron en la categoría de empresas informantes más pequeñas para 2019 con el fin de mantener el análisis de tendencias en las empresas informantes más pequeñas.</w:t>
      </w:r>
    </w:p>
    <w:p w14:paraId="6AC676FB" w14:textId="5B6950E2" w:rsidR="00B24CEB" w:rsidRPr="00B24CEB" w:rsidRDefault="00B24CEB" w:rsidP="00907C90">
      <w:pPr>
        <w:spacing w:line="240" w:lineRule="auto"/>
        <w:jc w:val="both"/>
      </w:pPr>
      <w:r w:rsidRPr="00B24CEB">
        <w:t>La categoría de empresa informante más pequeña para 2019 también incluye veinte declarantes que se autoidentificaron como empresas informantes más pequeñas y no informaron un estado de declarante separado en 2019.</w:t>
      </w:r>
      <w:r w:rsidR="00907C90">
        <w:t xml:space="preserve"> </w:t>
      </w:r>
      <w:r w:rsidRPr="00B24CEB">
        <w:t>Verificar la exactitud de la autoidentificación de los declarantes está más allá del alcance de este análisis.</w:t>
      </w:r>
    </w:p>
    <w:p w14:paraId="5ACF78B0" w14:textId="77777777" w:rsidR="00B24CEB" w:rsidRPr="00B24CEB" w:rsidRDefault="00B24CEB" w:rsidP="00BA6C45">
      <w:pPr>
        <w:spacing w:after="0" w:line="240" w:lineRule="auto"/>
        <w:jc w:val="both"/>
      </w:pPr>
      <w:r w:rsidRPr="00B24CEB">
        <w:lastRenderedPageBreak/>
        <w:t>El análisis de tendencias para los Formularios 10-K y 10-K/A muestra que las tasas promedio de etiquetas personalizadas para los declarantes se mantuvieron estables de 2017 a 2018, pero disminuyeron en 2019. Con respecto a los subconjuntos de archivadores, las tasas de etiquetas personalizadas para los grandes declarantes acelerados y los no acelerados disminuyeron durante el período de evaluación de tres años, mientras que las tasas de etiquetas personalizadas para los solicitantes acelerados se mantuvieron estables. Las tasas de etiquetas personalizadas para las empresas de informes más pequeñas se mantuvieron estables de 2017 a 2018, pero aumentaron en 2019.</w:t>
      </w:r>
    </w:p>
    <w:p w14:paraId="2C8393C7" w14:textId="77777777" w:rsidR="00BA6C45" w:rsidRDefault="00BA6C45" w:rsidP="00B24CEB">
      <w:pPr>
        <w:spacing w:after="0" w:line="240" w:lineRule="auto"/>
        <w:rPr>
          <w:b/>
          <w:bCs/>
        </w:rPr>
      </w:pPr>
    </w:p>
    <w:p w14:paraId="6455DB5E" w14:textId="1B627DDF" w:rsidR="00B24CEB" w:rsidRPr="009B4D7F" w:rsidRDefault="00B24CEB" w:rsidP="00BA6C45">
      <w:pPr>
        <w:spacing w:after="0" w:line="240" w:lineRule="auto"/>
        <w:jc w:val="both"/>
        <w:rPr>
          <w:sz w:val="24"/>
          <w:szCs w:val="24"/>
        </w:rPr>
      </w:pPr>
      <w:r w:rsidRPr="009B4D7F">
        <w:rPr>
          <w:sz w:val="24"/>
          <w:szCs w:val="24"/>
        </w:rPr>
        <w:t>II. CONCLUSIÓN</w:t>
      </w:r>
    </w:p>
    <w:p w14:paraId="4CCD8069" w14:textId="77777777" w:rsidR="00B24CEB" w:rsidRPr="00B24CEB" w:rsidRDefault="00B24CEB" w:rsidP="00907C90">
      <w:pPr>
        <w:spacing w:line="240" w:lineRule="auto"/>
        <w:jc w:val="both"/>
      </w:pPr>
      <w:r w:rsidRPr="00B24CEB">
        <w:t>El personal de DERA tiene la intención de seguir revisando el uso de etiquetas personalizadas XBRL por parte de los declarantes en sus presentaciones a la Comisión. Dependiendo de los resultados de esos esfuerzos, el personal de DERA puede compartir tendencias adicionales, emitir orientación o llevar a cabo otras acciones.</w:t>
      </w:r>
    </w:p>
    <w:p w14:paraId="02C41F21" w14:textId="373C816C" w:rsidR="00B24CEB" w:rsidRPr="00B24CEB" w:rsidRDefault="00B24CEB" w:rsidP="00BA6C45">
      <w:pPr>
        <w:spacing w:line="240" w:lineRule="auto"/>
        <w:jc w:val="both"/>
      </w:pPr>
      <w:r w:rsidRPr="00B24CEB">
        <w:t>Para las observaciones del personal del personal de DERA publicadas sobre las tasas de etiquetas personalizadas en 2014, véase </w:t>
      </w:r>
      <w:hyperlink r:id="rId7" w:history="1">
        <w:r w:rsidRPr="00B24CEB">
          <w:rPr>
            <w:rStyle w:val="Hipervnculo"/>
          </w:rPr>
          <w:t>http://www.sec.gov/dera/reportspubs/assessment-custom-tag-rates-xbrl.html</w:t>
        </w:r>
      </w:hyperlink>
      <w:r w:rsidRPr="00B24CEB">
        <w:t>. Para conocer los análisis de tendencias anteriores del personal sobre etiquetas personalizadas, consulte la sección Tendencias de esta</w:t>
      </w:r>
      <w:r w:rsidR="00BA6C45">
        <w:t xml:space="preserve"> página, </w:t>
      </w:r>
      <w:r w:rsidRPr="00B24CEB">
        <w:t xml:space="preserve"> </w:t>
      </w:r>
      <w:hyperlink r:id="rId8" w:history="1">
        <w:r w:rsidRPr="00B24CEB">
          <w:rPr>
            <w:rStyle w:val="Hipervnculo"/>
          </w:rPr>
          <w:t>https://www.sec.gov/structureddata/osdstaffobsandguide</w:t>
        </w:r>
      </w:hyperlink>
      <w:r w:rsidRPr="00B24CEB">
        <w:t>. El personal de DERA agradece sus preguntas y comentarios. No dude en llamarnos al (202) 551-5494 o envíenos un correo electrónico a </w:t>
      </w:r>
      <w:hyperlink r:id="rId9" w:history="1">
        <w:r w:rsidRPr="00B24CEB">
          <w:rPr>
            <w:rStyle w:val="Hipervnculo"/>
          </w:rPr>
          <w:t>StructuredData@sec.gov.</w:t>
        </w:r>
      </w:hyperlink>
    </w:p>
    <w:p w14:paraId="38EAE671" w14:textId="77777777" w:rsidR="00B24CEB" w:rsidRPr="009B4D7F" w:rsidRDefault="00B24CEB" w:rsidP="009B4D7F">
      <w:pPr>
        <w:spacing w:line="240" w:lineRule="auto"/>
        <w:jc w:val="both"/>
      </w:pPr>
      <w:r w:rsidRPr="009B4D7F">
        <w:t>Tendencias anteriores</w:t>
      </w:r>
    </w:p>
    <w:p w14:paraId="26975266" w14:textId="77777777" w:rsidR="00B24CEB" w:rsidRPr="00B24CEB" w:rsidRDefault="002A229C" w:rsidP="00BA6C45">
      <w:pPr>
        <w:numPr>
          <w:ilvl w:val="0"/>
          <w:numId w:val="3"/>
        </w:numPr>
        <w:spacing w:after="0" w:line="276" w:lineRule="auto"/>
      </w:pPr>
      <w:hyperlink r:id="rId10" w:history="1">
        <w:r w:rsidR="00B24CEB" w:rsidRPr="00B24CEB">
          <w:rPr>
            <w:rStyle w:val="Hipervnculo"/>
          </w:rPr>
          <w:t>Tendencias GAAP 2016</w:t>
        </w:r>
      </w:hyperlink>
    </w:p>
    <w:p w14:paraId="1640D944" w14:textId="77777777" w:rsidR="00B24CEB" w:rsidRPr="00B24CEB" w:rsidRDefault="002A229C" w:rsidP="00BA6C45">
      <w:pPr>
        <w:numPr>
          <w:ilvl w:val="0"/>
          <w:numId w:val="3"/>
        </w:numPr>
        <w:spacing w:after="0" w:line="276" w:lineRule="auto"/>
      </w:pPr>
      <w:hyperlink r:id="rId11" w:history="1">
        <w:r w:rsidR="00B24CEB" w:rsidRPr="00B24CEB">
          <w:rPr>
            <w:rStyle w:val="Hipervnculo"/>
          </w:rPr>
          <w:t>Tendencias GAAP 2017</w:t>
        </w:r>
      </w:hyperlink>
    </w:p>
    <w:p w14:paraId="50DBC0BF" w14:textId="77777777" w:rsidR="00B24CEB" w:rsidRPr="00B24CEB" w:rsidRDefault="002A229C" w:rsidP="00BA6C45">
      <w:pPr>
        <w:numPr>
          <w:ilvl w:val="0"/>
          <w:numId w:val="3"/>
        </w:numPr>
        <w:spacing w:after="0" w:line="276" w:lineRule="auto"/>
      </w:pPr>
      <w:hyperlink r:id="rId12" w:history="1">
        <w:r w:rsidR="00B24CEB" w:rsidRPr="00B24CEB">
          <w:rPr>
            <w:rStyle w:val="Hipervnculo"/>
          </w:rPr>
          <w:t>Tendencias NIIF 2017</w:t>
        </w:r>
      </w:hyperlink>
    </w:p>
    <w:p w14:paraId="197E3E53" w14:textId="77777777" w:rsidR="00B24CEB" w:rsidRPr="00B24CEB" w:rsidRDefault="002A229C" w:rsidP="00BA6C45">
      <w:pPr>
        <w:numPr>
          <w:ilvl w:val="0"/>
          <w:numId w:val="3"/>
        </w:numPr>
        <w:spacing w:after="0" w:line="276" w:lineRule="auto"/>
      </w:pPr>
      <w:hyperlink r:id="rId13" w:history="1">
        <w:r w:rsidR="00B24CEB" w:rsidRPr="00B24CEB">
          <w:rPr>
            <w:rStyle w:val="Hipervnculo"/>
          </w:rPr>
          <w:t>Tendencias GAAP 2018</w:t>
        </w:r>
      </w:hyperlink>
    </w:p>
    <w:p w14:paraId="1B29AEF3" w14:textId="77777777" w:rsidR="00B24CEB" w:rsidRPr="00B24CEB" w:rsidRDefault="002A229C" w:rsidP="00BA6C45">
      <w:pPr>
        <w:numPr>
          <w:ilvl w:val="0"/>
          <w:numId w:val="3"/>
        </w:numPr>
        <w:spacing w:after="0" w:line="276" w:lineRule="auto"/>
      </w:pPr>
      <w:hyperlink r:id="rId14" w:history="1">
        <w:r w:rsidR="00B24CEB" w:rsidRPr="00B24CEB">
          <w:rPr>
            <w:rStyle w:val="Hipervnculo"/>
          </w:rPr>
          <w:t>Tendencias NIIF 2018</w:t>
        </w:r>
      </w:hyperlink>
    </w:p>
    <w:p w14:paraId="29296DFB" w14:textId="77777777" w:rsidR="00B24CEB" w:rsidRPr="00B24CEB" w:rsidRDefault="002A229C" w:rsidP="00BA6C45">
      <w:pPr>
        <w:numPr>
          <w:ilvl w:val="0"/>
          <w:numId w:val="3"/>
        </w:numPr>
        <w:spacing w:after="0" w:line="276" w:lineRule="auto"/>
      </w:pPr>
      <w:hyperlink r:id="rId15" w:history="1">
        <w:r w:rsidR="00B24CEB" w:rsidRPr="00B24CEB">
          <w:rPr>
            <w:rStyle w:val="Hipervnculo"/>
          </w:rPr>
          <w:t>Tendencias GAAP 2019</w:t>
        </w:r>
      </w:hyperlink>
    </w:p>
    <w:p w14:paraId="356CF786" w14:textId="77777777" w:rsidR="00B24CEB" w:rsidRPr="00B24CEB" w:rsidRDefault="002A229C" w:rsidP="00BA6C45">
      <w:pPr>
        <w:numPr>
          <w:ilvl w:val="0"/>
          <w:numId w:val="3"/>
        </w:numPr>
        <w:spacing w:after="0" w:line="276" w:lineRule="auto"/>
      </w:pPr>
      <w:hyperlink r:id="rId16" w:history="1">
        <w:r w:rsidR="00B24CEB" w:rsidRPr="00B24CEB">
          <w:rPr>
            <w:rStyle w:val="Hipervnculo"/>
          </w:rPr>
          <w:t>Tendencias NIIF 2019</w:t>
        </w:r>
      </w:hyperlink>
    </w:p>
    <w:p w14:paraId="30609224" w14:textId="77777777" w:rsidR="00B24CEB" w:rsidRPr="00B24CEB" w:rsidRDefault="002A229C" w:rsidP="00BA6C45">
      <w:pPr>
        <w:numPr>
          <w:ilvl w:val="0"/>
          <w:numId w:val="3"/>
        </w:numPr>
        <w:spacing w:after="0" w:line="276" w:lineRule="auto"/>
      </w:pPr>
      <w:hyperlink r:id="rId17" w:history="1">
        <w:r w:rsidR="00B24CEB" w:rsidRPr="00B24CEB">
          <w:rPr>
            <w:rStyle w:val="Hipervnculo"/>
          </w:rPr>
          <w:t>Tendencias GAAP 2020</w:t>
        </w:r>
      </w:hyperlink>
    </w:p>
    <w:p w14:paraId="03D34D58" w14:textId="77777777" w:rsidR="00B24CEB" w:rsidRPr="00B24CEB" w:rsidRDefault="002A229C" w:rsidP="00BA6C45">
      <w:pPr>
        <w:numPr>
          <w:ilvl w:val="0"/>
          <w:numId w:val="3"/>
        </w:numPr>
        <w:spacing w:after="0" w:line="276" w:lineRule="auto"/>
      </w:pPr>
      <w:hyperlink r:id="rId18" w:history="1">
        <w:r w:rsidR="00B24CEB" w:rsidRPr="00B24CEB">
          <w:rPr>
            <w:rStyle w:val="Hipervnculo"/>
          </w:rPr>
          <w:t>Tendencias NIIF 2020</w:t>
        </w:r>
      </w:hyperlink>
    </w:p>
    <w:p w14:paraId="5C4AC969" w14:textId="77777777" w:rsidR="00B24CEB" w:rsidRPr="00B24CEB" w:rsidRDefault="002A229C" w:rsidP="00B24CEB">
      <w:pPr>
        <w:spacing w:after="0" w:line="240" w:lineRule="auto"/>
      </w:pPr>
      <w:r>
        <w:pict w14:anchorId="4E73B04D">
          <v:rect id="_x0000_i1025" style="width:195.45pt;height:0" o:hrpct="500" o:hrstd="t" o:hrnoshade="t" o:hr="t" fillcolor="#b3b3b3" stroked="f"/>
        </w:pict>
      </w:r>
    </w:p>
    <w:p w14:paraId="57E4F0DA" w14:textId="77777777" w:rsidR="005C4D20" w:rsidRDefault="005C4D20" w:rsidP="00BA6C45">
      <w:pPr>
        <w:spacing w:line="240" w:lineRule="auto"/>
        <w:jc w:val="both"/>
        <w:rPr>
          <w:sz w:val="18"/>
          <w:szCs w:val="18"/>
        </w:rPr>
      </w:pPr>
      <w:bookmarkStart w:id="10" w:name="_ftn1"/>
    </w:p>
    <w:p w14:paraId="3C1DB3EF" w14:textId="6DD322A4" w:rsidR="00B24CEB" w:rsidRPr="00BA6C45" w:rsidRDefault="002A229C" w:rsidP="00BA6C45">
      <w:pPr>
        <w:spacing w:line="240" w:lineRule="auto"/>
        <w:jc w:val="both"/>
        <w:rPr>
          <w:sz w:val="18"/>
          <w:szCs w:val="18"/>
        </w:rPr>
      </w:pPr>
      <w:hyperlink r:id="rId19" w:anchor="_ftnref1" w:history="1">
        <w:r w:rsidR="00B24CEB" w:rsidRPr="00BA6C45">
          <w:rPr>
            <w:rStyle w:val="Hipervnculo"/>
            <w:sz w:val="18"/>
            <w:szCs w:val="18"/>
          </w:rPr>
          <w:t>[1]</w:t>
        </w:r>
      </w:hyperlink>
      <w:bookmarkEnd w:id="10"/>
      <w:r w:rsidR="00B24CEB" w:rsidRPr="00BA6C45">
        <w:rPr>
          <w:sz w:val="18"/>
          <w:szCs w:val="18"/>
        </w:rPr>
        <w:t xml:space="preserve"> Las pruebas presentadas en el formato XBRL en línea se incluyeron en el análisis. En 2019, 1,330 de los 2,716 solicitantes encuestados presentaron los Formularios 10-K y 10-K / A en el formato </w:t>
      </w:r>
      <w:proofErr w:type="spellStart"/>
      <w:r w:rsidR="00B24CEB" w:rsidRPr="00BA6C45">
        <w:rPr>
          <w:sz w:val="18"/>
          <w:szCs w:val="18"/>
        </w:rPr>
        <w:t>Inline</w:t>
      </w:r>
      <w:proofErr w:type="spellEnd"/>
      <w:r w:rsidR="00B24CEB" w:rsidRPr="00BA6C45">
        <w:rPr>
          <w:sz w:val="18"/>
          <w:szCs w:val="18"/>
        </w:rPr>
        <w:t xml:space="preserve"> XBRL.</w:t>
      </w:r>
    </w:p>
    <w:bookmarkStart w:id="11" w:name="_ftn2"/>
    <w:p w14:paraId="5A8CBC27" w14:textId="77777777" w:rsidR="00B24CEB" w:rsidRPr="00BA6C45" w:rsidRDefault="00B24CEB" w:rsidP="00BA6C45">
      <w:pPr>
        <w:spacing w:line="240" w:lineRule="auto"/>
        <w:jc w:val="both"/>
        <w:rPr>
          <w:sz w:val="18"/>
          <w:szCs w:val="18"/>
        </w:rPr>
      </w:pPr>
      <w:r w:rsidRPr="00BA6C45">
        <w:rPr>
          <w:sz w:val="18"/>
          <w:szCs w:val="18"/>
        </w:rPr>
        <w:fldChar w:fldCharType="begin"/>
      </w:r>
      <w:r w:rsidRPr="00BA6C45">
        <w:rPr>
          <w:sz w:val="18"/>
          <w:szCs w:val="18"/>
        </w:rPr>
        <w:instrText xml:space="preserve"> HYPERLINK "https://www.sec.gov/structureddata/gaap_trends_2019" \l "_ftnref2" \o "" </w:instrText>
      </w:r>
      <w:r w:rsidRPr="00BA6C45">
        <w:rPr>
          <w:sz w:val="18"/>
          <w:szCs w:val="18"/>
        </w:rPr>
        <w:fldChar w:fldCharType="separate"/>
      </w:r>
      <w:r w:rsidRPr="00BA6C45">
        <w:rPr>
          <w:rStyle w:val="Hipervnculo"/>
          <w:sz w:val="18"/>
          <w:szCs w:val="18"/>
        </w:rPr>
        <w:t>[2]</w:t>
      </w:r>
      <w:r w:rsidRPr="00BA6C45">
        <w:rPr>
          <w:sz w:val="18"/>
          <w:szCs w:val="18"/>
        </w:rPr>
        <w:fldChar w:fldCharType="end"/>
      </w:r>
      <w:bookmarkEnd w:id="11"/>
      <w:r w:rsidRPr="00BA6C45">
        <w:rPr>
          <w:sz w:val="18"/>
          <w:szCs w:val="18"/>
        </w:rPr>
        <w:t> Versión No. 33-9002 (30 de enero de 2009), 74 FR 6776 (10 de febrero de 2009).</w:t>
      </w:r>
    </w:p>
    <w:bookmarkStart w:id="12" w:name="_ftn3"/>
    <w:p w14:paraId="641B0652" w14:textId="77777777" w:rsidR="00B24CEB" w:rsidRPr="00BA6C45" w:rsidRDefault="00B24CEB" w:rsidP="00BA6C45">
      <w:pPr>
        <w:spacing w:line="240" w:lineRule="auto"/>
        <w:jc w:val="both"/>
        <w:rPr>
          <w:sz w:val="18"/>
          <w:szCs w:val="18"/>
        </w:rPr>
      </w:pPr>
      <w:r w:rsidRPr="00BA6C45">
        <w:rPr>
          <w:sz w:val="18"/>
          <w:szCs w:val="18"/>
        </w:rPr>
        <w:fldChar w:fldCharType="begin"/>
      </w:r>
      <w:r w:rsidRPr="00BA6C45">
        <w:rPr>
          <w:sz w:val="18"/>
          <w:szCs w:val="18"/>
        </w:rPr>
        <w:instrText xml:space="preserve"> HYPERLINK "https://www.sec.gov/structureddata/gaap_trends_2019" \l "_ftnref3" \o "" </w:instrText>
      </w:r>
      <w:r w:rsidRPr="00BA6C45">
        <w:rPr>
          <w:sz w:val="18"/>
          <w:szCs w:val="18"/>
        </w:rPr>
        <w:fldChar w:fldCharType="separate"/>
      </w:r>
      <w:r w:rsidRPr="00BA6C45">
        <w:rPr>
          <w:rStyle w:val="Hipervnculo"/>
          <w:sz w:val="18"/>
          <w:szCs w:val="18"/>
        </w:rPr>
        <w:t>[3]</w:t>
      </w:r>
      <w:r w:rsidRPr="00BA6C45">
        <w:rPr>
          <w:sz w:val="18"/>
          <w:szCs w:val="18"/>
        </w:rPr>
        <w:fldChar w:fldCharType="end"/>
      </w:r>
      <w:bookmarkEnd w:id="12"/>
      <w:r w:rsidRPr="00BA6C45">
        <w:rPr>
          <w:sz w:val="18"/>
          <w:szCs w:val="18"/>
        </w:rPr>
        <w:t> Nuestro análisis incluye etiquetas personalizadas de etiquetas de elementos de línea y excluye etiquetas que son abstractas, relacionadas con texto, miembro, dominio y documento y entidad. Para obtener definiciones de resumen, miembro y dominio, consulte el glosario XBRL en </w:t>
      </w:r>
      <w:hyperlink r:id="rId20" w:history="1">
        <w:r w:rsidRPr="00BA6C45">
          <w:rPr>
            <w:rStyle w:val="Hipervnculo"/>
            <w:sz w:val="18"/>
            <w:szCs w:val="18"/>
          </w:rPr>
          <w:t>https://www.sec.gov/page/osd_xbrlglossary</w:t>
        </w:r>
      </w:hyperlink>
      <w:r w:rsidRPr="00BA6C45">
        <w:rPr>
          <w:sz w:val="18"/>
          <w:szCs w:val="18"/>
        </w:rPr>
        <w:t>. Las etiquetas de documentos y entidades están relacionadas en gran medida con la identificación y clasificación de los declarantes e incluyen, entre otras cosas, el tipo de formulario, el nombre de la empresa, el tamaño del archivador y la flotación pública.</w:t>
      </w:r>
    </w:p>
    <w:bookmarkStart w:id="13" w:name="_ftn4"/>
    <w:p w14:paraId="7BCE760A" w14:textId="77777777" w:rsidR="00B24CEB" w:rsidRPr="00BA6C45" w:rsidRDefault="00B24CEB" w:rsidP="00BA6C45">
      <w:pPr>
        <w:spacing w:line="240" w:lineRule="auto"/>
        <w:jc w:val="both"/>
        <w:rPr>
          <w:sz w:val="18"/>
          <w:szCs w:val="18"/>
        </w:rPr>
      </w:pPr>
      <w:r w:rsidRPr="00BA6C45">
        <w:rPr>
          <w:sz w:val="18"/>
          <w:szCs w:val="18"/>
        </w:rPr>
        <w:fldChar w:fldCharType="begin"/>
      </w:r>
      <w:r w:rsidRPr="00BA6C45">
        <w:rPr>
          <w:sz w:val="18"/>
          <w:szCs w:val="18"/>
        </w:rPr>
        <w:instrText xml:space="preserve"> HYPERLINK "https://www.sec.gov/structureddata/gaap_trends_2019" \l "_ftnref4" \o "" </w:instrText>
      </w:r>
      <w:r w:rsidRPr="00BA6C45">
        <w:rPr>
          <w:sz w:val="18"/>
          <w:szCs w:val="18"/>
        </w:rPr>
        <w:fldChar w:fldCharType="separate"/>
      </w:r>
      <w:r w:rsidRPr="00BA6C45">
        <w:rPr>
          <w:rStyle w:val="Hipervnculo"/>
          <w:sz w:val="18"/>
          <w:szCs w:val="18"/>
        </w:rPr>
        <w:t>[4]</w:t>
      </w:r>
      <w:r w:rsidRPr="00BA6C45">
        <w:rPr>
          <w:sz w:val="18"/>
          <w:szCs w:val="18"/>
        </w:rPr>
        <w:fldChar w:fldCharType="end"/>
      </w:r>
      <w:bookmarkEnd w:id="13"/>
      <w:r w:rsidRPr="00BA6C45">
        <w:rPr>
          <w:sz w:val="18"/>
          <w:szCs w:val="18"/>
        </w:rPr>
        <w:t>17 CFR 232.405(c)(1)(</w:t>
      </w:r>
      <w:proofErr w:type="spellStart"/>
      <w:r w:rsidRPr="00BA6C45">
        <w:rPr>
          <w:sz w:val="18"/>
          <w:szCs w:val="18"/>
        </w:rPr>
        <w:t>iii</w:t>
      </w:r>
      <w:proofErr w:type="spellEnd"/>
      <w:r w:rsidRPr="00BA6C45">
        <w:rPr>
          <w:sz w:val="18"/>
          <w:szCs w:val="18"/>
        </w:rPr>
        <w:t>).</w:t>
      </w:r>
    </w:p>
    <w:bookmarkStart w:id="14" w:name="_ftn5"/>
    <w:p w14:paraId="3A93604F" w14:textId="77777777" w:rsidR="00B24CEB" w:rsidRPr="00BA6C45" w:rsidRDefault="00B24CEB" w:rsidP="00BA6C45">
      <w:pPr>
        <w:spacing w:line="240" w:lineRule="auto"/>
        <w:jc w:val="both"/>
        <w:rPr>
          <w:sz w:val="18"/>
          <w:szCs w:val="18"/>
        </w:rPr>
      </w:pPr>
      <w:r w:rsidRPr="00BA6C45">
        <w:rPr>
          <w:sz w:val="18"/>
          <w:szCs w:val="18"/>
        </w:rPr>
        <w:fldChar w:fldCharType="begin"/>
      </w:r>
      <w:r w:rsidRPr="00BA6C45">
        <w:rPr>
          <w:sz w:val="18"/>
          <w:szCs w:val="18"/>
        </w:rPr>
        <w:instrText xml:space="preserve"> HYPERLINK "https://www.sec.gov/structureddata/gaap_trends_2019" \l "_ftnref5" \o "" </w:instrText>
      </w:r>
      <w:r w:rsidRPr="00BA6C45">
        <w:rPr>
          <w:sz w:val="18"/>
          <w:szCs w:val="18"/>
        </w:rPr>
        <w:fldChar w:fldCharType="separate"/>
      </w:r>
      <w:r w:rsidRPr="00BA6C45">
        <w:rPr>
          <w:rStyle w:val="Hipervnculo"/>
          <w:sz w:val="18"/>
          <w:szCs w:val="18"/>
        </w:rPr>
        <w:t>[5]</w:t>
      </w:r>
      <w:r w:rsidRPr="00BA6C45">
        <w:rPr>
          <w:sz w:val="18"/>
          <w:szCs w:val="18"/>
        </w:rPr>
        <w:fldChar w:fldCharType="end"/>
      </w:r>
      <w:bookmarkEnd w:id="14"/>
      <w:r w:rsidRPr="00BA6C45">
        <w:rPr>
          <w:sz w:val="18"/>
          <w:szCs w:val="18"/>
        </w:rPr>
        <w:t> Véase n. 1. al 104-05.</w:t>
      </w:r>
    </w:p>
    <w:bookmarkStart w:id="15" w:name="_ftn6"/>
    <w:p w14:paraId="42E28825" w14:textId="77777777" w:rsidR="00B24CEB" w:rsidRPr="00BA6C45" w:rsidRDefault="00B24CEB" w:rsidP="00BA6C45">
      <w:pPr>
        <w:spacing w:line="240" w:lineRule="auto"/>
        <w:jc w:val="both"/>
        <w:rPr>
          <w:sz w:val="18"/>
          <w:szCs w:val="18"/>
        </w:rPr>
      </w:pPr>
      <w:r w:rsidRPr="00BA6C45">
        <w:rPr>
          <w:sz w:val="18"/>
          <w:szCs w:val="18"/>
        </w:rPr>
        <w:lastRenderedPageBreak/>
        <w:fldChar w:fldCharType="begin"/>
      </w:r>
      <w:r w:rsidRPr="00BA6C45">
        <w:rPr>
          <w:sz w:val="18"/>
          <w:szCs w:val="18"/>
        </w:rPr>
        <w:instrText xml:space="preserve"> HYPERLINK "https://www.sec.gov/structureddata/gaap_trends_2019" \l "_ftnref6" \o "" </w:instrText>
      </w:r>
      <w:r w:rsidRPr="00BA6C45">
        <w:rPr>
          <w:sz w:val="18"/>
          <w:szCs w:val="18"/>
        </w:rPr>
        <w:fldChar w:fldCharType="separate"/>
      </w:r>
      <w:r w:rsidRPr="00BA6C45">
        <w:rPr>
          <w:rStyle w:val="Hipervnculo"/>
          <w:sz w:val="18"/>
          <w:szCs w:val="18"/>
        </w:rPr>
        <w:t>[6]</w:t>
      </w:r>
      <w:r w:rsidRPr="00BA6C45">
        <w:rPr>
          <w:sz w:val="18"/>
          <w:szCs w:val="18"/>
        </w:rPr>
        <w:fldChar w:fldCharType="end"/>
      </w:r>
      <w:bookmarkEnd w:id="15"/>
      <w:r w:rsidRPr="00BA6C45">
        <w:rPr>
          <w:sz w:val="18"/>
          <w:szCs w:val="18"/>
        </w:rPr>
        <w:t> Véase 17 CFR 232.405(c)(1)(</w:t>
      </w:r>
      <w:proofErr w:type="spellStart"/>
      <w:r w:rsidRPr="00BA6C45">
        <w:rPr>
          <w:sz w:val="18"/>
          <w:szCs w:val="18"/>
        </w:rPr>
        <w:t>iii</w:t>
      </w:r>
      <w:proofErr w:type="spellEnd"/>
      <w:r w:rsidRPr="00BA6C45">
        <w:rPr>
          <w:sz w:val="18"/>
          <w:szCs w:val="18"/>
        </w:rPr>
        <w:t>)(B) ("Un archivador electrónico debe crear y utilizar un nuevo elemento especial si y solo si no existe una etiqueta apropiada en la lista estándar de etiquetas por razones distintas o adicionales a una etiqueta estándar inapropiada").</w:t>
      </w:r>
    </w:p>
    <w:bookmarkStart w:id="16" w:name="_ftn7"/>
    <w:p w14:paraId="078DDE4B" w14:textId="77777777" w:rsidR="00B24CEB" w:rsidRPr="00BA6C45" w:rsidRDefault="00B24CEB" w:rsidP="00BA6C45">
      <w:pPr>
        <w:spacing w:line="240" w:lineRule="auto"/>
        <w:jc w:val="both"/>
        <w:rPr>
          <w:sz w:val="18"/>
          <w:szCs w:val="18"/>
        </w:rPr>
      </w:pPr>
      <w:r w:rsidRPr="00BA6C45">
        <w:rPr>
          <w:sz w:val="18"/>
          <w:szCs w:val="18"/>
        </w:rPr>
        <w:fldChar w:fldCharType="begin"/>
      </w:r>
      <w:r w:rsidRPr="00BA6C45">
        <w:rPr>
          <w:sz w:val="18"/>
          <w:szCs w:val="18"/>
        </w:rPr>
        <w:instrText xml:space="preserve"> HYPERLINK "https://www.sec.gov/structureddata/gaap_trends_2019" \l "_ftnref7" \o "" </w:instrText>
      </w:r>
      <w:r w:rsidRPr="00BA6C45">
        <w:rPr>
          <w:sz w:val="18"/>
          <w:szCs w:val="18"/>
        </w:rPr>
        <w:fldChar w:fldCharType="separate"/>
      </w:r>
      <w:r w:rsidRPr="00BA6C45">
        <w:rPr>
          <w:rStyle w:val="Hipervnculo"/>
          <w:sz w:val="18"/>
          <w:szCs w:val="18"/>
        </w:rPr>
        <w:t>[7]</w:t>
      </w:r>
      <w:r w:rsidRPr="00BA6C45">
        <w:rPr>
          <w:sz w:val="18"/>
          <w:szCs w:val="18"/>
        </w:rPr>
        <w:fldChar w:fldCharType="end"/>
      </w:r>
      <w:bookmarkEnd w:id="16"/>
      <w:r w:rsidRPr="00BA6C45">
        <w:rPr>
          <w:sz w:val="18"/>
          <w:szCs w:val="18"/>
        </w:rPr>
        <w:t> Comunicado No. 33-10513 (28 de junio de 2018), 83 FR 31992 (10 de julio de 2018).</w:t>
      </w:r>
    </w:p>
    <w:bookmarkStart w:id="17" w:name="_ftn8"/>
    <w:p w14:paraId="68959778" w14:textId="77777777" w:rsidR="00B24CEB" w:rsidRPr="00BA6C45" w:rsidRDefault="00B24CEB" w:rsidP="00BA6C45">
      <w:pPr>
        <w:spacing w:line="240" w:lineRule="auto"/>
        <w:jc w:val="both"/>
        <w:rPr>
          <w:sz w:val="18"/>
          <w:szCs w:val="18"/>
        </w:rPr>
      </w:pPr>
      <w:r w:rsidRPr="00BA6C45">
        <w:rPr>
          <w:sz w:val="18"/>
          <w:szCs w:val="18"/>
        </w:rPr>
        <w:fldChar w:fldCharType="begin"/>
      </w:r>
      <w:r w:rsidRPr="00BA6C45">
        <w:rPr>
          <w:sz w:val="18"/>
          <w:szCs w:val="18"/>
        </w:rPr>
        <w:instrText xml:space="preserve"> HYPERLINK "https://www.sec.gov/structureddata/gaap_trends_2019" \l "_ftnref8" \o "" </w:instrText>
      </w:r>
      <w:r w:rsidRPr="00BA6C45">
        <w:rPr>
          <w:sz w:val="18"/>
          <w:szCs w:val="18"/>
        </w:rPr>
        <w:fldChar w:fldCharType="separate"/>
      </w:r>
      <w:r w:rsidRPr="00BA6C45">
        <w:rPr>
          <w:rStyle w:val="Hipervnculo"/>
          <w:sz w:val="18"/>
          <w:szCs w:val="18"/>
        </w:rPr>
        <w:t>[8]</w:t>
      </w:r>
      <w:r w:rsidRPr="00BA6C45">
        <w:rPr>
          <w:sz w:val="18"/>
          <w:szCs w:val="18"/>
        </w:rPr>
        <w:fldChar w:fldCharType="end"/>
      </w:r>
      <w:bookmarkEnd w:id="17"/>
      <w:r w:rsidRPr="00BA6C45">
        <w:rPr>
          <w:sz w:val="18"/>
          <w:szCs w:val="18"/>
        </w:rPr>
        <w:t> Véase id. en n. 131.</w:t>
      </w:r>
    </w:p>
    <w:p w14:paraId="4DE0C796" w14:textId="289374CA" w:rsidR="00B24CEB" w:rsidRDefault="00B24CEB" w:rsidP="00BA6C45">
      <w:pPr>
        <w:spacing w:line="240" w:lineRule="auto"/>
        <w:jc w:val="both"/>
        <w:rPr>
          <w:i/>
          <w:iCs/>
          <w:sz w:val="18"/>
          <w:szCs w:val="18"/>
        </w:rPr>
      </w:pPr>
      <w:r w:rsidRPr="00BA6C45">
        <w:rPr>
          <w:i/>
          <w:iCs/>
          <w:sz w:val="18"/>
          <w:szCs w:val="18"/>
        </w:rPr>
        <w:t>Modificado: 29 de junio de 2021</w:t>
      </w:r>
    </w:p>
    <w:p w14:paraId="3BF432AA" w14:textId="77777777" w:rsidR="00BA6C45" w:rsidRPr="00BA6C45" w:rsidRDefault="00BA6C45" w:rsidP="00BA6C45">
      <w:pPr>
        <w:spacing w:line="240" w:lineRule="auto"/>
        <w:jc w:val="both"/>
      </w:pPr>
    </w:p>
    <w:p w14:paraId="0ECC8433" w14:textId="77777777" w:rsidR="00B24CEB" w:rsidRPr="00BA6C45" w:rsidRDefault="00B24CEB" w:rsidP="00BA6C45">
      <w:pPr>
        <w:spacing w:line="240" w:lineRule="auto"/>
        <w:jc w:val="both"/>
      </w:pPr>
    </w:p>
    <w:sectPr w:rsidR="00B24CEB" w:rsidRPr="00BA6C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2A9"/>
    <w:multiLevelType w:val="hybridMultilevel"/>
    <w:tmpl w:val="6D7E0EEE"/>
    <w:lvl w:ilvl="0" w:tplc="6B86900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7C2205"/>
    <w:multiLevelType w:val="multilevel"/>
    <w:tmpl w:val="8198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D6DDD"/>
    <w:multiLevelType w:val="hybridMultilevel"/>
    <w:tmpl w:val="9FBA2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94"/>
    <w:rsid w:val="0001209C"/>
    <w:rsid w:val="000344B9"/>
    <w:rsid w:val="000415EF"/>
    <w:rsid w:val="0004490E"/>
    <w:rsid w:val="00056496"/>
    <w:rsid w:val="00060A38"/>
    <w:rsid w:val="00066EC5"/>
    <w:rsid w:val="000718D6"/>
    <w:rsid w:val="000D44E5"/>
    <w:rsid w:val="000D5D0E"/>
    <w:rsid w:val="000D6C5D"/>
    <w:rsid w:val="000F2104"/>
    <w:rsid w:val="00110E11"/>
    <w:rsid w:val="00116390"/>
    <w:rsid w:val="00121399"/>
    <w:rsid w:val="00131E8B"/>
    <w:rsid w:val="001C1943"/>
    <w:rsid w:val="001C5429"/>
    <w:rsid w:val="001C7AC9"/>
    <w:rsid w:val="001E1FAA"/>
    <w:rsid w:val="0020520E"/>
    <w:rsid w:val="0023137C"/>
    <w:rsid w:val="00233ADB"/>
    <w:rsid w:val="00274C3C"/>
    <w:rsid w:val="002771D8"/>
    <w:rsid w:val="002A229C"/>
    <w:rsid w:val="002A5883"/>
    <w:rsid w:val="002B5316"/>
    <w:rsid w:val="002E37B3"/>
    <w:rsid w:val="002F2250"/>
    <w:rsid w:val="002F77CB"/>
    <w:rsid w:val="00306E1A"/>
    <w:rsid w:val="00310E3E"/>
    <w:rsid w:val="00334FF2"/>
    <w:rsid w:val="00347F9B"/>
    <w:rsid w:val="00354EDC"/>
    <w:rsid w:val="00357D5A"/>
    <w:rsid w:val="003651EE"/>
    <w:rsid w:val="003723D2"/>
    <w:rsid w:val="00393B88"/>
    <w:rsid w:val="003A1EC4"/>
    <w:rsid w:val="003D648B"/>
    <w:rsid w:val="003E22E2"/>
    <w:rsid w:val="003F5FA5"/>
    <w:rsid w:val="00416206"/>
    <w:rsid w:val="00453284"/>
    <w:rsid w:val="00471D2D"/>
    <w:rsid w:val="00484555"/>
    <w:rsid w:val="005961F5"/>
    <w:rsid w:val="005A6F09"/>
    <w:rsid w:val="005C4D20"/>
    <w:rsid w:val="005E13A9"/>
    <w:rsid w:val="005F7116"/>
    <w:rsid w:val="00623389"/>
    <w:rsid w:val="00647B78"/>
    <w:rsid w:val="00656D82"/>
    <w:rsid w:val="00670CA0"/>
    <w:rsid w:val="00674BBA"/>
    <w:rsid w:val="0067589B"/>
    <w:rsid w:val="00675E25"/>
    <w:rsid w:val="006A3B38"/>
    <w:rsid w:val="006B0911"/>
    <w:rsid w:val="006C05EB"/>
    <w:rsid w:val="006C0CC7"/>
    <w:rsid w:val="006E1C0B"/>
    <w:rsid w:val="006F1D3D"/>
    <w:rsid w:val="00730431"/>
    <w:rsid w:val="00737F61"/>
    <w:rsid w:val="007666B3"/>
    <w:rsid w:val="007719E6"/>
    <w:rsid w:val="00776594"/>
    <w:rsid w:val="00777804"/>
    <w:rsid w:val="00785C10"/>
    <w:rsid w:val="00794668"/>
    <w:rsid w:val="007A6E08"/>
    <w:rsid w:val="007B1808"/>
    <w:rsid w:val="007F29B7"/>
    <w:rsid w:val="008049FC"/>
    <w:rsid w:val="00820EFD"/>
    <w:rsid w:val="00825CFA"/>
    <w:rsid w:val="00835163"/>
    <w:rsid w:val="00863687"/>
    <w:rsid w:val="0088512B"/>
    <w:rsid w:val="008D7F92"/>
    <w:rsid w:val="00907C90"/>
    <w:rsid w:val="00946354"/>
    <w:rsid w:val="00975887"/>
    <w:rsid w:val="00976D68"/>
    <w:rsid w:val="009776D2"/>
    <w:rsid w:val="009A0C1F"/>
    <w:rsid w:val="009B4D7F"/>
    <w:rsid w:val="009C560A"/>
    <w:rsid w:val="009C5AE4"/>
    <w:rsid w:val="009E3A0D"/>
    <w:rsid w:val="009F13E5"/>
    <w:rsid w:val="009F3A08"/>
    <w:rsid w:val="00A40B18"/>
    <w:rsid w:val="00A4267A"/>
    <w:rsid w:val="00A43CDA"/>
    <w:rsid w:val="00A5590E"/>
    <w:rsid w:val="00A668AE"/>
    <w:rsid w:val="00A769E9"/>
    <w:rsid w:val="00A90DE8"/>
    <w:rsid w:val="00AA440D"/>
    <w:rsid w:val="00AA5F58"/>
    <w:rsid w:val="00B00AD9"/>
    <w:rsid w:val="00B0244B"/>
    <w:rsid w:val="00B17730"/>
    <w:rsid w:val="00B24CEB"/>
    <w:rsid w:val="00B30E23"/>
    <w:rsid w:val="00B3183B"/>
    <w:rsid w:val="00B36164"/>
    <w:rsid w:val="00B55073"/>
    <w:rsid w:val="00B8660C"/>
    <w:rsid w:val="00B91018"/>
    <w:rsid w:val="00BA6C45"/>
    <w:rsid w:val="00BE04A6"/>
    <w:rsid w:val="00C1370F"/>
    <w:rsid w:val="00C22BC0"/>
    <w:rsid w:val="00C41B4F"/>
    <w:rsid w:val="00C45556"/>
    <w:rsid w:val="00C472EE"/>
    <w:rsid w:val="00C62122"/>
    <w:rsid w:val="00C627AF"/>
    <w:rsid w:val="00C73B36"/>
    <w:rsid w:val="00CF54A9"/>
    <w:rsid w:val="00D23A8E"/>
    <w:rsid w:val="00D33982"/>
    <w:rsid w:val="00D4021E"/>
    <w:rsid w:val="00D6107F"/>
    <w:rsid w:val="00D77A29"/>
    <w:rsid w:val="00D96BD6"/>
    <w:rsid w:val="00DC1F66"/>
    <w:rsid w:val="00DE65FD"/>
    <w:rsid w:val="00DF716A"/>
    <w:rsid w:val="00E04ABB"/>
    <w:rsid w:val="00E0570D"/>
    <w:rsid w:val="00E13D9D"/>
    <w:rsid w:val="00E3196C"/>
    <w:rsid w:val="00E611D8"/>
    <w:rsid w:val="00E74DE6"/>
    <w:rsid w:val="00E80A6B"/>
    <w:rsid w:val="00E95460"/>
    <w:rsid w:val="00E960DA"/>
    <w:rsid w:val="00ED24C2"/>
    <w:rsid w:val="00EE44C8"/>
    <w:rsid w:val="00EE63B9"/>
    <w:rsid w:val="00EF1FDE"/>
    <w:rsid w:val="00F6094A"/>
    <w:rsid w:val="00F8691E"/>
    <w:rsid w:val="00F9281D"/>
    <w:rsid w:val="00FA1B32"/>
    <w:rsid w:val="00FB29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E2062"/>
  <w15:chartTrackingRefBased/>
  <w15:docId w15:val="{7690E177-DFF6-4387-A9CD-821C670F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8"/>
  </w:style>
  <w:style w:type="paragraph" w:styleId="Ttulo1">
    <w:name w:val="heading 1"/>
    <w:basedOn w:val="Normal"/>
    <w:next w:val="Normal"/>
    <w:link w:val="Ttulo1Car"/>
    <w:uiPriority w:val="9"/>
    <w:qFormat/>
    <w:rsid w:val="00EE4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73043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semiHidden/>
    <w:unhideWhenUsed/>
    <w:qFormat/>
    <w:rsid w:val="000F21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6594"/>
    <w:rPr>
      <w:color w:val="0563C1" w:themeColor="hyperlink"/>
      <w:u w:val="single"/>
    </w:rPr>
  </w:style>
  <w:style w:type="character" w:styleId="Mencinsinresolver">
    <w:name w:val="Unresolved Mention"/>
    <w:basedOn w:val="Fuentedeprrafopredeter"/>
    <w:uiPriority w:val="99"/>
    <w:semiHidden/>
    <w:unhideWhenUsed/>
    <w:rsid w:val="00776594"/>
    <w:rPr>
      <w:color w:val="605E5C"/>
      <w:shd w:val="clear" w:color="auto" w:fill="E1DFDD"/>
    </w:rPr>
  </w:style>
  <w:style w:type="character" w:styleId="Hipervnculovisitado">
    <w:name w:val="FollowedHyperlink"/>
    <w:basedOn w:val="Fuentedeprrafopredeter"/>
    <w:uiPriority w:val="99"/>
    <w:semiHidden/>
    <w:unhideWhenUsed/>
    <w:rsid w:val="009F3A08"/>
    <w:rPr>
      <w:color w:val="954F72" w:themeColor="followedHyperlink"/>
      <w:u w:val="single"/>
    </w:rPr>
  </w:style>
  <w:style w:type="character" w:customStyle="1" w:styleId="Ttulo2Car">
    <w:name w:val="Título 2 Car"/>
    <w:basedOn w:val="Fuentedeprrafopredeter"/>
    <w:link w:val="Ttulo2"/>
    <w:uiPriority w:val="9"/>
    <w:semiHidden/>
    <w:rsid w:val="00730431"/>
    <w:rPr>
      <w:rFonts w:asciiTheme="majorHAnsi" w:eastAsiaTheme="majorEastAsia" w:hAnsiTheme="majorHAnsi" w:cstheme="majorBidi"/>
      <w:color w:val="2F5496" w:themeColor="accent1" w:themeShade="BF"/>
      <w:sz w:val="26"/>
      <w:szCs w:val="26"/>
      <w:lang w:eastAsia="es-MX"/>
    </w:rPr>
  </w:style>
  <w:style w:type="character" w:customStyle="1" w:styleId="Ttulo1Car">
    <w:name w:val="Título 1 Car"/>
    <w:basedOn w:val="Fuentedeprrafopredeter"/>
    <w:link w:val="Ttulo1"/>
    <w:uiPriority w:val="9"/>
    <w:rsid w:val="00EE44C8"/>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393B88"/>
    <w:pPr>
      <w:ind w:left="720"/>
      <w:contextualSpacing/>
    </w:pPr>
  </w:style>
  <w:style w:type="character" w:customStyle="1" w:styleId="Ttulo3Car">
    <w:name w:val="Título 3 Car"/>
    <w:basedOn w:val="Fuentedeprrafopredeter"/>
    <w:link w:val="Ttulo3"/>
    <w:uiPriority w:val="9"/>
    <w:semiHidden/>
    <w:rsid w:val="000F21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133">
      <w:bodyDiv w:val="1"/>
      <w:marLeft w:val="0"/>
      <w:marRight w:val="0"/>
      <w:marTop w:val="0"/>
      <w:marBottom w:val="0"/>
      <w:divBdr>
        <w:top w:val="none" w:sz="0" w:space="0" w:color="auto"/>
        <w:left w:val="none" w:sz="0" w:space="0" w:color="auto"/>
        <w:bottom w:val="none" w:sz="0" w:space="0" w:color="auto"/>
        <w:right w:val="none" w:sz="0" w:space="0" w:color="auto"/>
      </w:divBdr>
    </w:div>
    <w:div w:id="62266208">
      <w:bodyDiv w:val="1"/>
      <w:marLeft w:val="0"/>
      <w:marRight w:val="0"/>
      <w:marTop w:val="0"/>
      <w:marBottom w:val="0"/>
      <w:divBdr>
        <w:top w:val="none" w:sz="0" w:space="0" w:color="auto"/>
        <w:left w:val="none" w:sz="0" w:space="0" w:color="auto"/>
        <w:bottom w:val="none" w:sz="0" w:space="0" w:color="auto"/>
        <w:right w:val="none" w:sz="0" w:space="0" w:color="auto"/>
      </w:divBdr>
    </w:div>
    <w:div w:id="290744870">
      <w:bodyDiv w:val="1"/>
      <w:marLeft w:val="0"/>
      <w:marRight w:val="0"/>
      <w:marTop w:val="0"/>
      <w:marBottom w:val="0"/>
      <w:divBdr>
        <w:top w:val="none" w:sz="0" w:space="0" w:color="auto"/>
        <w:left w:val="none" w:sz="0" w:space="0" w:color="auto"/>
        <w:bottom w:val="none" w:sz="0" w:space="0" w:color="auto"/>
        <w:right w:val="none" w:sz="0" w:space="0" w:color="auto"/>
      </w:divBdr>
      <w:divsChild>
        <w:div w:id="110322552">
          <w:marLeft w:val="0"/>
          <w:marRight w:val="0"/>
          <w:marTop w:val="0"/>
          <w:marBottom w:val="0"/>
          <w:divBdr>
            <w:top w:val="none" w:sz="0" w:space="0" w:color="auto"/>
            <w:left w:val="none" w:sz="0" w:space="0" w:color="auto"/>
            <w:bottom w:val="none" w:sz="0" w:space="0" w:color="auto"/>
            <w:right w:val="none" w:sz="0" w:space="0" w:color="auto"/>
          </w:divBdr>
          <w:divsChild>
            <w:div w:id="444153604">
              <w:marLeft w:val="0"/>
              <w:marRight w:val="0"/>
              <w:marTop w:val="0"/>
              <w:marBottom w:val="0"/>
              <w:divBdr>
                <w:top w:val="none" w:sz="0" w:space="0" w:color="auto"/>
                <w:left w:val="none" w:sz="0" w:space="0" w:color="auto"/>
                <w:bottom w:val="none" w:sz="0" w:space="0" w:color="auto"/>
                <w:right w:val="none" w:sz="0" w:space="0" w:color="auto"/>
              </w:divBdr>
              <w:divsChild>
                <w:div w:id="81218936">
                  <w:marLeft w:val="0"/>
                  <w:marRight w:val="0"/>
                  <w:marTop w:val="0"/>
                  <w:marBottom w:val="0"/>
                  <w:divBdr>
                    <w:top w:val="none" w:sz="0" w:space="0" w:color="auto"/>
                    <w:left w:val="none" w:sz="0" w:space="0" w:color="auto"/>
                    <w:bottom w:val="none" w:sz="0" w:space="0" w:color="auto"/>
                    <w:right w:val="none" w:sz="0" w:space="0" w:color="auto"/>
                  </w:divBdr>
                  <w:divsChild>
                    <w:div w:id="2027515508">
                      <w:marLeft w:val="0"/>
                      <w:marRight w:val="0"/>
                      <w:marTop w:val="0"/>
                      <w:marBottom w:val="0"/>
                      <w:divBdr>
                        <w:top w:val="none" w:sz="0" w:space="0" w:color="auto"/>
                        <w:left w:val="none" w:sz="0" w:space="0" w:color="auto"/>
                        <w:bottom w:val="none" w:sz="0" w:space="0" w:color="auto"/>
                        <w:right w:val="none" w:sz="0" w:space="0" w:color="auto"/>
                      </w:divBdr>
                      <w:divsChild>
                        <w:div w:id="2133819371">
                          <w:marLeft w:val="0"/>
                          <w:marRight w:val="0"/>
                          <w:marTop w:val="0"/>
                          <w:marBottom w:val="0"/>
                          <w:divBdr>
                            <w:top w:val="none" w:sz="0" w:space="0" w:color="auto"/>
                            <w:left w:val="none" w:sz="0" w:space="0" w:color="auto"/>
                            <w:bottom w:val="none" w:sz="0" w:space="0" w:color="auto"/>
                            <w:right w:val="none" w:sz="0" w:space="0" w:color="auto"/>
                          </w:divBdr>
                          <w:divsChild>
                            <w:div w:id="1842313358">
                              <w:marLeft w:val="0"/>
                              <w:marRight w:val="0"/>
                              <w:marTop w:val="0"/>
                              <w:marBottom w:val="0"/>
                              <w:divBdr>
                                <w:top w:val="none" w:sz="0" w:space="0" w:color="auto"/>
                                <w:left w:val="none" w:sz="0" w:space="0" w:color="auto"/>
                                <w:bottom w:val="none" w:sz="0" w:space="0" w:color="auto"/>
                                <w:right w:val="none" w:sz="0" w:space="0" w:color="auto"/>
                              </w:divBdr>
                              <w:divsChild>
                                <w:div w:id="1486631836">
                                  <w:marLeft w:val="0"/>
                                  <w:marRight w:val="0"/>
                                  <w:marTop w:val="0"/>
                                  <w:marBottom w:val="0"/>
                                  <w:divBdr>
                                    <w:top w:val="none" w:sz="0" w:space="0" w:color="auto"/>
                                    <w:left w:val="none" w:sz="0" w:space="0" w:color="auto"/>
                                    <w:bottom w:val="none" w:sz="0" w:space="0" w:color="auto"/>
                                    <w:right w:val="none" w:sz="0" w:space="0" w:color="auto"/>
                                  </w:divBdr>
                                  <w:divsChild>
                                    <w:div w:id="1020861477">
                                      <w:marLeft w:val="0"/>
                                      <w:marRight w:val="0"/>
                                      <w:marTop w:val="0"/>
                                      <w:marBottom w:val="0"/>
                                      <w:divBdr>
                                        <w:top w:val="none" w:sz="0" w:space="0" w:color="auto"/>
                                        <w:left w:val="none" w:sz="0" w:space="0" w:color="auto"/>
                                        <w:bottom w:val="none" w:sz="0" w:space="0" w:color="auto"/>
                                        <w:right w:val="none" w:sz="0" w:space="0" w:color="auto"/>
                                      </w:divBdr>
                                      <w:divsChild>
                                        <w:div w:id="415593935">
                                          <w:marLeft w:val="0"/>
                                          <w:marRight w:val="0"/>
                                          <w:marTop w:val="0"/>
                                          <w:marBottom w:val="0"/>
                                          <w:divBdr>
                                            <w:top w:val="none" w:sz="0" w:space="0" w:color="auto"/>
                                            <w:left w:val="none" w:sz="0" w:space="0" w:color="auto"/>
                                            <w:bottom w:val="none" w:sz="0" w:space="0" w:color="auto"/>
                                            <w:right w:val="none" w:sz="0" w:space="0" w:color="auto"/>
                                          </w:divBdr>
                                          <w:divsChild>
                                            <w:div w:id="119998458">
                                              <w:marLeft w:val="0"/>
                                              <w:marRight w:val="0"/>
                                              <w:marTop w:val="0"/>
                                              <w:marBottom w:val="0"/>
                                              <w:divBdr>
                                                <w:top w:val="none" w:sz="0" w:space="0" w:color="auto"/>
                                                <w:left w:val="none" w:sz="0" w:space="0" w:color="auto"/>
                                                <w:bottom w:val="none" w:sz="0" w:space="0" w:color="auto"/>
                                                <w:right w:val="none" w:sz="0" w:space="0" w:color="auto"/>
                                              </w:divBdr>
                                              <w:divsChild>
                                                <w:div w:id="1767992321">
                                                  <w:marLeft w:val="0"/>
                                                  <w:marRight w:val="0"/>
                                                  <w:marTop w:val="0"/>
                                                  <w:marBottom w:val="0"/>
                                                  <w:divBdr>
                                                    <w:top w:val="none" w:sz="0" w:space="0" w:color="auto"/>
                                                    <w:left w:val="none" w:sz="0" w:space="0" w:color="auto"/>
                                                    <w:bottom w:val="none" w:sz="0" w:space="0" w:color="auto"/>
                                                    <w:right w:val="none" w:sz="0" w:space="0" w:color="auto"/>
                                                  </w:divBdr>
                                                  <w:divsChild>
                                                    <w:div w:id="482234850">
                                                      <w:marLeft w:val="0"/>
                                                      <w:marRight w:val="0"/>
                                                      <w:marTop w:val="0"/>
                                                      <w:marBottom w:val="0"/>
                                                      <w:divBdr>
                                                        <w:top w:val="none" w:sz="0" w:space="0" w:color="auto"/>
                                                        <w:left w:val="none" w:sz="0" w:space="0" w:color="auto"/>
                                                        <w:bottom w:val="none" w:sz="0" w:space="0" w:color="auto"/>
                                                        <w:right w:val="none" w:sz="0" w:space="0" w:color="auto"/>
                                                      </w:divBdr>
                                                      <w:divsChild>
                                                        <w:div w:id="64183710">
                                                          <w:marLeft w:val="0"/>
                                                          <w:marRight w:val="0"/>
                                                          <w:marTop w:val="0"/>
                                                          <w:marBottom w:val="0"/>
                                                          <w:divBdr>
                                                            <w:top w:val="none" w:sz="0" w:space="0" w:color="auto"/>
                                                            <w:left w:val="none" w:sz="0" w:space="0" w:color="auto"/>
                                                            <w:bottom w:val="none" w:sz="0" w:space="0" w:color="auto"/>
                                                            <w:right w:val="none" w:sz="0" w:space="0" w:color="auto"/>
                                                          </w:divBdr>
                                                          <w:divsChild>
                                                            <w:div w:id="1539317162">
                                                              <w:marLeft w:val="0"/>
                                                              <w:marRight w:val="0"/>
                                                              <w:marTop w:val="0"/>
                                                              <w:marBottom w:val="0"/>
                                                              <w:divBdr>
                                                                <w:top w:val="none" w:sz="0" w:space="0" w:color="auto"/>
                                                                <w:left w:val="none" w:sz="0" w:space="0" w:color="auto"/>
                                                                <w:bottom w:val="none" w:sz="0" w:space="0" w:color="auto"/>
                                                                <w:right w:val="none" w:sz="0" w:space="0" w:color="auto"/>
                                                              </w:divBdr>
                                                            </w:div>
                                                            <w:div w:id="163789936">
                                                              <w:marLeft w:val="0"/>
                                                              <w:marRight w:val="0"/>
                                                              <w:marTop w:val="0"/>
                                                              <w:marBottom w:val="0"/>
                                                              <w:divBdr>
                                                                <w:top w:val="none" w:sz="0" w:space="0" w:color="auto"/>
                                                                <w:left w:val="none" w:sz="0" w:space="0" w:color="auto"/>
                                                                <w:bottom w:val="none" w:sz="0" w:space="0" w:color="auto"/>
                                                                <w:right w:val="none" w:sz="0" w:space="0" w:color="auto"/>
                                                              </w:divBdr>
                                                            </w:div>
                                                            <w:div w:id="738407491">
                                                              <w:marLeft w:val="0"/>
                                                              <w:marRight w:val="0"/>
                                                              <w:marTop w:val="0"/>
                                                              <w:marBottom w:val="0"/>
                                                              <w:divBdr>
                                                                <w:top w:val="none" w:sz="0" w:space="0" w:color="auto"/>
                                                                <w:left w:val="none" w:sz="0" w:space="0" w:color="auto"/>
                                                                <w:bottom w:val="none" w:sz="0" w:space="0" w:color="auto"/>
                                                                <w:right w:val="none" w:sz="0" w:space="0" w:color="auto"/>
                                                              </w:divBdr>
                                                            </w:div>
                                                            <w:div w:id="361782069">
                                                              <w:marLeft w:val="0"/>
                                                              <w:marRight w:val="0"/>
                                                              <w:marTop w:val="0"/>
                                                              <w:marBottom w:val="0"/>
                                                              <w:divBdr>
                                                                <w:top w:val="none" w:sz="0" w:space="0" w:color="auto"/>
                                                                <w:left w:val="none" w:sz="0" w:space="0" w:color="auto"/>
                                                                <w:bottom w:val="none" w:sz="0" w:space="0" w:color="auto"/>
                                                                <w:right w:val="none" w:sz="0" w:space="0" w:color="auto"/>
                                                              </w:divBdr>
                                                            </w:div>
                                                            <w:div w:id="891572958">
                                                              <w:marLeft w:val="0"/>
                                                              <w:marRight w:val="0"/>
                                                              <w:marTop w:val="0"/>
                                                              <w:marBottom w:val="0"/>
                                                              <w:divBdr>
                                                                <w:top w:val="none" w:sz="0" w:space="0" w:color="auto"/>
                                                                <w:left w:val="none" w:sz="0" w:space="0" w:color="auto"/>
                                                                <w:bottom w:val="none" w:sz="0" w:space="0" w:color="auto"/>
                                                                <w:right w:val="none" w:sz="0" w:space="0" w:color="auto"/>
                                                              </w:divBdr>
                                                            </w:div>
                                                            <w:div w:id="1073968150">
                                                              <w:marLeft w:val="0"/>
                                                              <w:marRight w:val="0"/>
                                                              <w:marTop w:val="0"/>
                                                              <w:marBottom w:val="0"/>
                                                              <w:divBdr>
                                                                <w:top w:val="none" w:sz="0" w:space="0" w:color="auto"/>
                                                                <w:left w:val="none" w:sz="0" w:space="0" w:color="auto"/>
                                                                <w:bottom w:val="none" w:sz="0" w:space="0" w:color="auto"/>
                                                                <w:right w:val="none" w:sz="0" w:space="0" w:color="auto"/>
                                                              </w:divBdr>
                                                            </w:div>
                                                            <w:div w:id="359283076">
                                                              <w:marLeft w:val="0"/>
                                                              <w:marRight w:val="0"/>
                                                              <w:marTop w:val="0"/>
                                                              <w:marBottom w:val="0"/>
                                                              <w:divBdr>
                                                                <w:top w:val="none" w:sz="0" w:space="0" w:color="auto"/>
                                                                <w:left w:val="none" w:sz="0" w:space="0" w:color="auto"/>
                                                                <w:bottom w:val="none" w:sz="0" w:space="0" w:color="auto"/>
                                                                <w:right w:val="none" w:sz="0" w:space="0" w:color="auto"/>
                                                              </w:divBdr>
                                                            </w:div>
                                                            <w:div w:id="327288262">
                                                              <w:marLeft w:val="0"/>
                                                              <w:marRight w:val="0"/>
                                                              <w:marTop w:val="0"/>
                                                              <w:marBottom w:val="0"/>
                                                              <w:divBdr>
                                                                <w:top w:val="none" w:sz="0" w:space="0" w:color="auto"/>
                                                                <w:left w:val="none" w:sz="0" w:space="0" w:color="auto"/>
                                                                <w:bottom w:val="none" w:sz="0" w:space="0" w:color="auto"/>
                                                                <w:right w:val="none" w:sz="0" w:space="0" w:color="auto"/>
                                                              </w:divBdr>
                                                            </w:div>
                                                            <w:div w:id="386999136">
                                                              <w:marLeft w:val="0"/>
                                                              <w:marRight w:val="0"/>
                                                              <w:marTop w:val="0"/>
                                                              <w:marBottom w:val="0"/>
                                                              <w:divBdr>
                                                                <w:top w:val="none" w:sz="0" w:space="0" w:color="auto"/>
                                                                <w:left w:val="none" w:sz="0" w:space="0" w:color="auto"/>
                                                                <w:bottom w:val="none" w:sz="0" w:space="0" w:color="auto"/>
                                                                <w:right w:val="none" w:sz="0" w:space="0" w:color="auto"/>
                                                              </w:divBdr>
                                                            </w:div>
                                                            <w:div w:id="8102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12213">
      <w:bodyDiv w:val="1"/>
      <w:marLeft w:val="0"/>
      <w:marRight w:val="0"/>
      <w:marTop w:val="0"/>
      <w:marBottom w:val="0"/>
      <w:divBdr>
        <w:top w:val="none" w:sz="0" w:space="0" w:color="auto"/>
        <w:left w:val="none" w:sz="0" w:space="0" w:color="auto"/>
        <w:bottom w:val="none" w:sz="0" w:space="0" w:color="auto"/>
        <w:right w:val="none" w:sz="0" w:space="0" w:color="auto"/>
      </w:divBdr>
    </w:div>
    <w:div w:id="571351449">
      <w:bodyDiv w:val="1"/>
      <w:marLeft w:val="0"/>
      <w:marRight w:val="0"/>
      <w:marTop w:val="0"/>
      <w:marBottom w:val="0"/>
      <w:divBdr>
        <w:top w:val="none" w:sz="0" w:space="0" w:color="auto"/>
        <w:left w:val="none" w:sz="0" w:space="0" w:color="auto"/>
        <w:bottom w:val="none" w:sz="0" w:space="0" w:color="auto"/>
        <w:right w:val="none" w:sz="0" w:space="0" w:color="auto"/>
      </w:divBdr>
    </w:div>
    <w:div w:id="591470015">
      <w:bodyDiv w:val="1"/>
      <w:marLeft w:val="0"/>
      <w:marRight w:val="0"/>
      <w:marTop w:val="0"/>
      <w:marBottom w:val="0"/>
      <w:divBdr>
        <w:top w:val="none" w:sz="0" w:space="0" w:color="auto"/>
        <w:left w:val="none" w:sz="0" w:space="0" w:color="auto"/>
        <w:bottom w:val="none" w:sz="0" w:space="0" w:color="auto"/>
        <w:right w:val="none" w:sz="0" w:space="0" w:color="auto"/>
      </w:divBdr>
    </w:div>
    <w:div w:id="683019292">
      <w:bodyDiv w:val="1"/>
      <w:marLeft w:val="0"/>
      <w:marRight w:val="0"/>
      <w:marTop w:val="0"/>
      <w:marBottom w:val="0"/>
      <w:divBdr>
        <w:top w:val="none" w:sz="0" w:space="0" w:color="auto"/>
        <w:left w:val="none" w:sz="0" w:space="0" w:color="auto"/>
        <w:bottom w:val="none" w:sz="0" w:space="0" w:color="auto"/>
        <w:right w:val="none" w:sz="0" w:space="0" w:color="auto"/>
      </w:divBdr>
    </w:div>
    <w:div w:id="755899829">
      <w:bodyDiv w:val="1"/>
      <w:marLeft w:val="0"/>
      <w:marRight w:val="0"/>
      <w:marTop w:val="0"/>
      <w:marBottom w:val="0"/>
      <w:divBdr>
        <w:top w:val="none" w:sz="0" w:space="0" w:color="auto"/>
        <w:left w:val="none" w:sz="0" w:space="0" w:color="auto"/>
        <w:bottom w:val="none" w:sz="0" w:space="0" w:color="auto"/>
        <w:right w:val="none" w:sz="0" w:space="0" w:color="auto"/>
      </w:divBdr>
    </w:div>
    <w:div w:id="836655341">
      <w:bodyDiv w:val="1"/>
      <w:marLeft w:val="0"/>
      <w:marRight w:val="0"/>
      <w:marTop w:val="0"/>
      <w:marBottom w:val="0"/>
      <w:divBdr>
        <w:top w:val="none" w:sz="0" w:space="0" w:color="auto"/>
        <w:left w:val="none" w:sz="0" w:space="0" w:color="auto"/>
        <w:bottom w:val="none" w:sz="0" w:space="0" w:color="auto"/>
        <w:right w:val="none" w:sz="0" w:space="0" w:color="auto"/>
      </w:divBdr>
    </w:div>
    <w:div w:id="1001541457">
      <w:bodyDiv w:val="1"/>
      <w:marLeft w:val="0"/>
      <w:marRight w:val="0"/>
      <w:marTop w:val="0"/>
      <w:marBottom w:val="0"/>
      <w:divBdr>
        <w:top w:val="none" w:sz="0" w:space="0" w:color="auto"/>
        <w:left w:val="none" w:sz="0" w:space="0" w:color="auto"/>
        <w:bottom w:val="none" w:sz="0" w:space="0" w:color="auto"/>
        <w:right w:val="none" w:sz="0" w:space="0" w:color="auto"/>
      </w:divBdr>
    </w:div>
    <w:div w:id="1029834507">
      <w:bodyDiv w:val="1"/>
      <w:marLeft w:val="0"/>
      <w:marRight w:val="0"/>
      <w:marTop w:val="0"/>
      <w:marBottom w:val="0"/>
      <w:divBdr>
        <w:top w:val="none" w:sz="0" w:space="0" w:color="auto"/>
        <w:left w:val="none" w:sz="0" w:space="0" w:color="auto"/>
        <w:bottom w:val="none" w:sz="0" w:space="0" w:color="auto"/>
        <w:right w:val="none" w:sz="0" w:space="0" w:color="auto"/>
      </w:divBdr>
    </w:div>
    <w:div w:id="1044790753">
      <w:bodyDiv w:val="1"/>
      <w:marLeft w:val="0"/>
      <w:marRight w:val="0"/>
      <w:marTop w:val="0"/>
      <w:marBottom w:val="0"/>
      <w:divBdr>
        <w:top w:val="none" w:sz="0" w:space="0" w:color="auto"/>
        <w:left w:val="none" w:sz="0" w:space="0" w:color="auto"/>
        <w:bottom w:val="none" w:sz="0" w:space="0" w:color="auto"/>
        <w:right w:val="none" w:sz="0" w:space="0" w:color="auto"/>
      </w:divBdr>
    </w:div>
    <w:div w:id="1174613016">
      <w:bodyDiv w:val="1"/>
      <w:marLeft w:val="0"/>
      <w:marRight w:val="0"/>
      <w:marTop w:val="0"/>
      <w:marBottom w:val="0"/>
      <w:divBdr>
        <w:top w:val="none" w:sz="0" w:space="0" w:color="auto"/>
        <w:left w:val="none" w:sz="0" w:space="0" w:color="auto"/>
        <w:bottom w:val="none" w:sz="0" w:space="0" w:color="auto"/>
        <w:right w:val="none" w:sz="0" w:space="0" w:color="auto"/>
      </w:divBdr>
    </w:div>
    <w:div w:id="1232540939">
      <w:bodyDiv w:val="1"/>
      <w:marLeft w:val="0"/>
      <w:marRight w:val="0"/>
      <w:marTop w:val="0"/>
      <w:marBottom w:val="0"/>
      <w:divBdr>
        <w:top w:val="none" w:sz="0" w:space="0" w:color="auto"/>
        <w:left w:val="none" w:sz="0" w:space="0" w:color="auto"/>
        <w:bottom w:val="none" w:sz="0" w:space="0" w:color="auto"/>
        <w:right w:val="none" w:sz="0" w:space="0" w:color="auto"/>
      </w:divBdr>
    </w:div>
    <w:div w:id="1383359707">
      <w:bodyDiv w:val="1"/>
      <w:marLeft w:val="0"/>
      <w:marRight w:val="0"/>
      <w:marTop w:val="0"/>
      <w:marBottom w:val="0"/>
      <w:divBdr>
        <w:top w:val="none" w:sz="0" w:space="0" w:color="auto"/>
        <w:left w:val="none" w:sz="0" w:space="0" w:color="auto"/>
        <w:bottom w:val="none" w:sz="0" w:space="0" w:color="auto"/>
        <w:right w:val="none" w:sz="0" w:space="0" w:color="auto"/>
      </w:divBdr>
      <w:divsChild>
        <w:div w:id="1790783035">
          <w:marLeft w:val="0"/>
          <w:marRight w:val="0"/>
          <w:marTop w:val="0"/>
          <w:marBottom w:val="0"/>
          <w:divBdr>
            <w:top w:val="none" w:sz="0" w:space="0" w:color="auto"/>
            <w:left w:val="none" w:sz="0" w:space="0" w:color="auto"/>
            <w:bottom w:val="none" w:sz="0" w:space="0" w:color="auto"/>
            <w:right w:val="none" w:sz="0" w:space="0" w:color="auto"/>
          </w:divBdr>
        </w:div>
        <w:div w:id="87043771">
          <w:marLeft w:val="0"/>
          <w:marRight w:val="300"/>
          <w:marTop w:val="0"/>
          <w:marBottom w:val="0"/>
          <w:divBdr>
            <w:top w:val="single" w:sz="24" w:space="0" w:color="000000"/>
            <w:left w:val="none" w:sz="0" w:space="0" w:color="auto"/>
            <w:bottom w:val="none" w:sz="0" w:space="0" w:color="auto"/>
            <w:right w:val="none" w:sz="0" w:space="0" w:color="auto"/>
          </w:divBdr>
          <w:divsChild>
            <w:div w:id="813062577">
              <w:marLeft w:val="0"/>
              <w:marRight w:val="0"/>
              <w:marTop w:val="0"/>
              <w:marBottom w:val="0"/>
              <w:divBdr>
                <w:top w:val="none" w:sz="0" w:space="0" w:color="auto"/>
                <w:left w:val="none" w:sz="0" w:space="0" w:color="auto"/>
                <w:bottom w:val="none" w:sz="0" w:space="0" w:color="auto"/>
                <w:right w:val="none" w:sz="0" w:space="0" w:color="auto"/>
              </w:divBdr>
              <w:divsChild>
                <w:div w:id="802388938">
                  <w:marLeft w:val="75"/>
                  <w:marRight w:val="0"/>
                  <w:marTop w:val="0"/>
                  <w:marBottom w:val="75"/>
                  <w:divBdr>
                    <w:top w:val="none" w:sz="0" w:space="0" w:color="auto"/>
                    <w:left w:val="none" w:sz="0" w:space="0" w:color="auto"/>
                    <w:bottom w:val="none" w:sz="0" w:space="0" w:color="auto"/>
                    <w:right w:val="none" w:sz="0" w:space="0" w:color="auto"/>
                  </w:divBdr>
                </w:div>
                <w:div w:id="5640719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837744">
      <w:bodyDiv w:val="1"/>
      <w:marLeft w:val="0"/>
      <w:marRight w:val="0"/>
      <w:marTop w:val="0"/>
      <w:marBottom w:val="0"/>
      <w:divBdr>
        <w:top w:val="none" w:sz="0" w:space="0" w:color="auto"/>
        <w:left w:val="none" w:sz="0" w:space="0" w:color="auto"/>
        <w:bottom w:val="none" w:sz="0" w:space="0" w:color="auto"/>
        <w:right w:val="none" w:sz="0" w:space="0" w:color="auto"/>
      </w:divBdr>
    </w:div>
    <w:div w:id="1499076117">
      <w:bodyDiv w:val="1"/>
      <w:marLeft w:val="0"/>
      <w:marRight w:val="0"/>
      <w:marTop w:val="0"/>
      <w:marBottom w:val="0"/>
      <w:divBdr>
        <w:top w:val="none" w:sz="0" w:space="0" w:color="auto"/>
        <w:left w:val="none" w:sz="0" w:space="0" w:color="auto"/>
        <w:bottom w:val="none" w:sz="0" w:space="0" w:color="auto"/>
        <w:right w:val="none" w:sz="0" w:space="0" w:color="auto"/>
      </w:divBdr>
    </w:div>
    <w:div w:id="1614941116">
      <w:bodyDiv w:val="1"/>
      <w:marLeft w:val="0"/>
      <w:marRight w:val="0"/>
      <w:marTop w:val="0"/>
      <w:marBottom w:val="0"/>
      <w:divBdr>
        <w:top w:val="none" w:sz="0" w:space="0" w:color="auto"/>
        <w:left w:val="none" w:sz="0" w:space="0" w:color="auto"/>
        <w:bottom w:val="none" w:sz="0" w:space="0" w:color="auto"/>
        <w:right w:val="none" w:sz="0" w:space="0" w:color="auto"/>
      </w:divBdr>
    </w:div>
    <w:div w:id="1630355383">
      <w:bodyDiv w:val="1"/>
      <w:marLeft w:val="0"/>
      <w:marRight w:val="0"/>
      <w:marTop w:val="0"/>
      <w:marBottom w:val="0"/>
      <w:divBdr>
        <w:top w:val="none" w:sz="0" w:space="0" w:color="auto"/>
        <w:left w:val="none" w:sz="0" w:space="0" w:color="auto"/>
        <w:bottom w:val="none" w:sz="0" w:space="0" w:color="auto"/>
        <w:right w:val="none" w:sz="0" w:space="0" w:color="auto"/>
      </w:divBdr>
    </w:div>
    <w:div w:id="1743327540">
      <w:bodyDiv w:val="1"/>
      <w:marLeft w:val="0"/>
      <w:marRight w:val="0"/>
      <w:marTop w:val="0"/>
      <w:marBottom w:val="0"/>
      <w:divBdr>
        <w:top w:val="none" w:sz="0" w:space="0" w:color="auto"/>
        <w:left w:val="none" w:sz="0" w:space="0" w:color="auto"/>
        <w:bottom w:val="none" w:sz="0" w:space="0" w:color="auto"/>
        <w:right w:val="none" w:sz="0" w:space="0" w:color="auto"/>
      </w:divBdr>
    </w:div>
    <w:div w:id="1800605675">
      <w:bodyDiv w:val="1"/>
      <w:marLeft w:val="0"/>
      <w:marRight w:val="0"/>
      <w:marTop w:val="0"/>
      <w:marBottom w:val="0"/>
      <w:divBdr>
        <w:top w:val="none" w:sz="0" w:space="0" w:color="auto"/>
        <w:left w:val="none" w:sz="0" w:space="0" w:color="auto"/>
        <w:bottom w:val="none" w:sz="0" w:space="0" w:color="auto"/>
        <w:right w:val="none" w:sz="0" w:space="0" w:color="auto"/>
      </w:divBdr>
    </w:div>
    <w:div w:id="2066906127">
      <w:bodyDiv w:val="1"/>
      <w:marLeft w:val="0"/>
      <w:marRight w:val="0"/>
      <w:marTop w:val="0"/>
      <w:marBottom w:val="0"/>
      <w:divBdr>
        <w:top w:val="none" w:sz="0" w:space="0" w:color="auto"/>
        <w:left w:val="none" w:sz="0" w:space="0" w:color="auto"/>
        <w:bottom w:val="none" w:sz="0" w:space="0" w:color="auto"/>
        <w:right w:val="none" w:sz="0" w:space="0" w:color="auto"/>
      </w:divBdr>
      <w:divsChild>
        <w:div w:id="1013874642">
          <w:marLeft w:val="0"/>
          <w:marRight w:val="0"/>
          <w:marTop w:val="0"/>
          <w:marBottom w:val="300"/>
          <w:divBdr>
            <w:top w:val="none" w:sz="0" w:space="0" w:color="auto"/>
            <w:left w:val="none" w:sz="0" w:space="0" w:color="auto"/>
            <w:bottom w:val="single" w:sz="6" w:space="0" w:color="BFBFBF"/>
            <w:right w:val="none" w:sz="0" w:space="0" w:color="auto"/>
          </w:divBdr>
        </w:div>
        <w:div w:id="785462479">
          <w:marLeft w:val="0"/>
          <w:marRight w:val="0"/>
          <w:marTop w:val="0"/>
          <w:marBottom w:val="0"/>
          <w:divBdr>
            <w:top w:val="none" w:sz="0" w:space="0" w:color="auto"/>
            <w:left w:val="none" w:sz="0" w:space="0" w:color="auto"/>
            <w:bottom w:val="none" w:sz="0" w:space="0" w:color="auto"/>
            <w:right w:val="none" w:sz="0" w:space="0" w:color="auto"/>
          </w:divBdr>
          <w:divsChild>
            <w:div w:id="1566254627">
              <w:marLeft w:val="0"/>
              <w:marRight w:val="0"/>
              <w:marTop w:val="0"/>
              <w:marBottom w:val="0"/>
              <w:divBdr>
                <w:top w:val="none" w:sz="0" w:space="0" w:color="auto"/>
                <w:left w:val="none" w:sz="0" w:space="0" w:color="auto"/>
                <w:bottom w:val="none" w:sz="0" w:space="0" w:color="auto"/>
                <w:right w:val="none" w:sz="0" w:space="0" w:color="auto"/>
              </w:divBdr>
              <w:divsChild>
                <w:div w:id="508834929">
                  <w:marLeft w:val="0"/>
                  <w:marRight w:val="0"/>
                  <w:marTop w:val="0"/>
                  <w:marBottom w:val="0"/>
                  <w:divBdr>
                    <w:top w:val="none" w:sz="0" w:space="0" w:color="auto"/>
                    <w:left w:val="none" w:sz="0" w:space="0" w:color="auto"/>
                    <w:bottom w:val="none" w:sz="0" w:space="0" w:color="auto"/>
                    <w:right w:val="none" w:sz="0" w:space="0" w:color="auto"/>
                  </w:divBdr>
                  <w:divsChild>
                    <w:div w:id="137889793">
                      <w:marLeft w:val="0"/>
                      <w:marRight w:val="0"/>
                      <w:marTop w:val="0"/>
                      <w:marBottom w:val="0"/>
                      <w:divBdr>
                        <w:top w:val="none" w:sz="0" w:space="0" w:color="auto"/>
                        <w:left w:val="none" w:sz="0" w:space="0" w:color="auto"/>
                        <w:bottom w:val="none" w:sz="0" w:space="0" w:color="auto"/>
                        <w:right w:val="none" w:sz="0" w:space="0" w:color="auto"/>
                      </w:divBdr>
                      <w:divsChild>
                        <w:div w:id="993073484">
                          <w:marLeft w:val="0"/>
                          <w:marRight w:val="0"/>
                          <w:marTop w:val="0"/>
                          <w:marBottom w:val="0"/>
                          <w:divBdr>
                            <w:top w:val="none" w:sz="0" w:space="0" w:color="auto"/>
                            <w:left w:val="none" w:sz="0" w:space="0" w:color="auto"/>
                            <w:bottom w:val="none" w:sz="0" w:space="0" w:color="auto"/>
                            <w:right w:val="none" w:sz="0" w:space="0" w:color="auto"/>
                          </w:divBdr>
                          <w:divsChild>
                            <w:div w:id="367948035">
                              <w:marLeft w:val="0"/>
                              <w:marRight w:val="0"/>
                              <w:marTop w:val="0"/>
                              <w:marBottom w:val="0"/>
                              <w:divBdr>
                                <w:top w:val="none" w:sz="0" w:space="0" w:color="auto"/>
                                <w:left w:val="none" w:sz="0" w:space="0" w:color="auto"/>
                                <w:bottom w:val="none" w:sz="0" w:space="0" w:color="auto"/>
                                <w:right w:val="none" w:sz="0" w:space="0" w:color="auto"/>
                              </w:divBdr>
                              <w:divsChild>
                                <w:div w:id="396780521">
                                  <w:marLeft w:val="0"/>
                                  <w:marRight w:val="0"/>
                                  <w:marTop w:val="0"/>
                                  <w:marBottom w:val="0"/>
                                  <w:divBdr>
                                    <w:top w:val="none" w:sz="0" w:space="0" w:color="auto"/>
                                    <w:left w:val="none" w:sz="0" w:space="0" w:color="auto"/>
                                    <w:bottom w:val="none" w:sz="0" w:space="0" w:color="auto"/>
                                    <w:right w:val="none" w:sz="0" w:space="0" w:color="auto"/>
                                  </w:divBdr>
                                  <w:divsChild>
                                    <w:div w:id="1048800357">
                                      <w:marLeft w:val="0"/>
                                      <w:marRight w:val="0"/>
                                      <w:marTop w:val="0"/>
                                      <w:marBottom w:val="0"/>
                                      <w:divBdr>
                                        <w:top w:val="none" w:sz="0" w:space="0" w:color="auto"/>
                                        <w:left w:val="none" w:sz="0" w:space="0" w:color="auto"/>
                                        <w:bottom w:val="none" w:sz="0" w:space="0" w:color="auto"/>
                                        <w:right w:val="none" w:sz="0" w:space="0" w:color="auto"/>
                                      </w:divBdr>
                                      <w:divsChild>
                                        <w:div w:id="444085286">
                                          <w:marLeft w:val="0"/>
                                          <w:marRight w:val="0"/>
                                          <w:marTop w:val="0"/>
                                          <w:marBottom w:val="0"/>
                                          <w:divBdr>
                                            <w:top w:val="none" w:sz="0" w:space="0" w:color="auto"/>
                                            <w:left w:val="none" w:sz="0" w:space="0" w:color="auto"/>
                                            <w:bottom w:val="none" w:sz="0" w:space="0" w:color="auto"/>
                                            <w:right w:val="none" w:sz="0" w:space="0" w:color="auto"/>
                                          </w:divBdr>
                                          <w:divsChild>
                                            <w:div w:id="1753697229">
                                              <w:marLeft w:val="0"/>
                                              <w:marRight w:val="0"/>
                                              <w:marTop w:val="0"/>
                                              <w:marBottom w:val="0"/>
                                              <w:divBdr>
                                                <w:top w:val="none" w:sz="0" w:space="0" w:color="auto"/>
                                                <w:left w:val="none" w:sz="0" w:space="0" w:color="auto"/>
                                                <w:bottom w:val="none" w:sz="0" w:space="0" w:color="auto"/>
                                                <w:right w:val="none" w:sz="0" w:space="0" w:color="auto"/>
                                              </w:divBdr>
                                              <w:divsChild>
                                                <w:div w:id="332608802">
                                                  <w:marLeft w:val="0"/>
                                                  <w:marRight w:val="0"/>
                                                  <w:marTop w:val="0"/>
                                                  <w:marBottom w:val="0"/>
                                                  <w:divBdr>
                                                    <w:top w:val="none" w:sz="0" w:space="0" w:color="auto"/>
                                                    <w:left w:val="none" w:sz="0" w:space="0" w:color="auto"/>
                                                    <w:bottom w:val="none" w:sz="0" w:space="0" w:color="auto"/>
                                                    <w:right w:val="none" w:sz="0" w:space="0" w:color="auto"/>
                                                  </w:divBdr>
                                                  <w:divsChild>
                                                    <w:div w:id="168718334">
                                                      <w:marLeft w:val="0"/>
                                                      <w:marRight w:val="0"/>
                                                      <w:marTop w:val="0"/>
                                                      <w:marBottom w:val="0"/>
                                                      <w:divBdr>
                                                        <w:top w:val="none" w:sz="0" w:space="0" w:color="auto"/>
                                                        <w:left w:val="none" w:sz="0" w:space="0" w:color="auto"/>
                                                        <w:bottom w:val="none" w:sz="0" w:space="0" w:color="auto"/>
                                                        <w:right w:val="none" w:sz="0" w:space="0" w:color="auto"/>
                                                      </w:divBdr>
                                                      <w:divsChild>
                                                        <w:div w:id="12463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35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structureddata/osdstaffobsandguide" TargetMode="External"/><Relationship Id="rId13" Type="http://schemas.openxmlformats.org/officeDocument/2006/relationships/hyperlink" Target="https://www.sec.gov/structureddata/gaap_trends_2018" TargetMode="External"/><Relationship Id="rId18" Type="http://schemas.openxmlformats.org/officeDocument/2006/relationships/hyperlink" Target="https://www.sec.gov/structureddata/ifrs_trends_2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ec.gov/dera/reportspubs/assessment-custom-tag-rates-xbrl.html" TargetMode="External"/><Relationship Id="rId12" Type="http://schemas.openxmlformats.org/officeDocument/2006/relationships/hyperlink" Target="https://www.sec.gov/structureddata/ifrs_trends_2017" TargetMode="External"/><Relationship Id="rId17" Type="http://schemas.openxmlformats.org/officeDocument/2006/relationships/hyperlink" Target="https://www.sec.gov/structureddata/gaap_trends_2020" TargetMode="External"/><Relationship Id="rId2" Type="http://schemas.openxmlformats.org/officeDocument/2006/relationships/styles" Target="styles.xml"/><Relationship Id="rId16" Type="http://schemas.openxmlformats.org/officeDocument/2006/relationships/hyperlink" Target="https://www.sec.gov/structureddata/ifrs_trends_2019" TargetMode="External"/><Relationship Id="rId20" Type="http://schemas.openxmlformats.org/officeDocument/2006/relationships/hyperlink" Target="https://www.sec.gov/page/osd_xbrlglossar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ec.gov/structureddata/gaap_trends_2017" TargetMode="External"/><Relationship Id="rId5" Type="http://schemas.openxmlformats.org/officeDocument/2006/relationships/image" Target="media/image1.jpeg"/><Relationship Id="rId15" Type="http://schemas.openxmlformats.org/officeDocument/2006/relationships/hyperlink" Target="https://www.sec.gov/structureddata/gaap_trends_2019" TargetMode="External"/><Relationship Id="rId10" Type="http://schemas.openxmlformats.org/officeDocument/2006/relationships/hyperlink" Target="https://www.sec.gov/structureddata/gaap_trends_2016" TargetMode="External"/><Relationship Id="rId19" Type="http://schemas.openxmlformats.org/officeDocument/2006/relationships/hyperlink" Target="https://www.sec.gov/structureddata/gaap_trends_2019" TargetMode="External"/><Relationship Id="rId4" Type="http://schemas.openxmlformats.org/officeDocument/2006/relationships/webSettings" Target="webSettings.xml"/><Relationship Id="rId9" Type="http://schemas.openxmlformats.org/officeDocument/2006/relationships/hyperlink" Target="mailto:StructuredData@sec.gov" TargetMode="External"/><Relationship Id="rId14" Type="http://schemas.openxmlformats.org/officeDocument/2006/relationships/hyperlink" Target="https://www.sec.gov/structureddata/ifrs_trends_2018"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2021-12-15T18:43:00Z</dcterms:created>
  <dcterms:modified xsi:type="dcterms:W3CDTF">2021-12-22T20:24:00Z</dcterms:modified>
</cp:coreProperties>
</file>