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185C" w14:textId="7F1EACB0" w:rsidR="00F93CA4" w:rsidRPr="00932C12" w:rsidRDefault="00F93CA4" w:rsidP="00A7725A">
      <w:pPr>
        <w:spacing w:after="0"/>
        <w:jc w:val="both"/>
        <w:rPr>
          <w:sz w:val="24"/>
          <w:szCs w:val="24"/>
        </w:rPr>
      </w:pPr>
      <w:bookmarkStart w:id="0" w:name="_Hlk95468906"/>
      <w:r w:rsidRPr="00932C12">
        <w:rPr>
          <w:sz w:val="24"/>
          <w:szCs w:val="24"/>
        </w:rPr>
        <w:t>Aprovechar la tecnología para apoyar la agenda de finanzas verdes de los bancos centrales</w:t>
      </w:r>
    </w:p>
    <w:bookmarkEnd w:id="0"/>
    <w:p w14:paraId="071B3BBF" w14:textId="3ACFC263" w:rsidR="00F93CA4" w:rsidRDefault="00F93CA4" w:rsidP="00A7725A">
      <w:pPr>
        <w:spacing w:after="0"/>
      </w:pPr>
    </w:p>
    <w:p w14:paraId="0BA994D2" w14:textId="77777777" w:rsidR="00083ACE" w:rsidRPr="00A7725A" w:rsidRDefault="00083ACE" w:rsidP="00D33E82">
      <w:pPr>
        <w:jc w:val="both"/>
        <w:rPr>
          <w:b/>
          <w:bCs/>
          <w:color w:val="767171" w:themeColor="background2" w:themeShade="80"/>
        </w:rPr>
      </w:pPr>
      <w:r w:rsidRPr="00A7725A">
        <w:rPr>
          <w:b/>
          <w:bCs/>
          <w:color w:val="767171" w:themeColor="background2" w:themeShade="80"/>
        </w:rPr>
        <w:t>Aprovechar la tecnología para apoyar la agenda de finanzas verdes de los bancos centrales</w:t>
      </w:r>
    </w:p>
    <w:p w14:paraId="03BEF71D" w14:textId="05522704" w:rsidR="00083ACE" w:rsidRPr="00083ACE" w:rsidRDefault="00083ACE" w:rsidP="00D33E82">
      <w:pPr>
        <w:jc w:val="both"/>
      </w:pPr>
      <w:r w:rsidRPr="00083ACE">
        <w:t>Charla fogonera con</w:t>
      </w:r>
      <w:r w:rsidR="00A7725A">
        <w:t xml:space="preserve"> el</w:t>
      </w:r>
      <w:r w:rsidRPr="00083ACE">
        <w:t xml:space="preserve"> </w:t>
      </w:r>
      <w:r w:rsidR="00932C12" w:rsidRPr="00083ACE">
        <w:t>jefe</w:t>
      </w:r>
      <w:r w:rsidRPr="00083ACE">
        <w:t xml:space="preserve"> del Centro de Innovación del Banco de Pagos Internacionales, en el Foro Económico Delphi VI, 12 de mayo de 2021.</w:t>
      </w:r>
    </w:p>
    <w:p w14:paraId="2BF30B0D" w14:textId="4F374FEA" w:rsidR="00083ACE" w:rsidRPr="00A7725A" w:rsidRDefault="00083ACE" w:rsidP="00D33E82">
      <w:pPr>
        <w:jc w:val="both"/>
        <w:rPr>
          <w:b/>
          <w:bCs/>
          <w:color w:val="767171" w:themeColor="background2" w:themeShade="80"/>
        </w:rPr>
      </w:pPr>
      <w:r w:rsidRPr="00A7725A">
        <w:rPr>
          <w:b/>
          <w:bCs/>
          <w:color w:val="767171" w:themeColor="background2" w:themeShade="80"/>
        </w:rPr>
        <w:t>BIS, centro de | de discursos de Innovation Hub</w:t>
      </w:r>
      <w:r w:rsidRPr="00A7725A">
        <w:rPr>
          <w:color w:val="767171" w:themeColor="background2" w:themeShade="80"/>
        </w:rPr>
        <w:t> </w:t>
      </w:r>
      <w:r w:rsidR="00054F98" w:rsidRPr="00A7725A">
        <w:rPr>
          <w:color w:val="767171" w:themeColor="background2" w:themeShade="80"/>
        </w:rPr>
        <w:t>|</w:t>
      </w:r>
      <w:r w:rsidRPr="00A7725A">
        <w:rPr>
          <w:color w:val="767171" w:themeColor="background2" w:themeShade="80"/>
        </w:rPr>
        <w:t> </w:t>
      </w:r>
      <w:r w:rsidRPr="00A7725A">
        <w:rPr>
          <w:b/>
          <w:bCs/>
          <w:color w:val="767171" w:themeColor="background2" w:themeShade="80"/>
        </w:rPr>
        <w:t>12 mayo 2021</w:t>
      </w:r>
    </w:p>
    <w:p w14:paraId="25FBBE4D" w14:textId="2FF1C170" w:rsidR="00083ACE" w:rsidRPr="00083ACE" w:rsidRDefault="00A7725A" w:rsidP="00D33E82">
      <w:pPr>
        <w:jc w:val="both"/>
      </w:pPr>
      <w:r w:rsidRPr="00083ACE">
        <w:t>P</w:t>
      </w:r>
      <w:r w:rsidR="00083ACE" w:rsidRPr="00083ACE">
        <w:t>or</w:t>
      </w:r>
      <w:r>
        <w:t xml:space="preserve"> Benoit Coeuré</w:t>
      </w:r>
      <w:r w:rsidRPr="00083ACE">
        <w:t xml:space="preserve"> </w:t>
      </w:r>
    </w:p>
    <w:p w14:paraId="45C05BE0" w14:textId="77777777" w:rsidR="00083ACE" w:rsidRPr="00083ACE" w:rsidRDefault="00083ACE" w:rsidP="00D33E82">
      <w:pPr>
        <w:jc w:val="both"/>
      </w:pPr>
      <w:r w:rsidRPr="00083ACE">
        <w:t>Distinguidos invitados, señoras y señores, querido profesor Sakellaris,</w:t>
      </w:r>
      <w:bookmarkStart w:id="1" w:name="_ftnref1"/>
      <w:r w:rsidRPr="00A14C06">
        <w:rPr>
          <w:b/>
          <w:bCs/>
          <w:color w:val="7030A0"/>
          <w:sz w:val="24"/>
          <w:szCs w:val="24"/>
          <w:vertAlign w:val="superscript"/>
        </w:rPr>
        <w:fldChar w:fldCharType="begin"/>
      </w:r>
      <w:r w:rsidRPr="00A14C06">
        <w:rPr>
          <w:b/>
          <w:bCs/>
          <w:color w:val="7030A0"/>
          <w:sz w:val="24"/>
          <w:szCs w:val="24"/>
          <w:vertAlign w:val="superscript"/>
        </w:rPr>
        <w:instrText xml:space="preserve"> HYPERLINK "https://www.bis.org/speeches/sp210512.htm" \l "_ftn1" \o "" </w:instrText>
      </w:r>
      <w:r w:rsidRPr="00A14C06">
        <w:rPr>
          <w:b/>
          <w:bCs/>
          <w:color w:val="7030A0"/>
          <w:sz w:val="24"/>
          <w:szCs w:val="24"/>
          <w:vertAlign w:val="superscript"/>
        </w:rPr>
        <w:fldChar w:fldCharType="separate"/>
      </w:r>
      <w:r w:rsidRPr="00A14C06">
        <w:rPr>
          <w:rStyle w:val="Hipervnculo"/>
          <w:b/>
          <w:bCs/>
          <w:color w:val="7030A0"/>
          <w:sz w:val="24"/>
          <w:szCs w:val="24"/>
          <w:vertAlign w:val="superscript"/>
        </w:rPr>
        <w:t>1</w:t>
      </w:r>
      <w:r w:rsidRPr="00A14C06">
        <w:rPr>
          <w:b/>
          <w:bCs/>
          <w:color w:val="7030A0"/>
          <w:sz w:val="24"/>
          <w:szCs w:val="24"/>
          <w:vertAlign w:val="superscript"/>
        </w:rPr>
        <w:fldChar w:fldCharType="end"/>
      </w:r>
      <w:bookmarkEnd w:id="1"/>
    </w:p>
    <w:p w14:paraId="7F917A49" w14:textId="121133FF" w:rsidR="00083ACE" w:rsidRPr="00083ACE" w:rsidRDefault="00083ACE" w:rsidP="00D33E82">
      <w:pPr>
        <w:jc w:val="both"/>
      </w:pPr>
      <w:r w:rsidRPr="00083ACE">
        <w:t xml:space="preserve">Gracias por invitarme. Es un placer </w:t>
      </w:r>
      <w:r w:rsidR="00054F98" w:rsidRPr="00083ACE">
        <w:t>acompañarlos</w:t>
      </w:r>
      <w:r w:rsidRPr="00083ACE">
        <w:t xml:space="preserve"> virtualmente hoy en la sexta edición del Foro Económico de Delfos. En la charla fogonera de hoy sobre la innovación en el sector financiero, me gustaría centrarme en cómo la innovación puede apoyar la agenda de finanzas verdes de los bancos centrales.</w:t>
      </w:r>
    </w:p>
    <w:p w14:paraId="0B0D4187" w14:textId="77777777" w:rsidR="00083ACE" w:rsidRPr="00083ACE" w:rsidRDefault="00083ACE" w:rsidP="00D33E82">
      <w:pPr>
        <w:jc w:val="both"/>
      </w:pPr>
      <w:r w:rsidRPr="00083ACE">
        <w:t>Si bien los gobiernos nacionales están tomando la iniciativa en la respuesta mundial a la crisis climática, existe una conciencia creciente y compartida de la necesidad urgente de que todos los actores económicos actúen.</w:t>
      </w:r>
    </w:p>
    <w:p w14:paraId="16978707" w14:textId="77777777" w:rsidR="00083ACE" w:rsidRPr="00083ACE" w:rsidRDefault="00083ACE" w:rsidP="00D33E82">
      <w:pPr>
        <w:jc w:val="both"/>
      </w:pPr>
      <w:r w:rsidRPr="00083ACE">
        <w:t>No resolveremos el cambio climático en el futuro sin el sector privado. La cantidad de dinero requerida es simplemente demasiado grande, y necesitamos la visión y la innovación del sector privado.</w:t>
      </w:r>
      <w:bookmarkStart w:id="2" w:name="_ftnref2"/>
      <w:r w:rsidRPr="00A14C06">
        <w:rPr>
          <w:b/>
          <w:bCs/>
          <w:color w:val="7030A0"/>
          <w:sz w:val="24"/>
          <w:szCs w:val="24"/>
          <w:vertAlign w:val="superscript"/>
        </w:rPr>
        <w:fldChar w:fldCharType="begin"/>
      </w:r>
      <w:r w:rsidRPr="00A14C06">
        <w:rPr>
          <w:b/>
          <w:bCs/>
          <w:color w:val="7030A0"/>
          <w:sz w:val="24"/>
          <w:szCs w:val="24"/>
          <w:vertAlign w:val="superscript"/>
        </w:rPr>
        <w:instrText xml:space="preserve"> HYPERLINK "https://www.bis.org/speeches/sp210512.htm" \l "_ftn2" \o "" </w:instrText>
      </w:r>
      <w:r w:rsidRPr="00A14C06">
        <w:rPr>
          <w:b/>
          <w:bCs/>
          <w:color w:val="7030A0"/>
          <w:sz w:val="24"/>
          <w:szCs w:val="24"/>
          <w:vertAlign w:val="superscript"/>
        </w:rPr>
        <w:fldChar w:fldCharType="separate"/>
      </w:r>
      <w:r w:rsidRPr="00A14C06">
        <w:rPr>
          <w:rStyle w:val="Hipervnculo"/>
          <w:b/>
          <w:bCs/>
          <w:color w:val="7030A0"/>
          <w:sz w:val="24"/>
          <w:szCs w:val="24"/>
          <w:vertAlign w:val="superscript"/>
        </w:rPr>
        <w:t>2</w:t>
      </w:r>
      <w:r w:rsidRPr="00A14C06">
        <w:rPr>
          <w:b/>
          <w:bCs/>
          <w:color w:val="7030A0"/>
          <w:sz w:val="24"/>
          <w:szCs w:val="24"/>
          <w:vertAlign w:val="superscript"/>
        </w:rPr>
        <w:fldChar w:fldCharType="end"/>
      </w:r>
      <w:bookmarkEnd w:id="2"/>
      <w:r w:rsidRPr="00083ACE">
        <w:t> Pero el sector público debe intervenir para coordinar esfuerzos y garantizar la coherencia. Por lo tanto, también necesitamos que los bancos centrales aborden el problema. De hecho, ven cada vez más margen en sus respectivos mandatos para ajustar sus marcos operativos para reflejar los riesgos relacionados con el clima.</w:t>
      </w:r>
      <w:bookmarkStart w:id="3" w:name="_ftnref3"/>
      <w:r w:rsidRPr="00A14C06">
        <w:rPr>
          <w:b/>
          <w:bCs/>
          <w:color w:val="7030A0"/>
          <w:sz w:val="24"/>
          <w:szCs w:val="24"/>
          <w:vertAlign w:val="superscript"/>
        </w:rPr>
        <w:fldChar w:fldCharType="begin"/>
      </w:r>
      <w:r w:rsidRPr="00A14C06">
        <w:rPr>
          <w:b/>
          <w:bCs/>
          <w:color w:val="7030A0"/>
          <w:sz w:val="24"/>
          <w:szCs w:val="24"/>
          <w:vertAlign w:val="superscript"/>
        </w:rPr>
        <w:instrText xml:space="preserve"> HYPERLINK "https://www.bis.org/speeches/sp210512.htm" \l "_ftn3" \o "" </w:instrText>
      </w:r>
      <w:r w:rsidRPr="00A14C06">
        <w:rPr>
          <w:b/>
          <w:bCs/>
          <w:color w:val="7030A0"/>
          <w:sz w:val="24"/>
          <w:szCs w:val="24"/>
          <w:vertAlign w:val="superscript"/>
        </w:rPr>
        <w:fldChar w:fldCharType="separate"/>
      </w:r>
      <w:r w:rsidRPr="00A14C06">
        <w:rPr>
          <w:rStyle w:val="Hipervnculo"/>
          <w:b/>
          <w:bCs/>
          <w:color w:val="7030A0"/>
          <w:sz w:val="24"/>
          <w:szCs w:val="24"/>
          <w:vertAlign w:val="superscript"/>
        </w:rPr>
        <w:t>3</w:t>
      </w:r>
      <w:r w:rsidRPr="00A14C06">
        <w:rPr>
          <w:b/>
          <w:bCs/>
          <w:color w:val="7030A0"/>
          <w:sz w:val="24"/>
          <w:szCs w:val="24"/>
          <w:vertAlign w:val="superscript"/>
        </w:rPr>
        <w:fldChar w:fldCharType="end"/>
      </w:r>
      <w:bookmarkEnd w:id="3"/>
      <w:r w:rsidRPr="00083ACE">
        <w:t> También se acepta cada vez más que los riesgos financieros derivados del cambio climático a través de riesgos físicos y de transición deben considerarse junto o como parte de las categorías de riesgo más tradicionales.</w:t>
      </w:r>
      <w:bookmarkStart w:id="4" w:name="_ftnref4"/>
      <w:r w:rsidRPr="00A14C06">
        <w:rPr>
          <w:b/>
          <w:bCs/>
          <w:color w:val="7030A0"/>
          <w:sz w:val="24"/>
          <w:szCs w:val="24"/>
          <w:vertAlign w:val="superscript"/>
        </w:rPr>
        <w:fldChar w:fldCharType="begin"/>
      </w:r>
      <w:r w:rsidRPr="00A14C06">
        <w:rPr>
          <w:b/>
          <w:bCs/>
          <w:color w:val="7030A0"/>
          <w:sz w:val="24"/>
          <w:szCs w:val="24"/>
          <w:vertAlign w:val="superscript"/>
        </w:rPr>
        <w:instrText xml:space="preserve"> HYPERLINK "https://www.bis.org/speeches/sp210512.htm" \l "_ftn4" \o "" </w:instrText>
      </w:r>
      <w:r w:rsidRPr="00A14C06">
        <w:rPr>
          <w:b/>
          <w:bCs/>
          <w:color w:val="7030A0"/>
          <w:sz w:val="24"/>
          <w:szCs w:val="24"/>
          <w:vertAlign w:val="superscript"/>
        </w:rPr>
        <w:fldChar w:fldCharType="separate"/>
      </w:r>
      <w:r w:rsidRPr="00A14C06">
        <w:rPr>
          <w:rStyle w:val="Hipervnculo"/>
          <w:b/>
          <w:bCs/>
          <w:color w:val="7030A0"/>
          <w:sz w:val="24"/>
          <w:szCs w:val="24"/>
          <w:vertAlign w:val="superscript"/>
        </w:rPr>
        <w:t>4</w:t>
      </w:r>
      <w:r w:rsidRPr="00A14C06">
        <w:rPr>
          <w:b/>
          <w:bCs/>
          <w:color w:val="7030A0"/>
          <w:sz w:val="24"/>
          <w:szCs w:val="24"/>
          <w:vertAlign w:val="superscript"/>
        </w:rPr>
        <w:fldChar w:fldCharType="end"/>
      </w:r>
      <w:bookmarkEnd w:id="4"/>
    </w:p>
    <w:p w14:paraId="4E23C6BF" w14:textId="7739264D" w:rsidR="00083ACE" w:rsidRPr="00083ACE" w:rsidRDefault="00083ACE" w:rsidP="00D33E82">
      <w:pPr>
        <w:jc w:val="both"/>
      </w:pPr>
      <w:r w:rsidRPr="00083ACE">
        <w:t xml:space="preserve">En este contexto, los bancos centrales de todo el mundo están buscando una ecologización de sus propios activos y están discutiendo el alcance potencial y el papel de las herramientas </w:t>
      </w:r>
      <w:r w:rsidR="00C5666D" w:rsidRPr="00083ACE">
        <w:t>macro prudenciales</w:t>
      </w:r>
      <w:r w:rsidRPr="00083ACE">
        <w:t xml:space="preserve"> y las políticas monetarias en la respuesta a la crisis climática.</w:t>
      </w:r>
      <w:bookmarkStart w:id="5" w:name="_ftnref5"/>
      <w:r w:rsidRPr="00A14C06">
        <w:rPr>
          <w:b/>
          <w:bCs/>
          <w:color w:val="7030A0"/>
          <w:sz w:val="24"/>
          <w:szCs w:val="24"/>
          <w:vertAlign w:val="superscript"/>
        </w:rPr>
        <w:fldChar w:fldCharType="begin"/>
      </w:r>
      <w:r w:rsidRPr="00A14C06">
        <w:rPr>
          <w:b/>
          <w:bCs/>
          <w:color w:val="7030A0"/>
          <w:sz w:val="24"/>
          <w:szCs w:val="24"/>
          <w:vertAlign w:val="superscript"/>
        </w:rPr>
        <w:instrText xml:space="preserve"> HYPERLINK "https://www.bis.org/speeches/sp210512.htm" \l "_ftn5" \o "" </w:instrText>
      </w:r>
      <w:r w:rsidRPr="00A14C06">
        <w:rPr>
          <w:b/>
          <w:bCs/>
          <w:color w:val="7030A0"/>
          <w:sz w:val="24"/>
          <w:szCs w:val="24"/>
          <w:vertAlign w:val="superscript"/>
        </w:rPr>
        <w:fldChar w:fldCharType="separate"/>
      </w:r>
      <w:r w:rsidRPr="00A14C06">
        <w:rPr>
          <w:rStyle w:val="Hipervnculo"/>
          <w:b/>
          <w:bCs/>
          <w:color w:val="7030A0"/>
          <w:sz w:val="24"/>
          <w:szCs w:val="24"/>
          <w:vertAlign w:val="superscript"/>
        </w:rPr>
        <w:t>5</w:t>
      </w:r>
      <w:r w:rsidRPr="00A14C06">
        <w:rPr>
          <w:b/>
          <w:bCs/>
          <w:color w:val="7030A0"/>
          <w:sz w:val="24"/>
          <w:szCs w:val="24"/>
          <w:vertAlign w:val="superscript"/>
        </w:rPr>
        <w:fldChar w:fldCharType="end"/>
      </w:r>
      <w:bookmarkEnd w:id="5"/>
      <w:r w:rsidRPr="00083ACE">
        <w:t> En términos más generales, a través de la Red de Bancos Centrales y Supervisores sobre la Ecologización del Sistema Financiero (NGFS) y otras iniciativas, los bancos centrales están contribuyendo a trabajar a nivel nacional e internacional sobre políticas de divulgación y normas contables, así como al desarrollo de una taxonomía más coherente para los productos de inversión verde.</w:t>
      </w:r>
    </w:p>
    <w:p w14:paraId="4D8C77DC" w14:textId="77777777" w:rsidR="00083ACE" w:rsidRPr="00083ACE" w:rsidRDefault="00083ACE" w:rsidP="00D33E82">
      <w:pPr>
        <w:jc w:val="both"/>
      </w:pPr>
      <w:r w:rsidRPr="00083ACE">
        <w:t>A medida que los riesgos relacionados con el clima se manifiestan de manera no lineal, masiva e irreversible después de algunos puntos de inflexión, se requiere innovación urgente para financiar creativamente la transición, la adaptación y la mitigación de riesgos.</w:t>
      </w:r>
    </w:p>
    <w:p w14:paraId="20DF1109" w14:textId="77777777" w:rsidR="00083ACE" w:rsidRPr="00083ACE" w:rsidRDefault="00083ACE" w:rsidP="00932C12">
      <w:pPr>
        <w:jc w:val="both"/>
      </w:pPr>
      <w:r w:rsidRPr="00083ACE">
        <w:t>Aquí es donde entra en juego el BIS Innovation Hub. Establecido en 2019, la misión del Hub es encabezar las respuestas de los bancos centrales a la innovación digital y fomentar la colaboración internacional. Las asociaciones con otras partes interesadas son fundamentales para esta tarea.</w:t>
      </w:r>
    </w:p>
    <w:p w14:paraId="289D3F24" w14:textId="210567A8" w:rsidR="00083ACE" w:rsidRPr="00083ACE" w:rsidRDefault="00083ACE" w:rsidP="00932C12">
      <w:pPr>
        <w:jc w:val="both"/>
      </w:pPr>
      <w:r w:rsidRPr="00083ACE">
        <w:t xml:space="preserve">Reflejando la naturaleza global de la innovación y la tecnología, el Hub tiene su sede en Basilea y ya tiene tres centros: en Hong Kong (con la Autoridad Monetaria de Hong Kong), Singapur (con la </w:t>
      </w:r>
      <w:r w:rsidRPr="00083ACE">
        <w:lastRenderedPageBreak/>
        <w:t xml:space="preserve">Autoridad Monetaria de Singapur) y Suiza (con el Banco Nacional Suizo), aprovechando la fortaleza de nuestros bancos centrales anfitriones y de los ecosistemas </w:t>
      </w:r>
      <w:r w:rsidR="00C5666D" w:rsidRPr="00083ACE">
        <w:t>Fintech</w:t>
      </w:r>
      <w:r w:rsidRPr="00083ACE">
        <w:t xml:space="preserve"> locales. Hemos formado una asociación estratégica con el Sistema de la Reserva Federal en Nueva York, y en los próximos meses abriremos cuatro nuevos centros: en Toronto (con el Banco de Canadá), Londres (con el Banco de Inglaterra), Frankfurt / París (con el Eurosistema) y Estocolmo (con el Riksbank sueco y los bancos centrales de Dinamarca, Islandia y Noruega).</w:t>
      </w:r>
    </w:p>
    <w:p w14:paraId="338C1CC0" w14:textId="05985A82" w:rsidR="00083ACE" w:rsidRPr="00083ACE" w:rsidRDefault="00083ACE" w:rsidP="00932C12">
      <w:pPr>
        <w:jc w:val="both"/>
      </w:pPr>
      <w:r w:rsidRPr="00083ACE">
        <w:t xml:space="preserve">Nuestro programa de trabajo se basa en seis temas clave de importancia crítica para la comunidad de bancos centrales: </w:t>
      </w:r>
      <w:r w:rsidR="00C5666D" w:rsidRPr="00083ACE">
        <w:t>Suptech</w:t>
      </w:r>
      <w:r w:rsidRPr="00083ACE">
        <w:t xml:space="preserve"> y </w:t>
      </w:r>
      <w:r w:rsidR="00C5666D" w:rsidRPr="00083ACE">
        <w:t>Regtech</w:t>
      </w:r>
      <w:r w:rsidRPr="00083ACE">
        <w:t>; infraestructuras de mercados financieros de próxima generación; monedas digitales del banco central; financiación abierta; ciberseguridad y, por último, pero no menos importante, finanzas verdes.</w:t>
      </w:r>
    </w:p>
    <w:p w14:paraId="2137AEF8" w14:textId="77777777" w:rsidR="00083ACE" w:rsidRPr="00083ACE" w:rsidRDefault="00083ACE" w:rsidP="00932C12">
      <w:pPr>
        <w:jc w:val="both"/>
      </w:pPr>
      <w:r w:rsidRPr="00083ACE">
        <w:t>Nuestro trabajo está dirigido hacia soluciones prácticas en lugar de investigación conceptual. Estamos construyendo una cartera de proyectos a través de estos seis temas, generalmente como pruebas de concepto o prototipos para ser entregados a los bancos centrales. Al hacerlo, los estamos ayudando a aprovechar los beneficios de la tecnología mientras comprenden sus límites y están preparados para elegir entre diferentes soluciones.</w:t>
      </w:r>
    </w:p>
    <w:p w14:paraId="704022ED" w14:textId="77777777" w:rsidR="00083ACE" w:rsidRPr="00083ACE" w:rsidRDefault="00083ACE" w:rsidP="00932C12">
      <w:pPr>
        <w:jc w:val="both"/>
      </w:pPr>
      <w:r w:rsidRPr="00083ACE">
        <w:t>La colaboración multilateral y el pensamiento práctico serán esenciales para construir una arquitectura financiera que esté preparada para el futuro contra una amplia gama de shocks.</w:t>
      </w:r>
    </w:p>
    <w:p w14:paraId="6788DF32" w14:textId="6AA3B2BC" w:rsidR="00083ACE" w:rsidRPr="00083ACE" w:rsidRDefault="00083ACE" w:rsidP="00932C12">
      <w:pPr>
        <w:jc w:val="both"/>
      </w:pPr>
      <w:r w:rsidRPr="00083ACE">
        <w:t xml:space="preserve">En este contexto, en 2020, el Hub </w:t>
      </w:r>
      <w:r w:rsidR="00AA74B6" w:rsidRPr="00083ACE">
        <w:t>coorganizó</w:t>
      </w:r>
      <w:r w:rsidRPr="00083ACE">
        <w:t xml:space="preserve"> la primera edición del G20 TechSprint con la Presidencia saudí del G20. La iniciativa del año pasado fue diseñada para mostrar el potencial de las nuevas tecnologías innovadoras para resolver problemas operativos en las áreas de cumplimiento normativo (</w:t>
      </w:r>
      <w:r w:rsidR="00AA74B6" w:rsidRPr="00083ACE">
        <w:t>Regtech</w:t>
      </w:r>
      <w:r w:rsidRPr="00083ACE">
        <w:t>) y supervisión (</w:t>
      </w:r>
      <w:r w:rsidR="00AA74B6" w:rsidRPr="00083ACE">
        <w:t>Suptech</w:t>
      </w:r>
      <w:r w:rsidRPr="00083ACE">
        <w:t>).</w:t>
      </w:r>
    </w:p>
    <w:p w14:paraId="08E7802C" w14:textId="77777777" w:rsidR="00083ACE" w:rsidRPr="00083ACE" w:rsidRDefault="00083ACE" w:rsidP="00932C12">
      <w:pPr>
        <w:jc w:val="both"/>
      </w:pPr>
      <w:r w:rsidRPr="00083ACE">
        <w:t>Este año, nos complace asociarnos con la Presidencia italiana del G20, y en particular con Banca d'Italia, en la segunda edición de la iniciativa TechSprint, abordando cuestiones en el campo de las finanzas verdes y sostenibles.</w:t>
      </w:r>
      <w:bookmarkStart w:id="6" w:name="_ftnref6"/>
      <w:r w:rsidRPr="0030779F">
        <w:rPr>
          <w:b/>
          <w:bCs/>
          <w:color w:val="7030A0"/>
          <w:sz w:val="24"/>
          <w:szCs w:val="24"/>
          <w:vertAlign w:val="superscript"/>
        </w:rPr>
        <w:fldChar w:fldCharType="begin"/>
      </w:r>
      <w:r w:rsidRPr="0030779F">
        <w:rPr>
          <w:b/>
          <w:bCs/>
          <w:color w:val="7030A0"/>
          <w:sz w:val="24"/>
          <w:szCs w:val="24"/>
          <w:vertAlign w:val="superscript"/>
        </w:rPr>
        <w:instrText xml:space="preserve"> HYPERLINK "https://www.bis.org/speeches/sp210512.htm" \l "_ftn6" \o "" </w:instrText>
      </w:r>
      <w:r w:rsidRPr="0030779F">
        <w:rPr>
          <w:b/>
          <w:bCs/>
          <w:color w:val="7030A0"/>
          <w:sz w:val="24"/>
          <w:szCs w:val="24"/>
          <w:vertAlign w:val="superscript"/>
        </w:rPr>
        <w:fldChar w:fldCharType="separate"/>
      </w:r>
      <w:r w:rsidRPr="0030779F">
        <w:rPr>
          <w:rStyle w:val="Hipervnculo"/>
          <w:b/>
          <w:bCs/>
          <w:color w:val="7030A0"/>
          <w:sz w:val="24"/>
          <w:szCs w:val="24"/>
          <w:vertAlign w:val="superscript"/>
        </w:rPr>
        <w:t>6</w:t>
      </w:r>
      <w:r w:rsidRPr="0030779F">
        <w:rPr>
          <w:b/>
          <w:bCs/>
          <w:color w:val="7030A0"/>
          <w:sz w:val="24"/>
          <w:szCs w:val="24"/>
          <w:vertAlign w:val="superscript"/>
        </w:rPr>
        <w:fldChar w:fldCharType="end"/>
      </w:r>
      <w:bookmarkEnd w:id="6"/>
    </w:p>
    <w:p w14:paraId="342CC6E4" w14:textId="77777777" w:rsidR="00083ACE" w:rsidRPr="00083ACE" w:rsidRDefault="00083ACE" w:rsidP="00932C12">
      <w:pPr>
        <w:jc w:val="both"/>
      </w:pPr>
      <w:r w:rsidRPr="00083ACE">
        <w:t>La iniciativa 2021, anunciada la semana pasada, se centrará en cómo la innovación tecnológica ayuda a las instituciones financieras y a los inversores a recopilar, verificar y analizar mejor los datos para comprender si sus decisiones de préstamo e inversiones mejoran (o empeoran) los resultados ambientales; así como la mejor manera de conectar proyectos e inversores.</w:t>
      </w:r>
    </w:p>
    <w:p w14:paraId="34D6E76E" w14:textId="77777777" w:rsidR="00083ACE" w:rsidRPr="00083ACE" w:rsidRDefault="00083ACE" w:rsidP="00932C12">
      <w:pPr>
        <w:jc w:val="both"/>
      </w:pPr>
      <w:r w:rsidRPr="00083ACE">
        <w:t>Este es un tema de actualidad. La disponibilidad de datos e información se ha destacado como un impedimento importante para abordar el cambio climático en los últimos años.</w:t>
      </w:r>
      <w:bookmarkStart w:id="7" w:name="_ftnref7"/>
      <w:r w:rsidRPr="0030779F">
        <w:rPr>
          <w:b/>
          <w:bCs/>
          <w:color w:val="7030A0"/>
          <w:sz w:val="24"/>
          <w:szCs w:val="24"/>
          <w:vertAlign w:val="superscript"/>
        </w:rPr>
        <w:fldChar w:fldCharType="begin"/>
      </w:r>
      <w:r w:rsidRPr="0030779F">
        <w:rPr>
          <w:b/>
          <w:bCs/>
          <w:color w:val="7030A0"/>
          <w:sz w:val="24"/>
          <w:szCs w:val="24"/>
          <w:vertAlign w:val="superscript"/>
        </w:rPr>
        <w:instrText xml:space="preserve"> HYPERLINK "https://www.bis.org/speeches/sp210512.htm" \l "_ftn7" \o "" </w:instrText>
      </w:r>
      <w:r w:rsidRPr="0030779F">
        <w:rPr>
          <w:b/>
          <w:bCs/>
          <w:color w:val="7030A0"/>
          <w:sz w:val="24"/>
          <w:szCs w:val="24"/>
          <w:vertAlign w:val="superscript"/>
        </w:rPr>
        <w:fldChar w:fldCharType="separate"/>
      </w:r>
      <w:r w:rsidRPr="0030779F">
        <w:rPr>
          <w:rStyle w:val="Hipervnculo"/>
          <w:b/>
          <w:bCs/>
          <w:color w:val="7030A0"/>
          <w:sz w:val="24"/>
          <w:szCs w:val="24"/>
          <w:vertAlign w:val="superscript"/>
        </w:rPr>
        <w:t>7</w:t>
      </w:r>
      <w:r w:rsidRPr="0030779F">
        <w:rPr>
          <w:b/>
          <w:bCs/>
          <w:color w:val="7030A0"/>
          <w:sz w:val="24"/>
          <w:szCs w:val="24"/>
          <w:vertAlign w:val="superscript"/>
        </w:rPr>
        <w:fldChar w:fldCharType="end"/>
      </w:r>
      <w:bookmarkEnd w:id="7"/>
      <w:r w:rsidRPr="00083ACE">
        <w:t> El gran número de normas y marcos de divulgación para la sostenibilidad corporativa y las cuestiones relacionadas con el clima, así como las diferentes definiciones y taxonomías,</w:t>
      </w:r>
      <w:bookmarkStart w:id="8" w:name="_ftnref8"/>
      <w:r w:rsidRPr="0030779F">
        <w:rPr>
          <w:b/>
          <w:bCs/>
          <w:color w:val="7030A0"/>
          <w:sz w:val="24"/>
          <w:szCs w:val="24"/>
          <w:vertAlign w:val="superscript"/>
        </w:rPr>
        <w:fldChar w:fldCharType="begin"/>
      </w:r>
      <w:r w:rsidRPr="0030779F">
        <w:rPr>
          <w:b/>
          <w:bCs/>
          <w:color w:val="7030A0"/>
          <w:sz w:val="24"/>
          <w:szCs w:val="24"/>
          <w:vertAlign w:val="superscript"/>
        </w:rPr>
        <w:instrText xml:space="preserve"> HYPERLINK "https://www.bis.org/speeches/sp210512.htm" \l "_ftn8" \o "" </w:instrText>
      </w:r>
      <w:r w:rsidRPr="0030779F">
        <w:rPr>
          <w:b/>
          <w:bCs/>
          <w:color w:val="7030A0"/>
          <w:sz w:val="24"/>
          <w:szCs w:val="24"/>
          <w:vertAlign w:val="superscript"/>
        </w:rPr>
        <w:fldChar w:fldCharType="separate"/>
      </w:r>
      <w:r w:rsidRPr="0030779F">
        <w:rPr>
          <w:rStyle w:val="Hipervnculo"/>
          <w:b/>
          <w:bCs/>
          <w:color w:val="7030A0"/>
          <w:sz w:val="24"/>
          <w:szCs w:val="24"/>
          <w:vertAlign w:val="superscript"/>
        </w:rPr>
        <w:t>8</w:t>
      </w:r>
      <w:r w:rsidRPr="0030779F">
        <w:rPr>
          <w:b/>
          <w:bCs/>
          <w:color w:val="7030A0"/>
          <w:sz w:val="24"/>
          <w:szCs w:val="24"/>
          <w:vertAlign w:val="superscript"/>
        </w:rPr>
        <w:fldChar w:fldCharType="end"/>
      </w:r>
      <w:bookmarkEnd w:id="8"/>
      <w:r w:rsidRPr="00083ACE">
        <w:t> dificultar la comparación de la información relacionada con el clima, ecológica y de sostenibilidad disponible para los participantes en el mercado. Cuando las empresas hacen pública la información, a menudo lo hacen a través de diferentes informes, lo que dificulta su localización, cotejo y análisis.</w:t>
      </w:r>
      <w:bookmarkStart w:id="9" w:name="_ftnref9"/>
      <w:r w:rsidRPr="0030779F">
        <w:rPr>
          <w:b/>
          <w:bCs/>
          <w:color w:val="7030A0"/>
          <w:sz w:val="24"/>
          <w:szCs w:val="24"/>
          <w:vertAlign w:val="superscript"/>
        </w:rPr>
        <w:fldChar w:fldCharType="begin"/>
      </w:r>
      <w:r w:rsidRPr="0030779F">
        <w:rPr>
          <w:b/>
          <w:bCs/>
          <w:color w:val="7030A0"/>
          <w:sz w:val="24"/>
          <w:szCs w:val="24"/>
          <w:vertAlign w:val="superscript"/>
        </w:rPr>
        <w:instrText xml:space="preserve"> HYPERLINK "https://www.bis.org/speeches/sp210512.htm" \l "_ftn9" \o "" </w:instrText>
      </w:r>
      <w:r w:rsidRPr="0030779F">
        <w:rPr>
          <w:b/>
          <w:bCs/>
          <w:color w:val="7030A0"/>
          <w:sz w:val="24"/>
          <w:szCs w:val="24"/>
          <w:vertAlign w:val="superscript"/>
        </w:rPr>
        <w:fldChar w:fldCharType="separate"/>
      </w:r>
      <w:r w:rsidRPr="0030779F">
        <w:rPr>
          <w:rStyle w:val="Hipervnculo"/>
          <w:b/>
          <w:bCs/>
          <w:color w:val="7030A0"/>
          <w:sz w:val="24"/>
          <w:szCs w:val="24"/>
          <w:vertAlign w:val="superscript"/>
        </w:rPr>
        <w:t>9</w:t>
      </w:r>
      <w:r w:rsidRPr="0030779F">
        <w:rPr>
          <w:b/>
          <w:bCs/>
          <w:color w:val="7030A0"/>
          <w:sz w:val="24"/>
          <w:szCs w:val="24"/>
          <w:vertAlign w:val="superscript"/>
        </w:rPr>
        <w:fldChar w:fldCharType="end"/>
      </w:r>
      <w:bookmarkEnd w:id="9"/>
    </w:p>
    <w:p w14:paraId="33792F31" w14:textId="77777777" w:rsidR="00083ACE" w:rsidRPr="00083ACE" w:rsidRDefault="00083ACE" w:rsidP="00932C12">
      <w:pPr>
        <w:jc w:val="both"/>
      </w:pPr>
      <w:r w:rsidRPr="00083ACE">
        <w:t>La divulgación real del impacto financiero potencial de los riesgos climáticos y de sostenibilidad en las actividades de las empresas sigue siendo baja</w:t>
      </w:r>
      <w:bookmarkStart w:id="10" w:name="_ftnref10"/>
      <w:r w:rsidRPr="0030779F">
        <w:rPr>
          <w:b/>
          <w:bCs/>
          <w:color w:val="7030A0"/>
          <w:sz w:val="24"/>
          <w:szCs w:val="24"/>
          <w:vertAlign w:val="superscript"/>
        </w:rPr>
        <w:fldChar w:fldCharType="begin"/>
      </w:r>
      <w:r w:rsidRPr="0030779F">
        <w:rPr>
          <w:b/>
          <w:bCs/>
          <w:color w:val="7030A0"/>
          <w:sz w:val="24"/>
          <w:szCs w:val="24"/>
          <w:vertAlign w:val="superscript"/>
        </w:rPr>
        <w:instrText xml:space="preserve"> HYPERLINK "https://www.bis.org/speeches/sp210512.htm" \l "_ftn10" \o "" </w:instrText>
      </w:r>
      <w:r w:rsidRPr="0030779F">
        <w:rPr>
          <w:b/>
          <w:bCs/>
          <w:color w:val="7030A0"/>
          <w:sz w:val="24"/>
          <w:szCs w:val="24"/>
          <w:vertAlign w:val="superscript"/>
        </w:rPr>
        <w:fldChar w:fldCharType="separate"/>
      </w:r>
      <w:r w:rsidRPr="0030779F">
        <w:rPr>
          <w:rStyle w:val="Hipervnculo"/>
          <w:b/>
          <w:bCs/>
          <w:color w:val="7030A0"/>
          <w:sz w:val="24"/>
          <w:szCs w:val="24"/>
          <w:vertAlign w:val="superscript"/>
        </w:rPr>
        <w:t>10</w:t>
      </w:r>
      <w:r w:rsidRPr="0030779F">
        <w:rPr>
          <w:b/>
          <w:bCs/>
          <w:color w:val="7030A0"/>
          <w:sz w:val="24"/>
          <w:szCs w:val="24"/>
          <w:vertAlign w:val="superscript"/>
        </w:rPr>
        <w:fldChar w:fldCharType="end"/>
      </w:r>
      <w:bookmarkEnd w:id="10"/>
      <w:r w:rsidRPr="00083ACE">
        <w:t> y de calidad variable.</w:t>
      </w:r>
      <w:bookmarkStart w:id="11" w:name="_ftnref11"/>
      <w:r w:rsidRPr="0030779F">
        <w:rPr>
          <w:b/>
          <w:bCs/>
          <w:color w:val="7030A0"/>
          <w:vertAlign w:val="superscript"/>
        </w:rPr>
        <w:fldChar w:fldCharType="begin"/>
      </w:r>
      <w:r w:rsidRPr="0030779F">
        <w:rPr>
          <w:b/>
          <w:bCs/>
          <w:color w:val="7030A0"/>
          <w:vertAlign w:val="superscript"/>
        </w:rPr>
        <w:instrText xml:space="preserve"> HYPERLINK "https://www.bis.org/speeches/sp210512.htm" \l "_ftn11" \o "" </w:instrText>
      </w:r>
      <w:r w:rsidRPr="0030779F">
        <w:rPr>
          <w:b/>
          <w:bCs/>
          <w:color w:val="7030A0"/>
          <w:vertAlign w:val="superscript"/>
        </w:rPr>
        <w:fldChar w:fldCharType="separate"/>
      </w:r>
      <w:r w:rsidRPr="0030779F">
        <w:rPr>
          <w:rStyle w:val="Hipervnculo"/>
          <w:b/>
          <w:bCs/>
          <w:color w:val="7030A0"/>
          <w:vertAlign w:val="superscript"/>
        </w:rPr>
        <w:t>11</w:t>
      </w:r>
      <w:r w:rsidRPr="0030779F">
        <w:rPr>
          <w:b/>
          <w:bCs/>
          <w:color w:val="7030A0"/>
          <w:vertAlign w:val="superscript"/>
        </w:rPr>
        <w:fldChar w:fldCharType="end"/>
      </w:r>
      <w:bookmarkEnd w:id="11"/>
      <w:r w:rsidRPr="00083ACE">
        <w:t xml:space="preserve"> Además, los participantes en el mercado a menudo carecen de las herramientas que necesitan para informar adecuadamente la toma de decisiones a través de una lente de riesgo de sostenibilidad: las prácticas actuales pueden no apoyar el buen funcionamiento de los mercados y pueden distorsionar los mercados si la </w:t>
      </w:r>
      <w:r w:rsidRPr="00083ACE">
        <w:lastRenderedPageBreak/>
        <w:t>información se utiliza para fijar incorrectamente los precios de los riesgos, asignar capital de manera ineficiente o tergiversar los productos financieros sostenibles a los consumidores financieros.</w:t>
      </w:r>
      <w:bookmarkStart w:id="12" w:name="_ftnref12"/>
      <w:r w:rsidRPr="0030779F">
        <w:rPr>
          <w:b/>
          <w:bCs/>
          <w:color w:val="7030A0"/>
          <w:sz w:val="24"/>
          <w:szCs w:val="24"/>
          <w:vertAlign w:val="superscript"/>
        </w:rPr>
        <w:fldChar w:fldCharType="begin"/>
      </w:r>
      <w:r w:rsidRPr="0030779F">
        <w:rPr>
          <w:b/>
          <w:bCs/>
          <w:color w:val="7030A0"/>
          <w:sz w:val="24"/>
          <w:szCs w:val="24"/>
          <w:vertAlign w:val="superscript"/>
        </w:rPr>
        <w:instrText xml:space="preserve"> HYPERLINK "https://www.bis.org/speeches/sp210512.htm" \l "_ftn12" \o "" </w:instrText>
      </w:r>
      <w:r w:rsidRPr="0030779F">
        <w:rPr>
          <w:b/>
          <w:bCs/>
          <w:color w:val="7030A0"/>
          <w:sz w:val="24"/>
          <w:szCs w:val="24"/>
          <w:vertAlign w:val="superscript"/>
        </w:rPr>
        <w:fldChar w:fldCharType="separate"/>
      </w:r>
      <w:r w:rsidRPr="0030779F">
        <w:rPr>
          <w:rStyle w:val="Hipervnculo"/>
          <w:b/>
          <w:bCs/>
          <w:color w:val="7030A0"/>
          <w:sz w:val="24"/>
          <w:szCs w:val="24"/>
          <w:vertAlign w:val="superscript"/>
        </w:rPr>
        <w:t>12</w:t>
      </w:r>
      <w:r w:rsidRPr="0030779F">
        <w:rPr>
          <w:b/>
          <w:bCs/>
          <w:color w:val="7030A0"/>
          <w:sz w:val="24"/>
          <w:szCs w:val="24"/>
          <w:vertAlign w:val="superscript"/>
        </w:rPr>
        <w:fldChar w:fldCharType="end"/>
      </w:r>
      <w:bookmarkEnd w:id="12"/>
    </w:p>
    <w:p w14:paraId="4B144889" w14:textId="77777777" w:rsidR="00083ACE" w:rsidRPr="00083ACE" w:rsidRDefault="00083ACE" w:rsidP="00932C12">
      <w:pPr>
        <w:jc w:val="both"/>
      </w:pPr>
      <w:r w:rsidRPr="00083ACE">
        <w:t>Las tres declaraciones de problemas identificadas para el TechSprint de este año se desarrollaron en consulta con el G20 y representan brechas comunes de alta prioridad en el espacio de finanzas verdes y sostenibles. Son los siguientes:</w:t>
      </w:r>
    </w:p>
    <w:p w14:paraId="642F9286" w14:textId="30541ACA" w:rsidR="00083ACE" w:rsidRPr="00083ACE" w:rsidRDefault="00083ACE" w:rsidP="00932C12">
      <w:pPr>
        <w:numPr>
          <w:ilvl w:val="0"/>
          <w:numId w:val="1"/>
        </w:numPr>
        <w:jc w:val="both"/>
      </w:pPr>
      <w:r w:rsidRPr="00083ACE">
        <w:rPr>
          <w:i/>
          <w:iCs/>
        </w:rPr>
        <w:t>Recopilación, verificación e intercambio de datos:</w:t>
      </w:r>
      <w:r w:rsidR="00AA74B6">
        <w:t xml:space="preserve"> A</w:t>
      </w:r>
      <w:r w:rsidRPr="00083ACE">
        <w:t xml:space="preserve">ctualmente, existe una percepción de asimetría de información en la recopilación y el intercambio de datos ambientales para apoyar el análisis de riesgos ambientales. Esto se debe tanto a la falta de métodos de datos y regímenes de divulgación coherentes, como a una verificación limitada de los rendimientos </w:t>
      </w:r>
      <w:r w:rsidR="00AA74B6" w:rsidRPr="00083ACE">
        <w:t>auto informados</w:t>
      </w:r>
      <w:r w:rsidRPr="00083ACE">
        <w:t>, lo que afecta negativamente a la confianza en la fiabilidad de los conjuntos de datos agregados.</w:t>
      </w:r>
    </w:p>
    <w:p w14:paraId="101507F5" w14:textId="25947D5E" w:rsidR="00083ACE" w:rsidRPr="00083ACE" w:rsidRDefault="00083ACE" w:rsidP="00932C12">
      <w:pPr>
        <w:numPr>
          <w:ilvl w:val="0"/>
          <w:numId w:val="1"/>
        </w:numPr>
        <w:jc w:val="both"/>
      </w:pPr>
      <w:r w:rsidRPr="00083ACE">
        <w:rPr>
          <w:i/>
          <w:iCs/>
        </w:rPr>
        <w:t>Análisis y evaluación de la transición y los riesgos físicos relacionado</w:t>
      </w:r>
      <w:r w:rsidRPr="00AA74B6">
        <w:rPr>
          <w:i/>
          <w:iCs/>
        </w:rPr>
        <w:t>s con</w:t>
      </w:r>
      <w:r w:rsidR="00AA74B6" w:rsidRPr="00AA74B6">
        <w:rPr>
          <w:i/>
          <w:iCs/>
        </w:rPr>
        <w:t xml:space="preserve"> </w:t>
      </w:r>
      <w:r w:rsidRPr="00AA74B6">
        <w:rPr>
          <w:i/>
          <w:iCs/>
        </w:rPr>
        <w:t>el clima:</w:t>
      </w:r>
      <w:r w:rsidRPr="00083ACE">
        <w:t xml:space="preserve"> Una de las principales dificultades que enfrentan las corporaciones no financieras y las corporaciones financieras por igual es la capacidad de predecir con precisión las vulnerabilidades asociadas con la transición y los riesgos físicos planteados por el cambio climático. A medida que el mundo hace la transición hacia la neutralidad climática, es necesario apoyar a las instituciones y a las partes interesadas pertinentes con herramientas que les permitan visualizar, predecir, evaluar y monitorear la transición y los riesgos físicos.</w:t>
      </w:r>
    </w:p>
    <w:p w14:paraId="11DEFD5A" w14:textId="178493FC" w:rsidR="00083ACE" w:rsidRPr="00083ACE" w:rsidRDefault="00083ACE" w:rsidP="00932C12">
      <w:pPr>
        <w:numPr>
          <w:ilvl w:val="0"/>
          <w:numId w:val="1"/>
        </w:numPr>
        <w:jc w:val="both"/>
      </w:pPr>
      <w:r w:rsidRPr="00083ACE">
        <w:rPr>
          <w:i/>
          <w:iCs/>
        </w:rPr>
        <w:t>Conectar mejor los proyectos y los inversores: Las</w:t>
      </w:r>
      <w:r w:rsidR="00AA74B6">
        <w:t xml:space="preserve"> n</w:t>
      </w:r>
      <w:r w:rsidRPr="00083ACE">
        <w:t>uevas tecnologías pueden ayudar a los promotores de proyectos, como las pequeñas y medianas empresas, las empresas emergentes o incluso las autoridades locales, a recaudar fondos para proyectos sostenibles, al tiempo que mejoran la transparencia y las oportunidades para que los inversores financien un mayor conjunto de proyectos sostenibles. Además, los pequeños agricultores (por ejemplo, agricultores individuales) y las pequeñas empresas comerciales y hogares pueden quedar marginados financieramente y no beneficiarse de las oportunidades de financiamiento verde.</w:t>
      </w:r>
    </w:p>
    <w:p w14:paraId="32AA13C7" w14:textId="77777777" w:rsidR="00083ACE" w:rsidRPr="00083ACE" w:rsidRDefault="00083ACE" w:rsidP="00932C12">
      <w:pPr>
        <w:jc w:val="both"/>
      </w:pPr>
      <w:r w:rsidRPr="00083ACE">
        <w:t>¿Qué soluciones tecnológicas se pueden implementar para ayudar a capturar y estructurar mejor los datos relevantes relacionados con el clima? ¿Se pueden utilizar los dispositivos de teleobservación y los satélites de Internet de las cosas para ampliar y automatizar la recopilación y la presentación de informes de una gama más amplia de datos? ¿Se puede utilizar la inteligencia artificial, las técnicas de aprendizaje automático y el procesamiento del lenguaje natural? ¿Y cuál puede ser el papel de las tecnologías de contabilidad distribuida? Responder a estas preguntas ayudará a dar forma a las soluciones a las tres declaraciones de problemas de TechSprint de este año.</w:t>
      </w:r>
    </w:p>
    <w:p w14:paraId="41C587F8" w14:textId="77777777" w:rsidR="00083ACE" w:rsidRPr="00083ACE" w:rsidRDefault="00083ACE" w:rsidP="00932C12">
      <w:pPr>
        <w:jc w:val="both"/>
      </w:pPr>
      <w:r w:rsidRPr="00083ACE">
        <w:t>También debo destacar que el BPI ha contribuido activamente a la agenda de finanzas verdes.</w:t>
      </w:r>
    </w:p>
    <w:p w14:paraId="51FE044B" w14:textId="77777777" w:rsidR="00083ACE" w:rsidRPr="00083ACE" w:rsidRDefault="00083ACE" w:rsidP="00932C12">
      <w:pPr>
        <w:jc w:val="both"/>
      </w:pPr>
      <w:r w:rsidRPr="00083ACE">
        <w:t>Del 2 al 4 de junio, junto con el Banco de Francia, el Fondo Monetario Internacional y la Red para la Ecologización del Sistema Financiero, el BPI será coanfitrión de la Conferencia del </w:t>
      </w:r>
      <w:hyperlink r:id="rId5" w:history="1">
        <w:r w:rsidRPr="00083ACE">
          <w:rPr>
            <w:rStyle w:val="Hipervnculo"/>
          </w:rPr>
          <w:t>Cisne Verde </w:t>
        </w:r>
      </w:hyperlink>
      <w:r w:rsidRPr="00083ACE">
        <w:t>sobre "¿Cómo puede en la práctica el sector financiero tomar medidas inmediatas contra los riesgos relacionados con el cambio climático?"</w:t>
      </w:r>
    </w:p>
    <w:p w14:paraId="18F78ADD" w14:textId="6BB3D50E" w:rsidR="00083ACE" w:rsidRPr="00083ACE" w:rsidRDefault="00083ACE" w:rsidP="00932C12">
      <w:pPr>
        <w:jc w:val="both"/>
      </w:pPr>
      <w:r w:rsidRPr="00083ACE">
        <w:lastRenderedPageBreak/>
        <w:t>Por el lado del Centro de Innovación, como parte de nuestra Cumbre de Innovación inaugural a fines de marzo, </w:t>
      </w:r>
      <w:r w:rsidR="00AA74B6">
        <w:t>discutí c</w:t>
      </w:r>
      <w:r w:rsidRPr="00083ACE">
        <w:t xml:space="preserve">on la </w:t>
      </w:r>
      <w:r w:rsidR="00AA74B6" w:rsidRPr="00083ACE">
        <w:t>presidenta</w:t>
      </w:r>
      <w:r w:rsidRPr="00083ACE">
        <w:t xml:space="preserve"> del Banco Central Europeo, Christine Lagarde, y el Enviado Especial de las Naciones Unidas para la Acción Climática y las Finanzas, Mark Carney, las formas en que la innovación puede apoyar el crecimiento sostenible, particularmente en lo que respecta a la recopilación y el análisis de datos.</w:t>
      </w:r>
    </w:p>
    <w:p w14:paraId="6B96FD0D" w14:textId="77777777" w:rsidR="00083ACE" w:rsidRPr="00083ACE" w:rsidRDefault="00083ACE" w:rsidP="00932C12">
      <w:pPr>
        <w:jc w:val="both"/>
      </w:pPr>
      <w:r w:rsidRPr="00083ACE">
        <w:t>La Red de Innovación del BIS, que está abierta a todos los bancos centrales miembros del BPI, ha establecido un Grupo de Trabajo de Finanzas Verdes presidido por la Vicegobernadora del Banco Central de Irlanda, Sharon Donnery, para compartir experiencias e identificar soluciones tecnológicas a las declaraciones de problemas comunes. También estamos desarrollando actualmente nuestro primer proyecto de financiación verde. Dirigido por nuestro Centro de Hong Kong, tiene como objetivo desarrollar un prototipo para la introducción de bonos verdes tokenizados en pequeñas denominaciones, dando así a los inversores minoristas un mayor acceso a estos productos. El proyecto también integrará el seguimiento en tiempo real y la divulgación de la producción verde para los inversores a través de aplicaciones móviles, incorporando tecnologías que se pueden utilizar para rastrear los créditos de carbono generados a través de la inversión de los ingresos de los bonos en energías renovables, y para proporcionar una base para el comercio de carbono. El TechSprint del G20 de 2021 será fundamental para escanear el universo tecnológico para ayudar a refinar la contribución del Centro de Innovación a la agenda de finanzas verdes.</w:t>
      </w:r>
    </w:p>
    <w:p w14:paraId="1A76C17A" w14:textId="77777777" w:rsidR="00083ACE" w:rsidRPr="00083ACE" w:rsidRDefault="00083ACE" w:rsidP="00932C12">
      <w:pPr>
        <w:jc w:val="both"/>
      </w:pPr>
      <w:r w:rsidRPr="00083ACE">
        <w:t>La crisis climática es un problema global y, por lo tanto, requiere una acción coordinada de los bancos centrales y otros actores públicos y privados. La tecnología puede ayudarnos a implementar soluciones de manera más rápida y eficiente para financiar la transición. El BIS Innovation Hub lo ha convertido en una de sus prioridades.</w:t>
      </w:r>
    </w:p>
    <w:p w14:paraId="58E93292" w14:textId="77777777" w:rsidR="00083ACE" w:rsidRPr="00083ACE" w:rsidRDefault="00083ACE" w:rsidP="00932C12">
      <w:pPr>
        <w:jc w:val="both"/>
      </w:pPr>
      <w:r w:rsidRPr="00083ACE">
        <w:t>Gracias por su atención.</w:t>
      </w:r>
    </w:p>
    <w:p w14:paraId="0545EF4C" w14:textId="7AD4A0A3" w:rsidR="00083ACE" w:rsidRDefault="00083ACE" w:rsidP="00083ACE">
      <w:r w:rsidRPr="00083ACE">
        <w:t> </w:t>
      </w:r>
    </w:p>
    <w:p w14:paraId="4A2385A0" w14:textId="4FCA37FF" w:rsidR="00932C12" w:rsidRDefault="00932C12" w:rsidP="00083ACE"/>
    <w:p w14:paraId="1BD3088E" w14:textId="6F318D13" w:rsidR="00932C12" w:rsidRDefault="00932C12" w:rsidP="00083ACE"/>
    <w:p w14:paraId="5AFDF3E8" w14:textId="1A676C6A" w:rsidR="00932C12" w:rsidRDefault="00932C12" w:rsidP="00083ACE"/>
    <w:p w14:paraId="0CB6EA0A" w14:textId="6F30C69C" w:rsidR="00932C12" w:rsidRDefault="00932C12" w:rsidP="00083ACE"/>
    <w:p w14:paraId="3D402EE1" w14:textId="4863FF65" w:rsidR="00932C12" w:rsidRDefault="00932C12" w:rsidP="00083ACE"/>
    <w:p w14:paraId="3F499903" w14:textId="5568579D" w:rsidR="00932C12" w:rsidRDefault="00932C12" w:rsidP="00083ACE"/>
    <w:p w14:paraId="1EF613A1" w14:textId="4CE17740" w:rsidR="00932C12" w:rsidRDefault="00932C12" w:rsidP="00083ACE"/>
    <w:p w14:paraId="00A8C08C" w14:textId="0F4122DF" w:rsidR="00932C12" w:rsidRDefault="00932C12" w:rsidP="00083ACE"/>
    <w:p w14:paraId="50E3866C" w14:textId="4FFBA839" w:rsidR="00932C12" w:rsidRDefault="00932C12" w:rsidP="00083ACE"/>
    <w:p w14:paraId="04717F35" w14:textId="45CFBCD3" w:rsidR="00783274" w:rsidRDefault="00783274" w:rsidP="00083ACE"/>
    <w:p w14:paraId="4D8BBBE0" w14:textId="6BFC7ABE" w:rsidR="00783274" w:rsidRDefault="00783274" w:rsidP="00083ACE"/>
    <w:p w14:paraId="4FFDAC34" w14:textId="7E9239AD" w:rsidR="00783274" w:rsidRDefault="00783274" w:rsidP="00083ACE"/>
    <w:p w14:paraId="4ABB9490" w14:textId="77777777" w:rsidR="00783274" w:rsidRPr="00083ACE" w:rsidRDefault="00783274" w:rsidP="00083ACE"/>
    <w:bookmarkStart w:id="13" w:name="_ftn1"/>
    <w:p w14:paraId="03A5B326" w14:textId="77777777" w:rsidR="00A14C06" w:rsidRDefault="00083ACE" w:rsidP="00D33E82">
      <w:pPr>
        <w:jc w:val="both"/>
        <w:rPr>
          <w:sz w:val="20"/>
          <w:szCs w:val="20"/>
        </w:rPr>
      </w:pPr>
      <w:r w:rsidRPr="00A14C06">
        <w:rPr>
          <w:b/>
          <w:bCs/>
          <w:color w:val="7030A0"/>
          <w:sz w:val="24"/>
          <w:szCs w:val="24"/>
          <w:vertAlign w:val="superscript"/>
        </w:rPr>
        <w:fldChar w:fldCharType="begin"/>
      </w:r>
      <w:r w:rsidRPr="00A14C06">
        <w:rPr>
          <w:b/>
          <w:bCs/>
          <w:color w:val="7030A0"/>
          <w:sz w:val="24"/>
          <w:szCs w:val="24"/>
          <w:vertAlign w:val="superscript"/>
        </w:rPr>
        <w:instrText xml:space="preserve"> HYPERLINK "https://www.bis.org/speeches/sp210512.htm" \l "_ftnref1" \o "" </w:instrText>
      </w:r>
      <w:r w:rsidRPr="00A14C06">
        <w:rPr>
          <w:b/>
          <w:bCs/>
          <w:color w:val="7030A0"/>
          <w:sz w:val="24"/>
          <w:szCs w:val="24"/>
          <w:vertAlign w:val="superscript"/>
        </w:rPr>
        <w:fldChar w:fldCharType="separate"/>
      </w:r>
      <w:r w:rsidRPr="00A14C06">
        <w:rPr>
          <w:rStyle w:val="Hipervnculo"/>
          <w:b/>
          <w:bCs/>
          <w:color w:val="7030A0"/>
          <w:sz w:val="24"/>
          <w:szCs w:val="24"/>
          <w:vertAlign w:val="superscript"/>
        </w:rPr>
        <w:t>1</w:t>
      </w:r>
      <w:r w:rsidRPr="00A14C06">
        <w:rPr>
          <w:b/>
          <w:bCs/>
          <w:color w:val="7030A0"/>
          <w:sz w:val="24"/>
          <w:szCs w:val="24"/>
          <w:vertAlign w:val="superscript"/>
        </w:rPr>
        <w:fldChar w:fldCharType="end"/>
      </w:r>
      <w:bookmarkEnd w:id="13"/>
      <w:r w:rsidRPr="00A14C06">
        <w:rPr>
          <w:sz w:val="20"/>
          <w:szCs w:val="20"/>
        </w:rPr>
        <w:t> Como preparado para la entrega. Todas las opiniones expresadas son mías y no necesariamente las del Banco de Pagos Internacionales (BPI).</w:t>
      </w:r>
    </w:p>
    <w:bookmarkStart w:id="14" w:name="_ftn2"/>
    <w:p w14:paraId="1A6475F0" w14:textId="77777777" w:rsidR="00A14C06" w:rsidRPr="00A14C06" w:rsidRDefault="00083ACE" w:rsidP="00A7725A">
      <w:pPr>
        <w:rPr>
          <w:sz w:val="20"/>
          <w:szCs w:val="20"/>
          <w:lang w:val="en-US"/>
        </w:rPr>
      </w:pPr>
      <w:r w:rsidRPr="00A14C06">
        <w:rPr>
          <w:b/>
          <w:bCs/>
          <w:color w:val="7030A0"/>
          <w:sz w:val="24"/>
          <w:szCs w:val="24"/>
          <w:vertAlign w:val="superscript"/>
        </w:rPr>
        <w:fldChar w:fldCharType="begin"/>
      </w:r>
      <w:r w:rsidRPr="00A14C06">
        <w:rPr>
          <w:b/>
          <w:bCs/>
          <w:color w:val="7030A0"/>
          <w:sz w:val="24"/>
          <w:szCs w:val="24"/>
          <w:vertAlign w:val="superscript"/>
          <w:lang w:val="en-US"/>
        </w:rPr>
        <w:instrText xml:space="preserve"> HYPERLINK "https://www.bis.org/speeches/sp210512.htm" \l "_ftnref2" \o "" </w:instrText>
      </w:r>
      <w:r w:rsidRPr="00A14C06">
        <w:rPr>
          <w:b/>
          <w:bCs/>
          <w:color w:val="7030A0"/>
          <w:sz w:val="24"/>
          <w:szCs w:val="24"/>
          <w:vertAlign w:val="superscript"/>
        </w:rPr>
        <w:fldChar w:fldCharType="separate"/>
      </w:r>
      <w:r w:rsidRPr="00A14C06">
        <w:rPr>
          <w:rStyle w:val="Hipervnculo"/>
          <w:b/>
          <w:bCs/>
          <w:color w:val="7030A0"/>
          <w:sz w:val="24"/>
          <w:szCs w:val="24"/>
          <w:vertAlign w:val="superscript"/>
          <w:lang w:val="en-US"/>
        </w:rPr>
        <w:t>2</w:t>
      </w:r>
      <w:r w:rsidRPr="00A14C06">
        <w:rPr>
          <w:b/>
          <w:bCs/>
          <w:color w:val="7030A0"/>
          <w:sz w:val="24"/>
          <w:szCs w:val="24"/>
          <w:vertAlign w:val="superscript"/>
        </w:rPr>
        <w:fldChar w:fldCharType="end"/>
      </w:r>
      <w:bookmarkEnd w:id="14"/>
      <w:r w:rsidRPr="00A14C06">
        <w:rPr>
          <w:sz w:val="20"/>
          <w:szCs w:val="20"/>
          <w:lang w:val="en-US"/>
        </w:rPr>
        <w:t> </w:t>
      </w:r>
      <w:proofErr w:type="spellStart"/>
      <w:r w:rsidRPr="00A14C06">
        <w:rPr>
          <w:sz w:val="20"/>
          <w:szCs w:val="20"/>
          <w:lang w:val="en-US"/>
        </w:rPr>
        <w:t>Véase</w:t>
      </w:r>
      <w:proofErr w:type="spellEnd"/>
      <w:r w:rsidRPr="00A14C06">
        <w:rPr>
          <w:sz w:val="20"/>
          <w:szCs w:val="20"/>
          <w:lang w:val="en-US"/>
        </w:rPr>
        <w:t xml:space="preserve"> Carney M (2021): Valor(s), William Collins.</w:t>
      </w:r>
    </w:p>
    <w:bookmarkStart w:id="15" w:name="_ftn3"/>
    <w:p w14:paraId="7B2AB0F5" w14:textId="77777777" w:rsidR="00A14C06" w:rsidRDefault="00083ACE" w:rsidP="00D33E82">
      <w:pPr>
        <w:jc w:val="both"/>
        <w:rPr>
          <w:sz w:val="20"/>
          <w:szCs w:val="20"/>
        </w:rPr>
      </w:pPr>
      <w:r w:rsidRPr="00A14C06">
        <w:rPr>
          <w:b/>
          <w:bCs/>
          <w:color w:val="7030A0"/>
          <w:sz w:val="24"/>
          <w:szCs w:val="24"/>
          <w:vertAlign w:val="superscript"/>
        </w:rPr>
        <w:fldChar w:fldCharType="begin"/>
      </w:r>
      <w:r w:rsidRPr="00A14C06">
        <w:rPr>
          <w:b/>
          <w:bCs/>
          <w:color w:val="7030A0"/>
          <w:sz w:val="24"/>
          <w:szCs w:val="24"/>
          <w:vertAlign w:val="superscript"/>
        </w:rPr>
        <w:instrText xml:space="preserve"> HYPERLINK "https://www.bis.org/speeches/sp210512.htm" \l "_ftnref3" \o "" </w:instrText>
      </w:r>
      <w:r w:rsidRPr="00A14C06">
        <w:rPr>
          <w:b/>
          <w:bCs/>
          <w:color w:val="7030A0"/>
          <w:sz w:val="24"/>
          <w:szCs w:val="24"/>
          <w:vertAlign w:val="superscript"/>
        </w:rPr>
        <w:fldChar w:fldCharType="separate"/>
      </w:r>
      <w:r w:rsidRPr="00A14C06">
        <w:rPr>
          <w:rStyle w:val="Hipervnculo"/>
          <w:b/>
          <w:bCs/>
          <w:color w:val="7030A0"/>
          <w:sz w:val="24"/>
          <w:szCs w:val="24"/>
          <w:vertAlign w:val="superscript"/>
        </w:rPr>
        <w:t>3</w:t>
      </w:r>
      <w:r w:rsidRPr="00A14C06">
        <w:rPr>
          <w:b/>
          <w:bCs/>
          <w:color w:val="7030A0"/>
          <w:sz w:val="24"/>
          <w:szCs w:val="24"/>
          <w:vertAlign w:val="superscript"/>
        </w:rPr>
        <w:fldChar w:fldCharType="end"/>
      </w:r>
      <w:bookmarkEnd w:id="15"/>
      <w:r w:rsidRPr="00A14C06">
        <w:rPr>
          <w:sz w:val="20"/>
          <w:szCs w:val="20"/>
        </w:rPr>
        <w:t> Véase Red de Bancos Centrales y Supervisores para la Ecologización del Sistema Financiero (NGFS) (2020): </w:t>
      </w:r>
      <w:hyperlink r:id="rId6" w:tgtFrame="_blank" w:history="1">
        <w:r w:rsidRPr="00A14C06">
          <w:rPr>
            <w:rStyle w:val="Hipervnculo"/>
            <w:sz w:val="20"/>
            <w:szCs w:val="20"/>
          </w:rPr>
          <w:t xml:space="preserve">Encuesta sobre operaciones de política monetaria y cambio climático: lecciones clave para análisis más </w:t>
        </w:r>
        <w:proofErr w:type="spellStart"/>
        <w:r w:rsidRPr="00A14C06">
          <w:rPr>
            <w:rStyle w:val="Hipervnculo"/>
            <w:sz w:val="20"/>
            <w:szCs w:val="20"/>
          </w:rPr>
          <w:t>detallados,</w:t>
        </w:r>
      </w:hyperlink>
      <w:r w:rsidRPr="00A14C06">
        <w:rPr>
          <w:sz w:val="20"/>
          <w:szCs w:val="20"/>
        </w:rPr>
        <w:t>diciembre</w:t>
      </w:r>
      <w:proofErr w:type="spellEnd"/>
      <w:r w:rsidRPr="00A14C06">
        <w:rPr>
          <w:sz w:val="20"/>
          <w:szCs w:val="20"/>
        </w:rPr>
        <w:t>.</w:t>
      </w:r>
    </w:p>
    <w:bookmarkStart w:id="16" w:name="_ftn4"/>
    <w:p w14:paraId="16FE7959" w14:textId="77777777" w:rsidR="00A14C06" w:rsidRDefault="00083ACE" w:rsidP="00D33E82">
      <w:pPr>
        <w:jc w:val="both"/>
        <w:rPr>
          <w:sz w:val="20"/>
          <w:szCs w:val="20"/>
        </w:rPr>
      </w:pPr>
      <w:r w:rsidRPr="00D33E82">
        <w:rPr>
          <w:b/>
          <w:bCs/>
          <w:color w:val="7030A0"/>
          <w:sz w:val="24"/>
          <w:szCs w:val="24"/>
          <w:vertAlign w:val="superscript"/>
        </w:rPr>
        <w:fldChar w:fldCharType="begin"/>
      </w:r>
      <w:r w:rsidRPr="00D33E82">
        <w:rPr>
          <w:b/>
          <w:bCs/>
          <w:color w:val="7030A0"/>
          <w:sz w:val="24"/>
          <w:szCs w:val="24"/>
          <w:vertAlign w:val="superscript"/>
        </w:rPr>
        <w:instrText xml:space="preserve"> HYPERLINK "https://www.bis.org/speeches/sp210512.htm" \l "_ftnref4" \o "" </w:instrText>
      </w:r>
      <w:r w:rsidRPr="00D33E82">
        <w:rPr>
          <w:b/>
          <w:bCs/>
          <w:color w:val="7030A0"/>
          <w:sz w:val="24"/>
          <w:szCs w:val="24"/>
          <w:vertAlign w:val="superscript"/>
        </w:rPr>
        <w:fldChar w:fldCharType="separate"/>
      </w:r>
      <w:r w:rsidRPr="00D33E82">
        <w:rPr>
          <w:rStyle w:val="Hipervnculo"/>
          <w:b/>
          <w:bCs/>
          <w:color w:val="7030A0"/>
          <w:sz w:val="24"/>
          <w:szCs w:val="24"/>
          <w:vertAlign w:val="superscript"/>
        </w:rPr>
        <w:t>4</w:t>
      </w:r>
      <w:r w:rsidRPr="00D33E82">
        <w:rPr>
          <w:b/>
          <w:bCs/>
          <w:color w:val="7030A0"/>
          <w:sz w:val="24"/>
          <w:szCs w:val="24"/>
          <w:vertAlign w:val="superscript"/>
        </w:rPr>
        <w:fldChar w:fldCharType="end"/>
      </w:r>
      <w:bookmarkEnd w:id="16"/>
      <w:r w:rsidRPr="00A14C06">
        <w:rPr>
          <w:sz w:val="20"/>
          <w:szCs w:val="20"/>
        </w:rPr>
        <w:t> Véase Comité de Supervisión Bancaria de Basilea (BCBS) (2021b): </w:t>
      </w:r>
      <w:hyperlink r:id="rId7" w:history="1">
        <w:r w:rsidRPr="00A14C06">
          <w:rPr>
            <w:rStyle w:val="Hipervnculo"/>
            <w:sz w:val="20"/>
            <w:szCs w:val="20"/>
          </w:rPr>
          <w:t xml:space="preserve">Impulsores de riesgos relacionados con el clima y sus canales de </w:t>
        </w:r>
        <w:proofErr w:type="spellStart"/>
        <w:r w:rsidRPr="00A14C06">
          <w:rPr>
            <w:rStyle w:val="Hipervnculo"/>
            <w:sz w:val="20"/>
            <w:szCs w:val="20"/>
          </w:rPr>
          <w:t>transmisión,</w:t>
        </w:r>
      </w:hyperlink>
      <w:r w:rsidRPr="00A14C06">
        <w:rPr>
          <w:sz w:val="20"/>
          <w:szCs w:val="20"/>
        </w:rPr>
        <w:t>abril</w:t>
      </w:r>
      <w:proofErr w:type="spellEnd"/>
      <w:r w:rsidRPr="00A14C06">
        <w:rPr>
          <w:sz w:val="20"/>
          <w:szCs w:val="20"/>
        </w:rPr>
        <w:t>.</w:t>
      </w:r>
    </w:p>
    <w:bookmarkStart w:id="17" w:name="_ftn5"/>
    <w:p w14:paraId="34EBE261" w14:textId="77777777" w:rsidR="00A14C06" w:rsidRDefault="00083ACE" w:rsidP="00A7725A">
      <w:pPr>
        <w:rPr>
          <w:sz w:val="20"/>
          <w:szCs w:val="20"/>
        </w:rPr>
      </w:pPr>
      <w:r w:rsidRPr="00D33E82">
        <w:rPr>
          <w:b/>
          <w:bCs/>
          <w:color w:val="7030A0"/>
          <w:sz w:val="24"/>
          <w:szCs w:val="24"/>
          <w:vertAlign w:val="superscript"/>
        </w:rPr>
        <w:fldChar w:fldCharType="begin"/>
      </w:r>
      <w:r w:rsidRPr="00D33E82">
        <w:rPr>
          <w:b/>
          <w:bCs/>
          <w:color w:val="7030A0"/>
          <w:sz w:val="24"/>
          <w:szCs w:val="24"/>
          <w:vertAlign w:val="superscript"/>
        </w:rPr>
        <w:instrText xml:space="preserve"> HYPERLINK "https://www.bis.org/speeches/sp210512.htm" \l "_ftnref5" \o "" </w:instrText>
      </w:r>
      <w:r w:rsidRPr="00D33E82">
        <w:rPr>
          <w:b/>
          <w:bCs/>
          <w:color w:val="7030A0"/>
          <w:sz w:val="24"/>
          <w:szCs w:val="24"/>
          <w:vertAlign w:val="superscript"/>
        </w:rPr>
        <w:fldChar w:fldCharType="separate"/>
      </w:r>
      <w:r w:rsidRPr="00D33E82">
        <w:rPr>
          <w:rStyle w:val="Hipervnculo"/>
          <w:b/>
          <w:bCs/>
          <w:color w:val="7030A0"/>
          <w:sz w:val="24"/>
          <w:szCs w:val="24"/>
          <w:vertAlign w:val="superscript"/>
        </w:rPr>
        <w:t>5</w:t>
      </w:r>
      <w:r w:rsidRPr="00D33E82">
        <w:rPr>
          <w:b/>
          <w:bCs/>
          <w:color w:val="7030A0"/>
          <w:sz w:val="24"/>
          <w:szCs w:val="24"/>
          <w:vertAlign w:val="superscript"/>
        </w:rPr>
        <w:fldChar w:fldCharType="end"/>
      </w:r>
      <w:bookmarkEnd w:id="17"/>
      <w:r w:rsidRPr="00A14C06">
        <w:rPr>
          <w:sz w:val="20"/>
          <w:szCs w:val="20"/>
        </w:rPr>
        <w:t> Véase NGFS (2020): </w:t>
      </w:r>
      <w:hyperlink r:id="rId8" w:tgtFrame="_blank" w:history="1">
        <w:r w:rsidRPr="00A14C06">
          <w:rPr>
            <w:rStyle w:val="Hipervnculo"/>
            <w:sz w:val="20"/>
            <w:szCs w:val="20"/>
          </w:rPr>
          <w:t>Informe de situación sobre la aplicación de prácticas de inversión sostenibles y responsables en la gestión de carteras de los bancos centrales,</w:t>
        </w:r>
      </w:hyperlink>
      <w:r w:rsidRPr="00A14C06">
        <w:rPr>
          <w:sz w:val="20"/>
          <w:szCs w:val="20"/>
        </w:rPr>
        <w:t>diciembre; y NGFS (2021): </w:t>
      </w:r>
      <w:hyperlink r:id="rId9" w:tgtFrame="_blank" w:history="1">
        <w:r w:rsidRPr="00A14C06">
          <w:rPr>
            <w:rStyle w:val="Hipervnculo"/>
            <w:sz w:val="20"/>
            <w:szCs w:val="20"/>
          </w:rPr>
          <w:t xml:space="preserve">Adaptación de las operaciones del banco central a un mundo más caliente – Revisión de algunas </w:t>
        </w:r>
        <w:proofErr w:type="spellStart"/>
        <w:r w:rsidRPr="00A14C06">
          <w:rPr>
            <w:rStyle w:val="Hipervnculo"/>
            <w:sz w:val="20"/>
            <w:szCs w:val="20"/>
          </w:rPr>
          <w:t>opciones,</w:t>
        </w:r>
      </w:hyperlink>
      <w:r w:rsidRPr="00A14C06">
        <w:rPr>
          <w:sz w:val="20"/>
          <w:szCs w:val="20"/>
        </w:rPr>
        <w:t>marzo</w:t>
      </w:r>
      <w:proofErr w:type="spellEnd"/>
      <w:r w:rsidRPr="00A14C06">
        <w:rPr>
          <w:sz w:val="20"/>
          <w:szCs w:val="20"/>
        </w:rPr>
        <w:t>.</w:t>
      </w:r>
    </w:p>
    <w:bookmarkStart w:id="18" w:name="_ftn6"/>
    <w:p w14:paraId="7A99125F" w14:textId="77777777" w:rsidR="00A14C06" w:rsidRDefault="00083ACE" w:rsidP="00A7725A">
      <w:pPr>
        <w:rPr>
          <w:sz w:val="20"/>
          <w:szCs w:val="20"/>
        </w:rPr>
      </w:pPr>
      <w:r w:rsidRPr="00D33E82">
        <w:rPr>
          <w:b/>
          <w:bCs/>
          <w:color w:val="7030A0"/>
          <w:sz w:val="24"/>
          <w:szCs w:val="24"/>
          <w:vertAlign w:val="superscript"/>
        </w:rPr>
        <w:fldChar w:fldCharType="begin"/>
      </w:r>
      <w:r w:rsidRPr="00D33E82">
        <w:rPr>
          <w:b/>
          <w:bCs/>
          <w:color w:val="7030A0"/>
          <w:sz w:val="24"/>
          <w:szCs w:val="24"/>
          <w:vertAlign w:val="superscript"/>
        </w:rPr>
        <w:instrText xml:space="preserve"> HYPERLINK "https://www.bis.org/speeches/sp210512.htm" \l "_ftnref6" \o "" </w:instrText>
      </w:r>
      <w:r w:rsidRPr="00D33E82">
        <w:rPr>
          <w:b/>
          <w:bCs/>
          <w:color w:val="7030A0"/>
          <w:sz w:val="24"/>
          <w:szCs w:val="24"/>
          <w:vertAlign w:val="superscript"/>
        </w:rPr>
        <w:fldChar w:fldCharType="separate"/>
      </w:r>
      <w:r w:rsidRPr="00D33E82">
        <w:rPr>
          <w:rStyle w:val="Hipervnculo"/>
          <w:b/>
          <w:bCs/>
          <w:color w:val="7030A0"/>
          <w:sz w:val="24"/>
          <w:szCs w:val="24"/>
          <w:vertAlign w:val="superscript"/>
        </w:rPr>
        <w:t>6</w:t>
      </w:r>
      <w:r w:rsidRPr="00D33E82">
        <w:rPr>
          <w:b/>
          <w:bCs/>
          <w:color w:val="7030A0"/>
          <w:sz w:val="24"/>
          <w:szCs w:val="24"/>
          <w:vertAlign w:val="superscript"/>
        </w:rPr>
        <w:fldChar w:fldCharType="end"/>
      </w:r>
      <w:bookmarkEnd w:id="18"/>
      <w:r w:rsidRPr="00A14C06">
        <w:rPr>
          <w:sz w:val="20"/>
          <w:szCs w:val="20"/>
        </w:rPr>
        <w:t> Para más detalles, véase </w:t>
      </w:r>
      <w:hyperlink r:id="rId10" w:tgtFrame="_blank" w:history="1">
        <w:r w:rsidRPr="00A14C06">
          <w:rPr>
            <w:rStyle w:val="Hipervnculo"/>
            <w:sz w:val="20"/>
            <w:szCs w:val="20"/>
          </w:rPr>
          <w:t>https://www.techsprint2021.it/</w:t>
        </w:r>
      </w:hyperlink>
      <w:r w:rsidRPr="00A14C06">
        <w:rPr>
          <w:sz w:val="20"/>
          <w:szCs w:val="20"/>
        </w:rPr>
        <w:t>. Véase también Visco I (2021), </w:t>
      </w:r>
      <w:hyperlink r:id="rId11" w:tgtFrame="_blank" w:history="1">
        <w:r w:rsidRPr="00A14C06">
          <w:rPr>
            <w:rStyle w:val="Hipervnculo"/>
            <w:sz w:val="20"/>
            <w:szCs w:val="20"/>
          </w:rPr>
          <w:t xml:space="preserve">The G20 TechSprint 2021 </w:t>
        </w:r>
        <w:proofErr w:type="spellStart"/>
        <w:r w:rsidRPr="00A14C06">
          <w:rPr>
            <w:rStyle w:val="Hipervnculo"/>
            <w:sz w:val="20"/>
            <w:szCs w:val="20"/>
          </w:rPr>
          <w:t>on</w:t>
        </w:r>
        <w:proofErr w:type="spellEnd"/>
        <w:r w:rsidRPr="00A14C06">
          <w:rPr>
            <w:rStyle w:val="Hipervnculo"/>
            <w:sz w:val="20"/>
            <w:szCs w:val="20"/>
          </w:rPr>
          <w:t xml:space="preserve"> </w:t>
        </w:r>
        <w:proofErr w:type="spellStart"/>
        <w:r w:rsidRPr="00A14C06">
          <w:rPr>
            <w:rStyle w:val="Hipervnculo"/>
            <w:sz w:val="20"/>
            <w:szCs w:val="20"/>
          </w:rPr>
          <w:t>sustainable</w:t>
        </w:r>
        <w:proofErr w:type="spellEnd"/>
        <w:r w:rsidRPr="00A14C06">
          <w:rPr>
            <w:rStyle w:val="Hipervnculo"/>
            <w:sz w:val="20"/>
            <w:szCs w:val="20"/>
          </w:rPr>
          <w:t xml:space="preserve"> </w:t>
        </w:r>
        <w:proofErr w:type="spellStart"/>
        <w:r w:rsidRPr="00A14C06">
          <w:rPr>
            <w:rStyle w:val="Hipervnculo"/>
            <w:sz w:val="20"/>
            <w:szCs w:val="20"/>
          </w:rPr>
          <w:t>finance</w:t>
        </w:r>
        <w:proofErr w:type="spellEnd"/>
      </w:hyperlink>
      <w:r w:rsidRPr="00A14C06">
        <w:rPr>
          <w:sz w:val="20"/>
          <w:szCs w:val="20"/>
        </w:rPr>
        <w:t>, discurso en el </w:t>
      </w:r>
      <w:hyperlink r:id="rId12" w:tgtFrame="_blank" w:history="1">
        <w:r w:rsidRPr="00A14C06">
          <w:rPr>
            <w:rStyle w:val="Hipervnculo"/>
            <w:sz w:val="20"/>
            <w:szCs w:val="20"/>
          </w:rPr>
          <w:t>evento de presentación de TechSprint del G20, </w:t>
        </w:r>
      </w:hyperlink>
      <w:r w:rsidRPr="00A14C06">
        <w:rPr>
          <w:sz w:val="20"/>
          <w:szCs w:val="20"/>
        </w:rPr>
        <w:t>7 de mayo.</w:t>
      </w:r>
    </w:p>
    <w:bookmarkStart w:id="19" w:name="_ftn7"/>
    <w:p w14:paraId="5722305C" w14:textId="77777777" w:rsidR="00A14C06" w:rsidRDefault="00083ACE" w:rsidP="00A7725A">
      <w:pPr>
        <w:rPr>
          <w:sz w:val="20"/>
          <w:szCs w:val="20"/>
          <w:lang w:val="en-US"/>
        </w:rPr>
      </w:pPr>
      <w:r w:rsidRPr="00D33E82">
        <w:rPr>
          <w:b/>
          <w:bCs/>
          <w:color w:val="7030A0"/>
          <w:vertAlign w:val="superscript"/>
        </w:rPr>
        <w:fldChar w:fldCharType="begin"/>
      </w:r>
      <w:r w:rsidRPr="00D33E82">
        <w:rPr>
          <w:b/>
          <w:bCs/>
          <w:color w:val="7030A0"/>
          <w:vertAlign w:val="superscript"/>
          <w:lang w:val="en-US"/>
        </w:rPr>
        <w:instrText xml:space="preserve"> HYPERLINK "https://www.bis.org/speeches/sp210512.htm" \l "_ftnref7" \o "" </w:instrText>
      </w:r>
      <w:r w:rsidRPr="00D33E82">
        <w:rPr>
          <w:b/>
          <w:bCs/>
          <w:color w:val="7030A0"/>
          <w:vertAlign w:val="superscript"/>
        </w:rPr>
        <w:fldChar w:fldCharType="separate"/>
      </w:r>
      <w:r w:rsidRPr="00D33E82">
        <w:rPr>
          <w:rStyle w:val="Hipervnculo"/>
          <w:b/>
          <w:bCs/>
          <w:color w:val="7030A0"/>
          <w:vertAlign w:val="superscript"/>
          <w:lang w:val="en-US"/>
        </w:rPr>
        <w:t>7</w:t>
      </w:r>
      <w:r w:rsidRPr="00D33E82">
        <w:rPr>
          <w:b/>
          <w:bCs/>
          <w:color w:val="7030A0"/>
          <w:vertAlign w:val="superscript"/>
        </w:rPr>
        <w:fldChar w:fldCharType="end"/>
      </w:r>
      <w:bookmarkEnd w:id="19"/>
      <w:r w:rsidRPr="00A14C06">
        <w:rPr>
          <w:sz w:val="20"/>
          <w:szCs w:val="20"/>
          <w:lang w:val="en-US"/>
        </w:rPr>
        <w:t> </w:t>
      </w:r>
      <w:proofErr w:type="spellStart"/>
      <w:r w:rsidRPr="00A14C06">
        <w:rPr>
          <w:sz w:val="20"/>
          <w:szCs w:val="20"/>
          <w:lang w:val="en-US"/>
        </w:rPr>
        <w:t>Véase</w:t>
      </w:r>
      <w:proofErr w:type="spellEnd"/>
      <w:r w:rsidRPr="00A14C06">
        <w:rPr>
          <w:sz w:val="20"/>
          <w:szCs w:val="20"/>
          <w:lang w:val="en-US"/>
        </w:rPr>
        <w:t xml:space="preserve"> BCBS (2021): </w:t>
      </w:r>
      <w:hyperlink r:id="rId13" w:history="1">
        <w:r w:rsidRPr="00A14C06">
          <w:rPr>
            <w:rStyle w:val="Hipervnculo"/>
            <w:sz w:val="20"/>
            <w:szCs w:val="20"/>
            <w:lang w:val="en-US"/>
          </w:rPr>
          <w:t xml:space="preserve">Climate-related risk drivers and their transmission </w:t>
        </w:r>
        <w:proofErr w:type="spellStart"/>
        <w:r w:rsidRPr="00A14C06">
          <w:rPr>
            <w:rStyle w:val="Hipervnculo"/>
            <w:sz w:val="20"/>
            <w:szCs w:val="20"/>
            <w:lang w:val="en-US"/>
          </w:rPr>
          <w:t>channels,</w:t>
        </w:r>
      </w:hyperlink>
      <w:r w:rsidRPr="00A14C06">
        <w:rPr>
          <w:sz w:val="20"/>
          <w:szCs w:val="20"/>
          <w:lang w:val="en-US"/>
        </w:rPr>
        <w:t>abril</w:t>
      </w:r>
      <w:proofErr w:type="spellEnd"/>
      <w:r w:rsidRPr="00A14C06">
        <w:rPr>
          <w:sz w:val="20"/>
          <w:szCs w:val="20"/>
          <w:lang w:val="en-US"/>
        </w:rPr>
        <w:t>.</w:t>
      </w:r>
    </w:p>
    <w:bookmarkStart w:id="20" w:name="_ftn8"/>
    <w:p w14:paraId="21CD0526" w14:textId="77777777" w:rsidR="00A14C06" w:rsidRDefault="00083ACE" w:rsidP="00A7725A">
      <w:pPr>
        <w:rPr>
          <w:sz w:val="20"/>
          <w:szCs w:val="20"/>
        </w:rPr>
      </w:pPr>
      <w:r w:rsidRPr="00D33E82">
        <w:rPr>
          <w:b/>
          <w:bCs/>
          <w:color w:val="7030A0"/>
          <w:vertAlign w:val="superscript"/>
        </w:rPr>
        <w:fldChar w:fldCharType="begin"/>
      </w:r>
      <w:r w:rsidRPr="00D33E82">
        <w:rPr>
          <w:b/>
          <w:bCs/>
          <w:color w:val="7030A0"/>
          <w:vertAlign w:val="superscript"/>
        </w:rPr>
        <w:instrText xml:space="preserve"> HYPERLINK "https://www.bis.org/speeches/sp210512.htm" \l "_ftnref8" \o "" </w:instrText>
      </w:r>
      <w:r w:rsidRPr="00D33E82">
        <w:rPr>
          <w:b/>
          <w:bCs/>
          <w:color w:val="7030A0"/>
          <w:vertAlign w:val="superscript"/>
        </w:rPr>
        <w:fldChar w:fldCharType="separate"/>
      </w:r>
      <w:r w:rsidRPr="00D33E82">
        <w:rPr>
          <w:rStyle w:val="Hipervnculo"/>
          <w:b/>
          <w:bCs/>
          <w:color w:val="7030A0"/>
          <w:vertAlign w:val="superscript"/>
        </w:rPr>
        <w:t>8</w:t>
      </w:r>
      <w:r w:rsidRPr="00D33E82">
        <w:rPr>
          <w:b/>
          <w:bCs/>
          <w:color w:val="7030A0"/>
          <w:vertAlign w:val="superscript"/>
        </w:rPr>
        <w:fldChar w:fldCharType="end"/>
      </w:r>
      <w:bookmarkEnd w:id="20"/>
      <w:r w:rsidRPr="00A14C06">
        <w:rPr>
          <w:sz w:val="20"/>
          <w:szCs w:val="20"/>
        </w:rPr>
        <w:t> Para ejemplos de políticas, regulaciones y orientación sobre divulgación y presentación de informes, consulte NGFS (2021): </w:t>
      </w:r>
      <w:hyperlink r:id="rId14" w:tgtFrame="_blank" w:history="1">
        <w:r w:rsidRPr="00A14C06">
          <w:rPr>
            <w:rStyle w:val="Hipervnculo"/>
            <w:sz w:val="20"/>
            <w:szCs w:val="20"/>
          </w:rPr>
          <w:t>Informe </w:t>
        </w:r>
        <w:proofErr w:type="spellStart"/>
        <w:r w:rsidRPr="00A14C06">
          <w:rPr>
            <w:rStyle w:val="Hipervnculo"/>
            <w:sz w:val="20"/>
            <w:szCs w:val="20"/>
          </w:rPr>
          <w:t>Sustainable</w:t>
        </w:r>
        <w:proofErr w:type="spellEnd"/>
        <w:r w:rsidRPr="00A14C06">
          <w:rPr>
            <w:rStyle w:val="Hipervnculo"/>
            <w:sz w:val="20"/>
            <w:szCs w:val="20"/>
          </w:rPr>
          <w:t xml:space="preserve"> </w:t>
        </w:r>
        <w:proofErr w:type="spellStart"/>
        <w:r w:rsidRPr="00A14C06">
          <w:rPr>
            <w:rStyle w:val="Hipervnculo"/>
            <w:sz w:val="20"/>
            <w:szCs w:val="20"/>
          </w:rPr>
          <w:t>Finance</w:t>
        </w:r>
        <w:proofErr w:type="spellEnd"/>
        <w:r w:rsidRPr="00A14C06">
          <w:rPr>
            <w:rStyle w:val="Hipervnculo"/>
            <w:sz w:val="20"/>
            <w:szCs w:val="20"/>
          </w:rPr>
          <w:t xml:space="preserve"> </w:t>
        </w:r>
        <w:proofErr w:type="spellStart"/>
        <w:r w:rsidRPr="00A14C06">
          <w:rPr>
            <w:rStyle w:val="Hipervnculo"/>
            <w:sz w:val="20"/>
            <w:szCs w:val="20"/>
          </w:rPr>
          <w:t>Market</w:t>
        </w:r>
        <w:proofErr w:type="spellEnd"/>
        <w:r w:rsidRPr="00A14C06">
          <w:rPr>
            <w:rStyle w:val="Hipervnculo"/>
            <w:sz w:val="20"/>
            <w:szCs w:val="20"/>
          </w:rPr>
          <w:t xml:space="preserve"> </w:t>
        </w:r>
        <w:proofErr w:type="spellStart"/>
        <w:r w:rsidRPr="00A14C06">
          <w:rPr>
            <w:rStyle w:val="Hipervnculo"/>
            <w:sz w:val="20"/>
            <w:szCs w:val="20"/>
          </w:rPr>
          <w:t>Dynamics,</w:t>
        </w:r>
      </w:hyperlink>
      <w:r w:rsidRPr="00A14C06">
        <w:rPr>
          <w:sz w:val="20"/>
          <w:szCs w:val="20"/>
        </w:rPr>
        <w:t>marzo</w:t>
      </w:r>
      <w:proofErr w:type="spellEnd"/>
      <w:r w:rsidRPr="00A14C06">
        <w:rPr>
          <w:sz w:val="20"/>
          <w:szCs w:val="20"/>
        </w:rPr>
        <w:t xml:space="preserve">, pp. 8-9; y Association </w:t>
      </w:r>
      <w:proofErr w:type="spellStart"/>
      <w:r w:rsidRPr="00A14C06">
        <w:rPr>
          <w:sz w:val="20"/>
          <w:szCs w:val="20"/>
        </w:rPr>
        <w:t>for</w:t>
      </w:r>
      <w:proofErr w:type="spellEnd"/>
      <w:r w:rsidRPr="00A14C06">
        <w:rPr>
          <w:sz w:val="20"/>
          <w:szCs w:val="20"/>
        </w:rPr>
        <w:t xml:space="preserve"> Financial </w:t>
      </w:r>
      <w:proofErr w:type="spellStart"/>
      <w:r w:rsidRPr="00A14C06">
        <w:rPr>
          <w:sz w:val="20"/>
          <w:szCs w:val="20"/>
        </w:rPr>
        <w:t>Markets</w:t>
      </w:r>
      <w:proofErr w:type="spellEnd"/>
      <w:r w:rsidRPr="00A14C06">
        <w:rPr>
          <w:sz w:val="20"/>
          <w:szCs w:val="20"/>
        </w:rPr>
        <w:t xml:space="preserve"> in Europe (AFME) (2021): </w:t>
      </w:r>
      <w:hyperlink r:id="rId15" w:tgtFrame="_blank" w:history="1">
        <w:r w:rsidRPr="00A14C06">
          <w:rPr>
            <w:rStyle w:val="Hipervnculo"/>
            <w:sz w:val="20"/>
            <w:szCs w:val="20"/>
          </w:rPr>
          <w:t>ESG </w:t>
        </w:r>
        <w:proofErr w:type="spellStart"/>
        <w:r w:rsidRPr="00A14C06">
          <w:rPr>
            <w:rStyle w:val="Hipervnculo"/>
            <w:sz w:val="20"/>
            <w:szCs w:val="20"/>
          </w:rPr>
          <w:t>Disclosure</w:t>
        </w:r>
        <w:proofErr w:type="spellEnd"/>
        <w:r w:rsidRPr="00A14C06">
          <w:rPr>
            <w:rStyle w:val="Hipervnculo"/>
            <w:sz w:val="20"/>
            <w:szCs w:val="20"/>
          </w:rPr>
          <w:t xml:space="preserve"> </w:t>
        </w:r>
        <w:proofErr w:type="spellStart"/>
        <w:r w:rsidRPr="00A14C06">
          <w:rPr>
            <w:rStyle w:val="Hipervnculo"/>
            <w:sz w:val="20"/>
            <w:szCs w:val="20"/>
          </w:rPr>
          <w:t>Landscape</w:t>
        </w:r>
        <w:proofErr w:type="spellEnd"/>
        <w:r w:rsidRPr="00A14C06">
          <w:rPr>
            <w:rStyle w:val="Hipervnculo"/>
            <w:sz w:val="20"/>
            <w:szCs w:val="20"/>
          </w:rPr>
          <w:t xml:space="preserve"> </w:t>
        </w:r>
        <w:proofErr w:type="spellStart"/>
        <w:r w:rsidRPr="00A14C06">
          <w:rPr>
            <w:rStyle w:val="Hipervnculo"/>
            <w:sz w:val="20"/>
            <w:szCs w:val="20"/>
          </w:rPr>
          <w:t>for</w:t>
        </w:r>
        <w:proofErr w:type="spellEnd"/>
        <w:r w:rsidRPr="00A14C06">
          <w:rPr>
            <w:rStyle w:val="Hipervnculo"/>
            <w:sz w:val="20"/>
            <w:szCs w:val="20"/>
          </w:rPr>
          <w:t xml:space="preserve"> Banks and Capital </w:t>
        </w:r>
        <w:proofErr w:type="spellStart"/>
        <w:r w:rsidRPr="00A14C06">
          <w:rPr>
            <w:rStyle w:val="Hipervnculo"/>
            <w:sz w:val="20"/>
            <w:szCs w:val="20"/>
          </w:rPr>
          <w:t>Markets</w:t>
        </w:r>
        <w:proofErr w:type="spellEnd"/>
        <w:r w:rsidRPr="00A14C06">
          <w:rPr>
            <w:rStyle w:val="Hipervnculo"/>
            <w:sz w:val="20"/>
            <w:szCs w:val="20"/>
          </w:rPr>
          <w:t xml:space="preserve"> in </w:t>
        </w:r>
        <w:proofErr w:type="spellStart"/>
        <w:r w:rsidRPr="00A14C06">
          <w:rPr>
            <w:rStyle w:val="Hipervnculo"/>
            <w:sz w:val="20"/>
            <w:szCs w:val="20"/>
          </w:rPr>
          <w:t>Europe,</w:t>
        </w:r>
      </w:hyperlink>
      <w:r w:rsidRPr="00A14C06">
        <w:rPr>
          <w:sz w:val="20"/>
          <w:szCs w:val="20"/>
        </w:rPr>
        <w:t>abril</w:t>
      </w:r>
      <w:proofErr w:type="spellEnd"/>
      <w:r w:rsidRPr="00A14C06">
        <w:rPr>
          <w:sz w:val="20"/>
          <w:szCs w:val="20"/>
        </w:rPr>
        <w:t>.</w:t>
      </w:r>
    </w:p>
    <w:bookmarkStart w:id="21" w:name="_ftn9"/>
    <w:p w14:paraId="06390EA9" w14:textId="77777777" w:rsidR="00A14C06" w:rsidRDefault="00083ACE" w:rsidP="00A7725A">
      <w:pPr>
        <w:rPr>
          <w:sz w:val="20"/>
          <w:szCs w:val="20"/>
          <w:lang w:val="en-US"/>
        </w:rPr>
      </w:pPr>
      <w:r w:rsidRPr="00D33E82">
        <w:rPr>
          <w:b/>
          <w:bCs/>
          <w:color w:val="7030A0"/>
          <w:sz w:val="24"/>
          <w:szCs w:val="24"/>
          <w:vertAlign w:val="superscript"/>
        </w:rPr>
        <w:fldChar w:fldCharType="begin"/>
      </w:r>
      <w:r w:rsidRPr="00D33E82">
        <w:rPr>
          <w:b/>
          <w:bCs/>
          <w:color w:val="7030A0"/>
          <w:sz w:val="24"/>
          <w:szCs w:val="24"/>
          <w:vertAlign w:val="superscript"/>
          <w:lang w:val="en-US"/>
        </w:rPr>
        <w:instrText xml:space="preserve"> HYPERLINK "https://www.bis.org/speeches/sp210512.htm" \l "_ftnref9" \o "" </w:instrText>
      </w:r>
      <w:r w:rsidRPr="00D33E82">
        <w:rPr>
          <w:b/>
          <w:bCs/>
          <w:color w:val="7030A0"/>
          <w:sz w:val="24"/>
          <w:szCs w:val="24"/>
          <w:vertAlign w:val="superscript"/>
        </w:rPr>
        <w:fldChar w:fldCharType="separate"/>
      </w:r>
      <w:r w:rsidRPr="00D33E82">
        <w:rPr>
          <w:rStyle w:val="Hipervnculo"/>
          <w:b/>
          <w:bCs/>
          <w:color w:val="7030A0"/>
          <w:sz w:val="24"/>
          <w:szCs w:val="24"/>
          <w:vertAlign w:val="superscript"/>
          <w:lang w:val="en-US"/>
        </w:rPr>
        <w:t>9</w:t>
      </w:r>
      <w:r w:rsidRPr="00D33E82">
        <w:rPr>
          <w:b/>
          <w:bCs/>
          <w:color w:val="7030A0"/>
          <w:sz w:val="24"/>
          <w:szCs w:val="24"/>
          <w:vertAlign w:val="superscript"/>
        </w:rPr>
        <w:fldChar w:fldCharType="end"/>
      </w:r>
      <w:bookmarkEnd w:id="21"/>
      <w:r w:rsidRPr="00A14C06">
        <w:rPr>
          <w:sz w:val="20"/>
          <w:szCs w:val="20"/>
          <w:lang w:val="en-US"/>
        </w:rPr>
        <w:t> </w:t>
      </w:r>
      <w:proofErr w:type="spellStart"/>
      <w:r w:rsidRPr="00A14C06">
        <w:rPr>
          <w:sz w:val="20"/>
          <w:szCs w:val="20"/>
          <w:lang w:val="en-US"/>
        </w:rPr>
        <w:t>Véase</w:t>
      </w:r>
      <w:proofErr w:type="spellEnd"/>
      <w:r w:rsidRPr="00A14C06">
        <w:rPr>
          <w:sz w:val="20"/>
          <w:szCs w:val="20"/>
          <w:lang w:val="en-US"/>
        </w:rPr>
        <w:t xml:space="preserve"> BCBS (2021): </w:t>
      </w:r>
      <w:hyperlink r:id="rId16" w:history="1">
        <w:r w:rsidRPr="00A14C06">
          <w:rPr>
            <w:rStyle w:val="Hipervnculo"/>
            <w:sz w:val="20"/>
            <w:szCs w:val="20"/>
            <w:lang w:val="en-US"/>
          </w:rPr>
          <w:t xml:space="preserve">Climate-related risk drivers and their transmission </w:t>
        </w:r>
        <w:proofErr w:type="spellStart"/>
        <w:r w:rsidRPr="00A14C06">
          <w:rPr>
            <w:rStyle w:val="Hipervnculo"/>
            <w:sz w:val="20"/>
            <w:szCs w:val="20"/>
            <w:lang w:val="en-US"/>
          </w:rPr>
          <w:t>channels,</w:t>
        </w:r>
      </w:hyperlink>
      <w:r w:rsidRPr="00A14C06">
        <w:rPr>
          <w:sz w:val="20"/>
          <w:szCs w:val="20"/>
          <w:lang w:val="en-US"/>
        </w:rPr>
        <w:t>abril</w:t>
      </w:r>
      <w:proofErr w:type="spellEnd"/>
      <w:r w:rsidRPr="00A14C06">
        <w:rPr>
          <w:sz w:val="20"/>
          <w:szCs w:val="20"/>
          <w:lang w:val="en-US"/>
        </w:rPr>
        <w:t>.</w:t>
      </w:r>
    </w:p>
    <w:bookmarkStart w:id="22" w:name="_ftn10"/>
    <w:p w14:paraId="1CFA4615" w14:textId="77777777" w:rsidR="00A14C06" w:rsidRDefault="00083ACE" w:rsidP="00A7725A">
      <w:pPr>
        <w:rPr>
          <w:sz w:val="20"/>
          <w:szCs w:val="20"/>
          <w:lang w:val="en-US"/>
        </w:rPr>
      </w:pPr>
      <w:r w:rsidRPr="00D33E82">
        <w:rPr>
          <w:b/>
          <w:bCs/>
          <w:color w:val="7030A0"/>
          <w:sz w:val="24"/>
          <w:szCs w:val="24"/>
          <w:vertAlign w:val="superscript"/>
        </w:rPr>
        <w:fldChar w:fldCharType="begin"/>
      </w:r>
      <w:r w:rsidRPr="00D33E82">
        <w:rPr>
          <w:b/>
          <w:bCs/>
          <w:color w:val="7030A0"/>
          <w:sz w:val="24"/>
          <w:szCs w:val="24"/>
          <w:vertAlign w:val="superscript"/>
        </w:rPr>
        <w:instrText xml:space="preserve"> HYPERLINK "https://www.bis.org/speeches/sp210512.htm" \l "_ftnref10" \o "" </w:instrText>
      </w:r>
      <w:r w:rsidRPr="00D33E82">
        <w:rPr>
          <w:b/>
          <w:bCs/>
          <w:color w:val="7030A0"/>
          <w:sz w:val="24"/>
          <w:szCs w:val="24"/>
          <w:vertAlign w:val="superscript"/>
        </w:rPr>
        <w:fldChar w:fldCharType="separate"/>
      </w:r>
      <w:r w:rsidRPr="00D33E82">
        <w:rPr>
          <w:rStyle w:val="Hipervnculo"/>
          <w:b/>
          <w:bCs/>
          <w:color w:val="7030A0"/>
          <w:sz w:val="24"/>
          <w:szCs w:val="24"/>
          <w:vertAlign w:val="superscript"/>
        </w:rPr>
        <w:t>10</w:t>
      </w:r>
      <w:r w:rsidRPr="00D33E82">
        <w:rPr>
          <w:b/>
          <w:bCs/>
          <w:color w:val="7030A0"/>
          <w:sz w:val="24"/>
          <w:szCs w:val="24"/>
          <w:vertAlign w:val="superscript"/>
        </w:rPr>
        <w:fldChar w:fldCharType="end"/>
      </w:r>
      <w:bookmarkEnd w:id="22"/>
      <w:r w:rsidRPr="00A14C06">
        <w:rPr>
          <w:sz w:val="20"/>
          <w:szCs w:val="20"/>
        </w:rPr>
        <w:t xml:space="preserve"> Un informe reciente del CDP evidenció que el 49% de las instituciones financieras indican que no realizan ningún análisis de cómo su cartera impacta el clima en absoluto. </w:t>
      </w:r>
      <w:proofErr w:type="spellStart"/>
      <w:r w:rsidRPr="00A14C06">
        <w:rPr>
          <w:sz w:val="20"/>
          <w:szCs w:val="20"/>
          <w:lang w:val="en-US"/>
        </w:rPr>
        <w:t>Véase</w:t>
      </w:r>
      <w:proofErr w:type="spellEnd"/>
      <w:r w:rsidRPr="00A14C06">
        <w:rPr>
          <w:sz w:val="20"/>
          <w:szCs w:val="20"/>
          <w:lang w:val="en-US"/>
        </w:rPr>
        <w:t xml:space="preserve"> CPD (2021): </w:t>
      </w:r>
      <w:hyperlink r:id="rId17" w:tgtFrame="_blank" w:history="1">
        <w:r w:rsidRPr="00A14C06">
          <w:rPr>
            <w:rStyle w:val="Hipervnculo"/>
            <w:sz w:val="20"/>
            <w:szCs w:val="20"/>
            <w:lang w:val="en-US"/>
          </w:rPr>
          <w:t>The Time to Green Finance – CDP Financial Services Disclosure Report 2020,</w:t>
        </w:r>
      </w:hyperlink>
      <w:r w:rsidRPr="00A14C06">
        <w:rPr>
          <w:sz w:val="20"/>
          <w:szCs w:val="20"/>
          <w:lang w:val="en-US"/>
        </w:rPr>
        <w:t>abril.</w:t>
      </w:r>
    </w:p>
    <w:bookmarkStart w:id="23" w:name="_ftn11"/>
    <w:p w14:paraId="510FA2A8" w14:textId="77777777" w:rsidR="00A14C06" w:rsidRDefault="00083ACE" w:rsidP="00783274">
      <w:pPr>
        <w:jc w:val="both"/>
        <w:rPr>
          <w:sz w:val="20"/>
          <w:szCs w:val="20"/>
          <w:lang w:val="en-US"/>
        </w:rPr>
      </w:pPr>
      <w:r w:rsidRPr="00D33E82">
        <w:rPr>
          <w:b/>
          <w:bCs/>
          <w:color w:val="7030A0"/>
          <w:sz w:val="24"/>
          <w:szCs w:val="24"/>
          <w:vertAlign w:val="superscript"/>
        </w:rPr>
        <w:fldChar w:fldCharType="begin"/>
      </w:r>
      <w:r w:rsidRPr="00D33E82">
        <w:rPr>
          <w:b/>
          <w:bCs/>
          <w:color w:val="7030A0"/>
          <w:sz w:val="24"/>
          <w:szCs w:val="24"/>
          <w:vertAlign w:val="superscript"/>
        </w:rPr>
        <w:instrText xml:space="preserve"> HYPERLINK "https://www.bis.org/speeches/sp210512.htm" \l "_ftnref11" \o "" </w:instrText>
      </w:r>
      <w:r w:rsidRPr="00D33E82">
        <w:rPr>
          <w:b/>
          <w:bCs/>
          <w:color w:val="7030A0"/>
          <w:sz w:val="24"/>
          <w:szCs w:val="24"/>
          <w:vertAlign w:val="superscript"/>
        </w:rPr>
        <w:fldChar w:fldCharType="separate"/>
      </w:r>
      <w:r w:rsidRPr="00D33E82">
        <w:rPr>
          <w:rStyle w:val="Hipervnculo"/>
          <w:b/>
          <w:bCs/>
          <w:color w:val="7030A0"/>
          <w:sz w:val="24"/>
          <w:szCs w:val="24"/>
          <w:vertAlign w:val="superscript"/>
        </w:rPr>
        <w:t>11</w:t>
      </w:r>
      <w:r w:rsidRPr="00D33E82">
        <w:rPr>
          <w:b/>
          <w:bCs/>
          <w:color w:val="7030A0"/>
          <w:sz w:val="24"/>
          <w:szCs w:val="24"/>
          <w:vertAlign w:val="superscript"/>
        </w:rPr>
        <w:fldChar w:fldCharType="end"/>
      </w:r>
      <w:bookmarkEnd w:id="23"/>
      <w:r w:rsidRPr="00A14C06">
        <w:rPr>
          <w:sz w:val="20"/>
          <w:szCs w:val="20"/>
        </w:rPr>
        <w:t xml:space="preserve"> La cantidad y calidad de la información pública es a menudo una función del tamaño de la empresa, lo que limita la comparabilidad de las empresas más pequeñas con respecto a las grandes corporaciones. Las diferencias en los principios de contabilidad y/o los esquemas de presentación de informes entre jurisdicciones agregan limitaciones adicionales de comparabilidad. </w:t>
      </w:r>
      <w:proofErr w:type="spellStart"/>
      <w:r w:rsidRPr="00A14C06">
        <w:rPr>
          <w:sz w:val="20"/>
          <w:szCs w:val="20"/>
          <w:lang w:val="en-US"/>
        </w:rPr>
        <w:t>Véase</w:t>
      </w:r>
      <w:proofErr w:type="spellEnd"/>
      <w:r w:rsidRPr="00A14C06">
        <w:rPr>
          <w:sz w:val="20"/>
          <w:szCs w:val="20"/>
          <w:lang w:val="en-US"/>
        </w:rPr>
        <w:t xml:space="preserve"> BCBS (2021): </w:t>
      </w:r>
      <w:hyperlink r:id="rId18" w:history="1">
        <w:r w:rsidRPr="00A14C06">
          <w:rPr>
            <w:rStyle w:val="Hipervnculo"/>
            <w:sz w:val="20"/>
            <w:szCs w:val="20"/>
            <w:lang w:val="en-US"/>
          </w:rPr>
          <w:t xml:space="preserve">Climate-related risk drivers and their transmission </w:t>
        </w:r>
        <w:proofErr w:type="spellStart"/>
        <w:r w:rsidRPr="00A14C06">
          <w:rPr>
            <w:rStyle w:val="Hipervnculo"/>
            <w:sz w:val="20"/>
            <w:szCs w:val="20"/>
            <w:lang w:val="en-US"/>
          </w:rPr>
          <w:t>channels,</w:t>
        </w:r>
      </w:hyperlink>
      <w:r w:rsidRPr="00A14C06">
        <w:rPr>
          <w:sz w:val="20"/>
          <w:szCs w:val="20"/>
          <w:lang w:val="en-US"/>
        </w:rPr>
        <w:t>abril</w:t>
      </w:r>
      <w:proofErr w:type="spellEnd"/>
      <w:r w:rsidRPr="00A14C06">
        <w:rPr>
          <w:sz w:val="20"/>
          <w:szCs w:val="20"/>
          <w:lang w:val="en-US"/>
        </w:rPr>
        <w:t>.</w:t>
      </w:r>
    </w:p>
    <w:bookmarkStart w:id="24" w:name="_ftn12"/>
    <w:p w14:paraId="66F9EB6F" w14:textId="5FDFE3B7" w:rsidR="00083ACE" w:rsidRPr="00A14C06" w:rsidRDefault="00083ACE" w:rsidP="00A7725A">
      <w:pPr>
        <w:rPr>
          <w:sz w:val="20"/>
          <w:szCs w:val="20"/>
          <w:lang w:val="en-US"/>
        </w:rPr>
      </w:pPr>
      <w:r w:rsidRPr="00D33E82">
        <w:rPr>
          <w:b/>
          <w:bCs/>
          <w:color w:val="7030A0"/>
          <w:sz w:val="24"/>
          <w:szCs w:val="24"/>
          <w:vertAlign w:val="superscript"/>
        </w:rPr>
        <w:fldChar w:fldCharType="begin"/>
      </w:r>
      <w:r w:rsidRPr="00D33E82">
        <w:rPr>
          <w:b/>
          <w:bCs/>
          <w:color w:val="7030A0"/>
          <w:sz w:val="24"/>
          <w:szCs w:val="24"/>
          <w:vertAlign w:val="superscript"/>
          <w:lang w:val="en-US"/>
        </w:rPr>
        <w:instrText xml:space="preserve"> HYPERLINK "https://www.bis.org/speeches/sp210512.htm" \l "_ftnref12" \o "" </w:instrText>
      </w:r>
      <w:r w:rsidRPr="00D33E82">
        <w:rPr>
          <w:b/>
          <w:bCs/>
          <w:color w:val="7030A0"/>
          <w:sz w:val="24"/>
          <w:szCs w:val="24"/>
          <w:vertAlign w:val="superscript"/>
        </w:rPr>
        <w:fldChar w:fldCharType="separate"/>
      </w:r>
      <w:r w:rsidRPr="00D33E82">
        <w:rPr>
          <w:rStyle w:val="Hipervnculo"/>
          <w:b/>
          <w:bCs/>
          <w:color w:val="7030A0"/>
          <w:sz w:val="24"/>
          <w:szCs w:val="24"/>
          <w:vertAlign w:val="superscript"/>
          <w:lang w:val="en-US"/>
        </w:rPr>
        <w:t>12</w:t>
      </w:r>
      <w:r w:rsidRPr="00D33E82">
        <w:rPr>
          <w:b/>
          <w:bCs/>
          <w:color w:val="7030A0"/>
          <w:sz w:val="24"/>
          <w:szCs w:val="24"/>
          <w:vertAlign w:val="superscript"/>
        </w:rPr>
        <w:fldChar w:fldCharType="end"/>
      </w:r>
      <w:bookmarkEnd w:id="24"/>
      <w:r w:rsidRPr="00A14C06">
        <w:rPr>
          <w:sz w:val="20"/>
          <w:szCs w:val="20"/>
          <w:lang w:val="en-US"/>
        </w:rPr>
        <w:t> </w:t>
      </w:r>
      <w:proofErr w:type="spellStart"/>
      <w:r w:rsidRPr="00A14C06">
        <w:rPr>
          <w:sz w:val="20"/>
          <w:szCs w:val="20"/>
          <w:lang w:val="en-US"/>
        </w:rPr>
        <w:t>Véase</w:t>
      </w:r>
      <w:proofErr w:type="spellEnd"/>
      <w:r w:rsidRPr="00A14C06">
        <w:rPr>
          <w:sz w:val="20"/>
          <w:szCs w:val="20"/>
          <w:lang w:val="en-US"/>
        </w:rPr>
        <w:t xml:space="preserve"> OCDE (2020): </w:t>
      </w:r>
      <w:hyperlink r:id="rId19" w:tgtFrame="_blank" w:history="1">
        <w:r w:rsidRPr="00A14C06">
          <w:rPr>
            <w:rStyle w:val="Hipervnculo"/>
            <w:sz w:val="20"/>
            <w:szCs w:val="20"/>
            <w:lang w:val="en-US"/>
          </w:rPr>
          <w:t xml:space="preserve">OECD Business and Finance Outlook 2020 – Sustainable and Resilient </w:t>
        </w:r>
        <w:proofErr w:type="spellStart"/>
        <w:r w:rsidRPr="00A14C06">
          <w:rPr>
            <w:rStyle w:val="Hipervnculo"/>
            <w:sz w:val="20"/>
            <w:szCs w:val="20"/>
            <w:lang w:val="en-US"/>
          </w:rPr>
          <w:t>Finance,</w:t>
        </w:r>
      </w:hyperlink>
      <w:r w:rsidRPr="00A14C06">
        <w:rPr>
          <w:sz w:val="20"/>
          <w:szCs w:val="20"/>
          <w:lang w:val="en-US"/>
        </w:rPr>
        <w:t>OECD</w:t>
      </w:r>
      <w:proofErr w:type="spellEnd"/>
      <w:r w:rsidRPr="00A14C06">
        <w:rPr>
          <w:sz w:val="20"/>
          <w:szCs w:val="20"/>
          <w:lang w:val="en-US"/>
        </w:rPr>
        <w:t xml:space="preserve"> Publishing, </w:t>
      </w:r>
      <w:proofErr w:type="spellStart"/>
      <w:r w:rsidRPr="00A14C06">
        <w:rPr>
          <w:sz w:val="20"/>
          <w:szCs w:val="20"/>
          <w:lang w:val="en-US"/>
        </w:rPr>
        <w:t>París</w:t>
      </w:r>
      <w:proofErr w:type="spellEnd"/>
      <w:r w:rsidRPr="00A14C06">
        <w:rPr>
          <w:sz w:val="20"/>
          <w:szCs w:val="20"/>
          <w:lang w:val="en-US"/>
        </w:rPr>
        <w:t>.</w:t>
      </w:r>
    </w:p>
    <w:p w14:paraId="073D082F" w14:textId="77777777" w:rsidR="00083ACE" w:rsidRPr="00A14C06" w:rsidRDefault="00083ACE" w:rsidP="00932C12">
      <w:pPr>
        <w:rPr>
          <w:rStyle w:val="Hipervnculo"/>
          <w:sz w:val="20"/>
          <w:szCs w:val="20"/>
        </w:rPr>
      </w:pPr>
      <w:r w:rsidRPr="00A14C06">
        <w:rPr>
          <w:sz w:val="20"/>
          <w:szCs w:val="20"/>
        </w:rPr>
        <w:fldChar w:fldCharType="begin"/>
      </w:r>
      <w:r w:rsidRPr="00A14C06">
        <w:rPr>
          <w:sz w:val="20"/>
          <w:szCs w:val="20"/>
        </w:rPr>
        <w:instrText xml:space="preserve"> HYPERLINK "https://www.bis.org/author/beno%c3%aet_c%c5%93ur%c3%a9.htm" </w:instrText>
      </w:r>
      <w:r w:rsidRPr="00A14C06">
        <w:rPr>
          <w:sz w:val="20"/>
          <w:szCs w:val="20"/>
        </w:rPr>
        <w:fldChar w:fldCharType="separate"/>
      </w:r>
    </w:p>
    <w:p w14:paraId="4B6FA1AE" w14:textId="77777777" w:rsidR="00083ACE" w:rsidRPr="00A14C06" w:rsidRDefault="00083ACE" w:rsidP="00932C12">
      <w:pPr>
        <w:rPr>
          <w:rStyle w:val="Hipervnculo"/>
          <w:b/>
          <w:bCs/>
          <w:sz w:val="20"/>
          <w:szCs w:val="20"/>
        </w:rPr>
      </w:pPr>
      <w:r w:rsidRPr="00A14C06">
        <w:rPr>
          <w:rStyle w:val="Hipervnculo"/>
          <w:b/>
          <w:bCs/>
          <w:sz w:val="20"/>
          <w:szCs w:val="20"/>
        </w:rPr>
        <w:t>Benoît Cœuré</w:t>
      </w:r>
    </w:p>
    <w:p w14:paraId="2455283C" w14:textId="2B2FD7C5" w:rsidR="00F93CA4" w:rsidRPr="00A14C06" w:rsidRDefault="00083ACE" w:rsidP="00932C12">
      <w:pPr>
        <w:rPr>
          <w:sz w:val="20"/>
          <w:szCs w:val="20"/>
        </w:rPr>
      </w:pPr>
      <w:r w:rsidRPr="00A14C06">
        <w:rPr>
          <w:sz w:val="20"/>
          <w:szCs w:val="20"/>
        </w:rPr>
        <w:fldChar w:fldCharType="end"/>
      </w:r>
    </w:p>
    <w:sectPr w:rsidR="00F93CA4" w:rsidRPr="00A14C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45540"/>
    <w:multiLevelType w:val="multilevel"/>
    <w:tmpl w:val="89B0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A4"/>
    <w:rsid w:val="00054F98"/>
    <w:rsid w:val="00083ACE"/>
    <w:rsid w:val="0030779F"/>
    <w:rsid w:val="00783274"/>
    <w:rsid w:val="00932C12"/>
    <w:rsid w:val="00A14C06"/>
    <w:rsid w:val="00A42367"/>
    <w:rsid w:val="00A7725A"/>
    <w:rsid w:val="00AA74B6"/>
    <w:rsid w:val="00C5666D"/>
    <w:rsid w:val="00D33E82"/>
    <w:rsid w:val="00E427AB"/>
    <w:rsid w:val="00F93C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4CF4"/>
  <w15:chartTrackingRefBased/>
  <w15:docId w15:val="{4A20766D-043C-4042-AEC4-24B44CFE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93CA4"/>
    <w:rPr>
      <w:color w:val="0563C1" w:themeColor="hyperlink"/>
      <w:u w:val="single"/>
    </w:rPr>
  </w:style>
  <w:style w:type="character" w:styleId="Mencinsinresolver">
    <w:name w:val="Unresolved Mention"/>
    <w:basedOn w:val="Fuentedeprrafopredeter"/>
    <w:uiPriority w:val="99"/>
    <w:semiHidden/>
    <w:unhideWhenUsed/>
    <w:rsid w:val="00F9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9009">
      <w:bodyDiv w:val="1"/>
      <w:marLeft w:val="0"/>
      <w:marRight w:val="0"/>
      <w:marTop w:val="0"/>
      <w:marBottom w:val="0"/>
      <w:divBdr>
        <w:top w:val="none" w:sz="0" w:space="0" w:color="auto"/>
        <w:left w:val="none" w:sz="0" w:space="0" w:color="auto"/>
        <w:bottom w:val="none" w:sz="0" w:space="0" w:color="auto"/>
        <w:right w:val="none" w:sz="0" w:space="0" w:color="auto"/>
      </w:divBdr>
      <w:divsChild>
        <w:div w:id="206379300">
          <w:marLeft w:val="0"/>
          <w:marRight w:val="0"/>
          <w:marTop w:val="0"/>
          <w:marBottom w:val="0"/>
          <w:divBdr>
            <w:top w:val="none" w:sz="0" w:space="0" w:color="auto"/>
            <w:left w:val="none" w:sz="0" w:space="0" w:color="auto"/>
            <w:bottom w:val="none" w:sz="0" w:space="0" w:color="auto"/>
            <w:right w:val="none" w:sz="0" w:space="0" w:color="auto"/>
          </w:divBdr>
        </w:div>
        <w:div w:id="690497276">
          <w:marLeft w:val="0"/>
          <w:marRight w:val="0"/>
          <w:marTop w:val="0"/>
          <w:marBottom w:val="0"/>
          <w:divBdr>
            <w:top w:val="single" w:sz="18" w:space="15" w:color="AA332F"/>
            <w:left w:val="none" w:sz="0" w:space="0" w:color="auto"/>
            <w:bottom w:val="none" w:sz="0" w:space="0" w:color="auto"/>
            <w:right w:val="none" w:sz="0" w:space="0" w:color="auto"/>
          </w:divBdr>
          <w:divsChild>
            <w:div w:id="671757390">
              <w:marLeft w:val="0"/>
              <w:marRight w:val="0"/>
              <w:marTop w:val="0"/>
              <w:marBottom w:val="0"/>
              <w:divBdr>
                <w:top w:val="none" w:sz="0" w:space="0" w:color="auto"/>
                <w:left w:val="none" w:sz="0" w:space="0" w:color="auto"/>
                <w:bottom w:val="none" w:sz="0" w:space="0" w:color="auto"/>
                <w:right w:val="none" w:sz="0" w:space="0" w:color="auto"/>
              </w:divBdr>
              <w:divsChild>
                <w:div w:id="1943605487">
                  <w:marLeft w:val="0"/>
                  <w:marRight w:val="0"/>
                  <w:marTop w:val="0"/>
                  <w:marBottom w:val="0"/>
                  <w:divBdr>
                    <w:top w:val="none" w:sz="0" w:space="0" w:color="auto"/>
                    <w:left w:val="none" w:sz="0" w:space="0" w:color="auto"/>
                    <w:bottom w:val="none" w:sz="0" w:space="0" w:color="auto"/>
                    <w:right w:val="none" w:sz="0" w:space="0" w:color="auto"/>
                  </w:divBdr>
                  <w:divsChild>
                    <w:div w:id="376128476">
                      <w:marLeft w:val="0"/>
                      <w:marRight w:val="0"/>
                      <w:marTop w:val="0"/>
                      <w:marBottom w:val="0"/>
                      <w:divBdr>
                        <w:top w:val="none" w:sz="0" w:space="0" w:color="auto"/>
                        <w:left w:val="none" w:sz="0" w:space="0" w:color="auto"/>
                        <w:bottom w:val="none" w:sz="0" w:space="0" w:color="auto"/>
                        <w:right w:val="none" w:sz="0" w:space="0" w:color="auto"/>
                      </w:divBdr>
                    </w:div>
                  </w:divsChild>
                </w:div>
                <w:div w:id="1553544794">
                  <w:marLeft w:val="0"/>
                  <w:marRight w:val="0"/>
                  <w:marTop w:val="0"/>
                  <w:marBottom w:val="0"/>
                  <w:divBdr>
                    <w:top w:val="none" w:sz="0" w:space="0" w:color="auto"/>
                    <w:left w:val="none" w:sz="0" w:space="0" w:color="auto"/>
                    <w:bottom w:val="none" w:sz="0" w:space="0" w:color="auto"/>
                    <w:right w:val="none" w:sz="0" w:space="0" w:color="auto"/>
                  </w:divBdr>
                  <w:divsChild>
                    <w:div w:id="9432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2553">
          <w:marLeft w:val="0"/>
          <w:marRight w:val="0"/>
          <w:marTop w:val="0"/>
          <w:marBottom w:val="0"/>
          <w:divBdr>
            <w:top w:val="none" w:sz="0" w:space="0" w:color="auto"/>
            <w:left w:val="none" w:sz="0" w:space="0" w:color="auto"/>
            <w:bottom w:val="none" w:sz="0" w:space="0" w:color="auto"/>
            <w:right w:val="none" w:sz="0" w:space="0" w:color="auto"/>
          </w:divBdr>
          <w:divsChild>
            <w:div w:id="1452433916">
              <w:marLeft w:val="0"/>
              <w:marRight w:val="0"/>
              <w:marTop w:val="0"/>
              <w:marBottom w:val="225"/>
              <w:divBdr>
                <w:top w:val="single" w:sz="12" w:space="0" w:color="AA332F"/>
                <w:left w:val="none" w:sz="0" w:space="0" w:color="auto"/>
                <w:bottom w:val="none" w:sz="0" w:space="0" w:color="auto"/>
                <w:right w:val="none" w:sz="0" w:space="0" w:color="auto"/>
              </w:divBdr>
            </w:div>
          </w:divsChild>
        </w:div>
        <w:div w:id="276715509">
          <w:marLeft w:val="0"/>
          <w:marRight w:val="0"/>
          <w:marTop w:val="600"/>
          <w:marBottom w:val="0"/>
          <w:divBdr>
            <w:top w:val="none" w:sz="0" w:space="0" w:color="auto"/>
            <w:left w:val="none" w:sz="0" w:space="0" w:color="auto"/>
            <w:bottom w:val="none" w:sz="0" w:space="0" w:color="auto"/>
            <w:right w:val="none" w:sz="0" w:space="0" w:color="auto"/>
          </w:divBdr>
          <w:divsChild>
            <w:div w:id="474958494">
              <w:marLeft w:val="0"/>
              <w:marRight w:val="0"/>
              <w:marTop w:val="0"/>
              <w:marBottom w:val="0"/>
              <w:divBdr>
                <w:top w:val="none" w:sz="0" w:space="0" w:color="auto"/>
                <w:left w:val="none" w:sz="0" w:space="0" w:color="auto"/>
                <w:bottom w:val="none" w:sz="0" w:space="0" w:color="auto"/>
                <w:right w:val="none" w:sz="0" w:space="0" w:color="auto"/>
              </w:divBdr>
            </w:div>
            <w:div w:id="534388381">
              <w:marLeft w:val="0"/>
              <w:marRight w:val="0"/>
              <w:marTop w:val="0"/>
              <w:marBottom w:val="0"/>
              <w:divBdr>
                <w:top w:val="none" w:sz="0" w:space="0" w:color="auto"/>
                <w:left w:val="none" w:sz="0" w:space="0" w:color="auto"/>
                <w:bottom w:val="none" w:sz="0" w:space="0" w:color="auto"/>
                <w:right w:val="none" w:sz="0" w:space="0" w:color="auto"/>
              </w:divBdr>
              <w:divsChild>
                <w:div w:id="1423180721">
                  <w:marLeft w:val="-450"/>
                  <w:marRight w:val="0"/>
                  <w:marTop w:val="0"/>
                  <w:marBottom w:val="450"/>
                  <w:divBdr>
                    <w:top w:val="none" w:sz="0" w:space="0" w:color="auto"/>
                    <w:left w:val="none" w:sz="0" w:space="0" w:color="auto"/>
                    <w:bottom w:val="none" w:sz="0" w:space="0" w:color="auto"/>
                    <w:right w:val="none" w:sz="0" w:space="0" w:color="auto"/>
                  </w:divBdr>
                  <w:divsChild>
                    <w:div w:id="1601989562">
                      <w:marLeft w:val="0"/>
                      <w:marRight w:val="0"/>
                      <w:marTop w:val="0"/>
                      <w:marBottom w:val="0"/>
                      <w:divBdr>
                        <w:top w:val="none" w:sz="0" w:space="0" w:color="auto"/>
                        <w:left w:val="none" w:sz="0" w:space="0" w:color="auto"/>
                        <w:bottom w:val="none" w:sz="0" w:space="0" w:color="auto"/>
                        <w:right w:val="none" w:sz="0" w:space="0" w:color="auto"/>
                      </w:divBdr>
                      <w:divsChild>
                        <w:div w:id="279148555">
                          <w:marLeft w:val="0"/>
                          <w:marRight w:val="0"/>
                          <w:marTop w:val="0"/>
                          <w:marBottom w:val="0"/>
                          <w:divBdr>
                            <w:top w:val="none" w:sz="0" w:space="0" w:color="auto"/>
                            <w:left w:val="none" w:sz="0" w:space="0" w:color="auto"/>
                            <w:bottom w:val="none" w:sz="0" w:space="0" w:color="auto"/>
                            <w:right w:val="none" w:sz="0" w:space="0" w:color="auto"/>
                          </w:divBdr>
                          <w:divsChild>
                            <w:div w:id="251202873">
                              <w:marLeft w:val="0"/>
                              <w:marRight w:val="0"/>
                              <w:marTop w:val="0"/>
                              <w:marBottom w:val="0"/>
                              <w:divBdr>
                                <w:top w:val="none" w:sz="0" w:space="0" w:color="auto"/>
                                <w:left w:val="none" w:sz="0" w:space="0" w:color="auto"/>
                                <w:bottom w:val="none" w:sz="0" w:space="0" w:color="auto"/>
                                <w:right w:val="none" w:sz="0" w:space="0" w:color="auto"/>
                              </w:divBdr>
                            </w:div>
                            <w:div w:id="14898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gfs.net/en/progress-report-implementation-sustainable-and-responsible-investment-practices-central-banks" TargetMode="External"/><Relationship Id="rId13" Type="http://schemas.openxmlformats.org/officeDocument/2006/relationships/hyperlink" Target="https://www.bis.org/bcbs/publ/d517.htm" TargetMode="External"/><Relationship Id="rId18" Type="http://schemas.openxmlformats.org/officeDocument/2006/relationships/hyperlink" Target="https://www.bis.org/bcbs/publ/d517.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is.org/bcbs/publ/d517.htm" TargetMode="External"/><Relationship Id="rId12" Type="http://schemas.openxmlformats.org/officeDocument/2006/relationships/hyperlink" Target="https://youtu.be/2OwSSGuv7pU" TargetMode="External"/><Relationship Id="rId17" Type="http://schemas.openxmlformats.org/officeDocument/2006/relationships/hyperlink" Target="https://www.cdp.net/en/research/global-reports/financial-services-disclosure-report-2020" TargetMode="External"/><Relationship Id="rId2" Type="http://schemas.openxmlformats.org/officeDocument/2006/relationships/styles" Target="styles.xml"/><Relationship Id="rId16" Type="http://schemas.openxmlformats.org/officeDocument/2006/relationships/hyperlink" Target="https://www.bis.org/bcbs/publ/d517.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gfs.net/sites/default/files/medias/documents/survey_on_monetary_policy_operations_and_climate_change.pdf" TargetMode="External"/><Relationship Id="rId11" Type="http://schemas.openxmlformats.org/officeDocument/2006/relationships/hyperlink" Target="https://www.bancaditalia.it/pubblicazioni/interventi-governatore/integov2021/Visco-7-maggio-2021.pdf" TargetMode="External"/><Relationship Id="rId5" Type="http://schemas.openxmlformats.org/officeDocument/2006/relationships/hyperlink" Target="https://www.bis.org/events/green_swan_2021/overview.htm" TargetMode="External"/><Relationship Id="rId15" Type="http://schemas.openxmlformats.org/officeDocument/2006/relationships/hyperlink" Target="https://www.afme.eu/publications/reports/details/ESG-Disclosure-Landscape-for-Banks-and-Capital-Markets-in-Europe" TargetMode="External"/><Relationship Id="rId10" Type="http://schemas.openxmlformats.org/officeDocument/2006/relationships/hyperlink" Target="https://www.techsprint2021.it/" TargetMode="External"/><Relationship Id="rId19" Type="http://schemas.openxmlformats.org/officeDocument/2006/relationships/hyperlink" Target="https://doi.org/10.1787/eb61fd29-en" TargetMode="External"/><Relationship Id="rId4" Type="http://schemas.openxmlformats.org/officeDocument/2006/relationships/webSettings" Target="webSettings.xml"/><Relationship Id="rId9" Type="http://schemas.openxmlformats.org/officeDocument/2006/relationships/hyperlink" Target="https://www.ngfs.net/en/adapting-central-bank-operations-hotter-world-reviewing-some-options" TargetMode="External"/><Relationship Id="rId14" Type="http://schemas.openxmlformats.org/officeDocument/2006/relationships/hyperlink" Target="https://www.ngfs.net/en/report-sustainable-finance-market-dynamic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2730</Words>
  <Characters>15017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9</cp:revision>
  <dcterms:created xsi:type="dcterms:W3CDTF">2022-01-19T03:28:00Z</dcterms:created>
  <dcterms:modified xsi:type="dcterms:W3CDTF">2022-02-17T20:04:00Z</dcterms:modified>
</cp:coreProperties>
</file>