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CA1D" w14:textId="51190FF4" w:rsidR="006B7B02" w:rsidRDefault="001952B3">
      <w:r>
        <w:t xml:space="preserve">BIS. </w:t>
      </w:r>
      <w:r w:rsidRPr="001952B3">
        <w:t>Finanzas verdes y política climática</w:t>
      </w:r>
    </w:p>
    <w:p w14:paraId="3110FBFF" w14:textId="77777777" w:rsidR="00F052D7" w:rsidRDefault="00F052D7"/>
    <w:p w14:paraId="651EDE22" w14:textId="77777777" w:rsidR="001952B3" w:rsidRPr="001952B3" w:rsidRDefault="001952B3" w:rsidP="001952B3">
      <w:pPr>
        <w:rPr>
          <w:b/>
          <w:bCs/>
        </w:rPr>
      </w:pPr>
      <w:r w:rsidRPr="001952B3">
        <w:rPr>
          <w:b/>
          <w:bCs/>
        </w:rPr>
        <w:t>Yi Gang: Finanzas verdes y política climática</w:t>
      </w:r>
    </w:p>
    <w:p w14:paraId="6C3CA48D" w14:textId="77777777" w:rsidR="001952B3" w:rsidRPr="001952B3" w:rsidRDefault="001952B3" w:rsidP="00327D90">
      <w:pPr>
        <w:jc w:val="both"/>
      </w:pPr>
      <w:r w:rsidRPr="001952B3">
        <w:t>Palabras de apertura del Sr. </w:t>
      </w:r>
      <w:hyperlink r:id="rId5" w:history="1">
        <w:r w:rsidRPr="001952B3">
          <w:rPr>
            <w:rStyle w:val="Hipervnculo"/>
          </w:rPr>
          <w:t>Yi Gang</w:t>
        </w:r>
      </w:hyperlink>
      <w:r w:rsidRPr="001952B3">
        <w:t>, Gobernador del Banco Popular de China, en un Seminario de Alto Nivel sobre "Finanzas Verdes y Política Climática", organizado conjuntamente por el Banco Popular de China y el Fondo Monetario Internacional, 15 de abril de 2021.</w:t>
      </w:r>
    </w:p>
    <w:p w14:paraId="22B57862" w14:textId="4985D40A" w:rsidR="001952B3" w:rsidRPr="001952B3" w:rsidRDefault="001952B3" w:rsidP="00327D90">
      <w:pPr>
        <w:jc w:val="both"/>
        <w:rPr>
          <w:b/>
          <w:bCs/>
        </w:rPr>
      </w:pPr>
      <w:r w:rsidRPr="001952B3">
        <w:rPr>
          <w:b/>
          <w:bCs/>
        </w:rPr>
        <w:t>Discurso del banco</w:t>
      </w:r>
      <w:r w:rsidRPr="001952B3">
        <w:t> central | </w:t>
      </w:r>
      <w:r w:rsidRPr="001952B3">
        <w:rPr>
          <w:b/>
          <w:bCs/>
        </w:rPr>
        <w:t>16 abril 2021</w:t>
      </w:r>
    </w:p>
    <w:p w14:paraId="26D80DF6" w14:textId="77777777" w:rsidR="001952B3" w:rsidRPr="001952B3" w:rsidRDefault="001952B3" w:rsidP="00327D90">
      <w:pPr>
        <w:jc w:val="both"/>
      </w:pPr>
      <w:r w:rsidRPr="001952B3">
        <w:t>por </w:t>
      </w:r>
      <w:hyperlink r:id="rId6" w:history="1">
        <w:r w:rsidRPr="001952B3">
          <w:rPr>
            <w:rStyle w:val="Hipervnculo"/>
          </w:rPr>
          <w:t>Yi Gang</w:t>
        </w:r>
      </w:hyperlink>
    </w:p>
    <w:p w14:paraId="7527B616" w14:textId="6416CA43" w:rsidR="001952B3" w:rsidRPr="001952B3" w:rsidRDefault="006A1940" w:rsidP="00327D90">
      <w:pPr>
        <w:jc w:val="both"/>
      </w:pPr>
      <w:hyperlink r:id="rId7" w:history="1">
        <w:proofErr w:type="spellStart"/>
        <w:r w:rsidR="001952B3" w:rsidRPr="001952B3">
          <w:rPr>
            <w:rStyle w:val="Hipervnculo"/>
            <w:b/>
            <w:bCs/>
          </w:rPr>
          <w:t>Pdf</w:t>
        </w:r>
        <w:proofErr w:type="spellEnd"/>
        <w:r w:rsidR="001952B3" w:rsidRPr="001952B3">
          <w:rPr>
            <w:rStyle w:val="Hipervnculo"/>
            <w:b/>
            <w:bCs/>
          </w:rPr>
          <w:t> texto completo</w:t>
        </w:r>
        <w:r w:rsidR="001952B3" w:rsidRPr="001952B3">
          <w:rPr>
            <w:rStyle w:val="Hipervnculo"/>
          </w:rPr>
          <w:t> (29kb)</w:t>
        </w:r>
        <w:r w:rsidR="00F052D7">
          <w:rPr>
            <w:rStyle w:val="Hipervnculo"/>
          </w:rPr>
          <w:t xml:space="preserve"> </w:t>
        </w:r>
      </w:hyperlink>
      <w:r w:rsidR="001952B3" w:rsidRPr="001952B3">
        <w:t>  |  2 páginas</w:t>
      </w:r>
    </w:p>
    <w:p w14:paraId="0F815704" w14:textId="523E9C63" w:rsidR="001952B3" w:rsidRPr="001952B3" w:rsidRDefault="001952B3" w:rsidP="00327D90">
      <w:pPr>
        <w:jc w:val="both"/>
      </w:pPr>
      <w:r w:rsidRPr="001952B3">
        <w:t xml:space="preserve">Señora </w:t>
      </w:r>
      <w:r w:rsidR="00166D44" w:rsidRPr="001952B3">
        <w:t>directora</w:t>
      </w:r>
      <w:r w:rsidRPr="001952B3">
        <w:t xml:space="preserve"> Gerente, Damas y Caballeros,</w:t>
      </w:r>
    </w:p>
    <w:p w14:paraId="6FF3F304" w14:textId="77777777" w:rsidR="001952B3" w:rsidRPr="001952B3" w:rsidRDefault="001952B3" w:rsidP="00327D90">
      <w:pPr>
        <w:jc w:val="both"/>
      </w:pPr>
      <w:r w:rsidRPr="001952B3">
        <w:t>Buenos días y buenas noches. Es para mí un gran placer ser coanfitrión de este seminario de alto nivel sobre "Finanzas verdes y política climática" con el FMI. Deseo comenzar dando una cálida bienvenida a todos los participantes en nombre del PBC.</w:t>
      </w:r>
    </w:p>
    <w:p w14:paraId="7CBED3FD" w14:textId="77777777" w:rsidR="001952B3" w:rsidRPr="001952B3" w:rsidRDefault="001952B3" w:rsidP="00327D90">
      <w:pPr>
        <w:jc w:val="both"/>
      </w:pPr>
      <w:r w:rsidRPr="001952B3">
        <w:t>La comunidad internacional está formando un amplio consenso sobre la lucha contra el cambio climático. China ha anunciado el objetivo de alcanzar el pico de emisiones de carbono para 2030 y lograr la neutralidad de carbono para 2060, también conocido como el objetivo 30/60. Esto requiere una transición económica integral, y las finanzas verdes pueden ser un acelerador en este proceso.</w:t>
      </w:r>
    </w:p>
    <w:p w14:paraId="3FD794B6" w14:textId="77777777" w:rsidR="001952B3" w:rsidRPr="001952B3" w:rsidRDefault="001952B3" w:rsidP="00327D90">
      <w:pPr>
        <w:jc w:val="both"/>
      </w:pPr>
      <w:r w:rsidRPr="001952B3">
        <w:t>El PBC concede gran importancia a las finanzas verdes. En 2016, lideramos el esfuerzo en la redacción de la Guía para la construcción de un sistema financiero verde y desarrollamos un calendario específico y una hoja de ruta para este propósito. Al asegurarnos de que todas las políticas se aplican, hemos establecido un marco político inicial para las finanzas verdes. Como resultado, el mercado de finanzas verdes de China ha disfrutado desde entonces de un rápido desarrollo. A finales de 2020, los préstamos verdes y los bonos verdes en China totalizaron 1,8 billones de dólares estadounidenses y 125 mil millones de dólares estadounidenses, respectivamente, clasificándose como los más grandes y los segundos más grandes del mundo. Se han emitido más de 40 bonos neutros en carbono, con un volumen total de más de 10 mil millones de dólares estadounidenses.</w:t>
      </w:r>
    </w:p>
    <w:p w14:paraId="4C70D113" w14:textId="77777777" w:rsidR="001952B3" w:rsidRPr="001952B3" w:rsidRDefault="001952B3" w:rsidP="00327D90">
      <w:pPr>
        <w:jc w:val="both"/>
      </w:pPr>
      <w:r w:rsidRPr="001952B3">
        <w:t>El objetivo 30/60 ha establecido un listón más alto para el sector financiero. Para alcanzar este objetivo, necesitamos superar una serie de desafíos.</w:t>
      </w:r>
    </w:p>
    <w:p w14:paraId="1F11A045" w14:textId="77777777" w:rsidR="001952B3" w:rsidRPr="001952B3" w:rsidRDefault="001952B3" w:rsidP="00327D90">
      <w:pPr>
        <w:jc w:val="both"/>
      </w:pPr>
      <w:r w:rsidRPr="001952B3">
        <w:rPr>
          <w:b/>
          <w:bCs/>
        </w:rPr>
        <w:t>En primer lugar,</w:t>
      </w:r>
      <w:r w:rsidRPr="001952B3">
        <w:t> en el frente de la sociedad, hay que aumentar la conciencia pública sobre la reducción de las emisiones.</w:t>
      </w:r>
    </w:p>
    <w:p w14:paraId="023E2CCB" w14:textId="77777777" w:rsidR="001952B3" w:rsidRPr="001952B3" w:rsidRDefault="001952B3" w:rsidP="00327D90">
      <w:pPr>
        <w:jc w:val="both"/>
      </w:pPr>
      <w:r w:rsidRPr="001952B3">
        <w:rPr>
          <w:b/>
          <w:bCs/>
        </w:rPr>
        <w:t>En segundo lugar, </w:t>
      </w:r>
      <w:r w:rsidRPr="001952B3">
        <w:t>en el frente del mercado, el mercado de carbono tiene que desempeñar un papel más importante en el descubrimiento de precios. Solo cuando se fija el precio de las emisiones de carbono, podemos lograr una asignación efectiva de recursos. El mercado de carbono de China aún se encuentra en su etapa inicial, y su naturaleza financiera debe aclararse aún más.</w:t>
      </w:r>
    </w:p>
    <w:p w14:paraId="2649244A" w14:textId="77777777" w:rsidR="001952B3" w:rsidRPr="001952B3" w:rsidRDefault="001952B3" w:rsidP="00327D90">
      <w:pPr>
        <w:jc w:val="both"/>
      </w:pPr>
      <w:r w:rsidRPr="001952B3">
        <w:rPr>
          <w:b/>
          <w:bCs/>
        </w:rPr>
        <w:t>En tercer lugar, </w:t>
      </w:r>
      <w:r w:rsidRPr="001952B3">
        <w:t xml:space="preserve">en el frente institucional, es necesario mejorar la divulgación de información climática. La divulgación debe ampliarse para abarcar a las empresas que cotizan en bolsa, las </w:t>
      </w:r>
      <w:r w:rsidRPr="001952B3">
        <w:lastRenderedPageBreak/>
        <w:t>instituciones financieras y otros agentes del mercado, y pasar de una base voluntaria a una obligatoria.</w:t>
      </w:r>
    </w:p>
    <w:p w14:paraId="5F01FBBB" w14:textId="77777777" w:rsidR="001952B3" w:rsidRPr="001952B3" w:rsidRDefault="001952B3" w:rsidP="00327D90">
      <w:pPr>
        <w:jc w:val="both"/>
      </w:pPr>
      <w:r w:rsidRPr="001952B3">
        <w:rPr>
          <w:b/>
          <w:bCs/>
        </w:rPr>
        <w:t>Cuarto, </w:t>
      </w:r>
      <w:r w:rsidRPr="001952B3">
        <w:t>en el frente de la gestión de riesgos, debe prestarse mayor atención a los riesgos de transición relacionados con los combustibles fósiles. Los combustibles fósiles, principalmente el carbón, representan el 80% del consumo de energía de China. Para 2060, se espera que esta proporción caiga por debajo del 20%. Las instituciones financieras de China han invertido fuertemente en activos intensivos en carbono, y el riesgo de ajuste de los precios de los activos causado por la transición verde debe ser monitoreado de cerca.</w:t>
      </w:r>
    </w:p>
    <w:p w14:paraId="6A232566" w14:textId="77777777" w:rsidR="001952B3" w:rsidRPr="001952B3" w:rsidRDefault="001952B3" w:rsidP="00327D90">
      <w:pPr>
        <w:jc w:val="both"/>
      </w:pPr>
      <w:r w:rsidRPr="001952B3">
        <w:t>Señoras y señores, amigos,</w:t>
      </w:r>
    </w:p>
    <w:p w14:paraId="615EAC8B" w14:textId="77777777" w:rsidR="001952B3" w:rsidRPr="001952B3" w:rsidRDefault="001952B3" w:rsidP="00327D90">
      <w:pPr>
        <w:jc w:val="both"/>
      </w:pPr>
      <w:r w:rsidRPr="001952B3">
        <w:t>De cara al futuro, creo que tenemos que avanzar en las siguientes esferas.</w:t>
      </w:r>
    </w:p>
    <w:p w14:paraId="080E3F52" w14:textId="77777777" w:rsidR="001952B3" w:rsidRPr="001952B3" w:rsidRDefault="001952B3" w:rsidP="00327D90">
      <w:pPr>
        <w:jc w:val="both"/>
      </w:pPr>
      <w:r w:rsidRPr="001952B3">
        <w:rPr>
          <w:b/>
          <w:bCs/>
        </w:rPr>
        <w:t>En primer lugar, </w:t>
      </w:r>
      <w:r w:rsidRPr="001952B3">
        <w:t>debemos movilizar fondos públicos y privados para apoyar la economía verde en consonancia con los principios del mercado. Se estima que para 2030, China necesitará invertir 2,2 billones de yuanes por año para reducir las emisiones de carbono, y esta cantidad crecerá aún más a 3,9 billones de yuanes de 2030 a 2060. La financiación del gobierno por sí sola está lejos de ser suficiente. Necesitamos fomentar una mayor participación del capital privado. Para ello, tenemos que sentar las bases en dos frentes.</w:t>
      </w:r>
    </w:p>
    <w:p w14:paraId="259FD2B4" w14:textId="77777777" w:rsidR="001952B3" w:rsidRPr="001952B3" w:rsidRDefault="001952B3" w:rsidP="00327D90">
      <w:pPr>
        <w:jc w:val="both"/>
      </w:pPr>
      <w:r w:rsidRPr="001952B3">
        <w:t>Uno es sobre la divulgación de información. El PBC tiene previsto establecer un sistema de divulgación obligatoria con normas uniformes y promover un mayor intercambio de información entre las instituciones financieras y las empresas. También fortaleceremos la coordinación internacional en el marco del G20. El otro es sobre la taxonomía de las finanzas verdes. El PBC está a punto de terminar de revisar el catálogo de bonos verdes mediante la eliminación de proyectos de combustibles fósiles. También estamos trabajando con contrapartes internacionales para armonizar las taxonomías.</w:t>
      </w:r>
    </w:p>
    <w:p w14:paraId="7F6319C8" w14:textId="77777777" w:rsidR="001952B3" w:rsidRPr="001952B3" w:rsidRDefault="001952B3" w:rsidP="00327D90">
      <w:pPr>
        <w:jc w:val="both"/>
      </w:pPr>
      <w:r w:rsidRPr="001952B3">
        <w:t>Los bancos centrales tienen un papel que desempeñar en la provisión de incentivos de política. El PBC planea lanzar un conjunto de herramientas de apoyo para proporcionar fondos de bajo costo para la reducción de las emisiones de carbono. El PBC también apoyará las finanzas verdes a través de una serie de medidas que van desde calificaciones crediticias comerciales, tasas de seguro de depósitos hasta garantías para operaciones de mercado abierto.</w:t>
      </w:r>
    </w:p>
    <w:p w14:paraId="17E0F80F" w14:textId="77777777" w:rsidR="001952B3" w:rsidRPr="001952B3" w:rsidRDefault="001952B3" w:rsidP="00327D90">
      <w:pPr>
        <w:jc w:val="both"/>
      </w:pPr>
      <w:r w:rsidRPr="001952B3">
        <w:rPr>
          <w:b/>
          <w:bCs/>
        </w:rPr>
        <w:t>En segundo lugar,</w:t>
      </w:r>
      <w:r w:rsidRPr="001952B3">
        <w:t> debemos evaluar el impacto potencial del cambio climático en la estabilidad financiera. Tomará 70 años para que la UE, 45 años para los Estados Unidos y unos 30 años para que China pase del pico de carbono al cero neto. El tiempo es más corto y la curva es mucho más pronunciada para China. Significa que nuestras instituciones financieras se enfrentan a graves riesgos y deben comenzar su transición ecológica de inmediato.</w:t>
      </w:r>
    </w:p>
    <w:p w14:paraId="2C99083B" w14:textId="2F59AF51" w:rsidR="001952B3" w:rsidRPr="001952B3" w:rsidRDefault="001952B3" w:rsidP="00327D90">
      <w:pPr>
        <w:jc w:val="both"/>
      </w:pPr>
      <w:r w:rsidRPr="001952B3">
        <w:t xml:space="preserve">El PBC está estudiando la posibilidad de incluir factores climáticos en las pruebas de resistencia financiera e incorporar gradualmente los riesgos climáticos en el marco de política </w:t>
      </w:r>
      <w:r w:rsidR="00F052D7" w:rsidRPr="001952B3">
        <w:t>macro prudencial</w:t>
      </w:r>
      <w:r w:rsidRPr="001952B3">
        <w:t>. El PBC está revisando trimestralmente el desempeño de los préstamos verdes y los bonos verdes de las instituciones financieras. Se alienta a las instituciones financieras a evaluar y gestionar sus riesgos ambientales y climáticos.</w:t>
      </w:r>
    </w:p>
    <w:p w14:paraId="05DD7C6E" w14:textId="77777777" w:rsidR="001952B3" w:rsidRPr="001952B3" w:rsidRDefault="001952B3" w:rsidP="00327D90">
      <w:pPr>
        <w:jc w:val="both"/>
      </w:pPr>
      <w:r w:rsidRPr="001952B3">
        <w:rPr>
          <w:b/>
          <w:bCs/>
        </w:rPr>
        <w:lastRenderedPageBreak/>
        <w:t>En tercer lugar, </w:t>
      </w:r>
      <w:r w:rsidRPr="001952B3">
        <w:t>debemos dejar que el mercado del carbono desempeñe su papel de descubrimiento de precios. El sistema nacional de comercio de derechos de emisión de China estará en funcionamiento a finales de este mes de junio. Los reguladores están solicitando opiniones sobre sus reglas operativas. Estas normas sugieren que habrá menos cuotas de emisión que se asignan libremente a los contaminadores anteriormente, y los reguladores financieros deberían participar en la supervisión del mercado de carbono. El mercado del carbono debe ser de naturaleza financiera y permitir el comercio de derivados financieros de carbono. Esto asegurará que todos los riesgos estén totalmente valorados para que el precio del carbono desempeñe un mejor papel al servir como incentivo o como restricción.</w:t>
      </w:r>
    </w:p>
    <w:p w14:paraId="1CFB35E5" w14:textId="77777777" w:rsidR="001952B3" w:rsidRPr="001952B3" w:rsidRDefault="001952B3" w:rsidP="00327D90">
      <w:pPr>
        <w:jc w:val="both"/>
      </w:pPr>
      <w:r w:rsidRPr="001952B3">
        <w:t>La coordinación internacional es muy importante si queremos tener éxito en los compromisos mencionados. El Fondo desempeña un papel singular a este respecto. El FMI planea integrar el cambio climático en su supervisión e incluir el análisis de escenarios de riesgo climático en su evaluación del sector financiero. También está liderando los esfuerzos para cerrar las brechas de datos en el marco de la Red para la Ecologización del Sistema Financiero (NGFS). Apoyamos todos estos esfuerzos y esperamos con interés más resultados de investigación y asesoramiento sobre políticas del Fondo.</w:t>
      </w:r>
    </w:p>
    <w:p w14:paraId="6C4F52ED" w14:textId="77777777" w:rsidR="001952B3" w:rsidRPr="001952B3" w:rsidRDefault="001952B3" w:rsidP="00327D90">
      <w:pPr>
        <w:jc w:val="both"/>
      </w:pPr>
      <w:r w:rsidRPr="001952B3">
        <w:t>Estamos dispuestos a fortalecer la cooperación en materia de creación de capacidad con el Fondo. El PBC ha proporcionado intercambio de experiencias a los países en desarrollo en la redacción de taxonomía ecológica. El Fondo también concede gran valor a la creación de capacidad. Podríamos ofrecer programas conjuntos de capacitación en gestión del riesgo climático a través del Centro de Desarrollo de Capacidades China-FMI.</w:t>
      </w:r>
    </w:p>
    <w:p w14:paraId="3A2D4BE7" w14:textId="77777777" w:rsidR="001952B3" w:rsidRPr="001952B3" w:rsidRDefault="001952B3" w:rsidP="00327D90">
      <w:pPr>
        <w:jc w:val="both"/>
      </w:pPr>
      <w:r w:rsidRPr="001952B3">
        <w:t>En pocas palabras, los bancos centrales podrían contribuir al objetivo de cero emisiones netas de muchas maneras, como el desarrollo de un sistema de políticas sólido, un sistema de mercado diversificado y la mejora de la coordinación internacional. Todavía queda mucho por hacer y el seminario de hoy es solo el comienzo. Espero con interés trabajar con todos ustedes para producir más entregables. Gracias.</w:t>
      </w:r>
    </w:p>
    <w:p w14:paraId="20461C23" w14:textId="77777777" w:rsidR="001952B3" w:rsidRPr="001952B3" w:rsidRDefault="001952B3" w:rsidP="001952B3">
      <w:pPr>
        <w:rPr>
          <w:b/>
          <w:bCs/>
        </w:rPr>
      </w:pPr>
      <w:r w:rsidRPr="001952B3">
        <w:rPr>
          <w:b/>
          <w:bCs/>
        </w:rPr>
        <w:t>Información relacionada</w:t>
      </w:r>
    </w:p>
    <w:p w14:paraId="3CB22E13" w14:textId="77777777" w:rsidR="001952B3" w:rsidRPr="001952B3" w:rsidRDefault="006A1940" w:rsidP="00327D90">
      <w:pPr>
        <w:numPr>
          <w:ilvl w:val="0"/>
          <w:numId w:val="1"/>
        </w:numPr>
        <w:spacing w:after="0"/>
      </w:pPr>
      <w:hyperlink r:id="rId8" w:history="1">
        <w:r w:rsidR="001952B3" w:rsidRPr="001952B3">
          <w:rPr>
            <w:rStyle w:val="Hipervnculo"/>
          </w:rPr>
          <w:t>Más discursos de "El Banco Popular de China"</w:t>
        </w:r>
      </w:hyperlink>
    </w:p>
    <w:p w14:paraId="1A9E740F" w14:textId="77777777" w:rsidR="001952B3" w:rsidRPr="001952B3" w:rsidRDefault="006A1940" w:rsidP="001952B3">
      <w:pPr>
        <w:numPr>
          <w:ilvl w:val="0"/>
          <w:numId w:val="1"/>
        </w:numPr>
      </w:pPr>
      <w:hyperlink r:id="rId9" w:history="1">
        <w:r w:rsidR="001952B3" w:rsidRPr="001952B3">
          <w:rPr>
            <w:rStyle w:val="Hipervnculo"/>
          </w:rPr>
          <w:t>Página del país: China</w:t>
        </w:r>
      </w:hyperlink>
    </w:p>
    <w:p w14:paraId="76C41537" w14:textId="77777777" w:rsidR="001952B3" w:rsidRDefault="001952B3"/>
    <w:sectPr w:rsidR="001952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D00CA"/>
    <w:multiLevelType w:val="multilevel"/>
    <w:tmpl w:val="0DC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63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B3"/>
    <w:rsid w:val="00166D44"/>
    <w:rsid w:val="001952B3"/>
    <w:rsid w:val="00327D90"/>
    <w:rsid w:val="006A1940"/>
    <w:rsid w:val="006B7B02"/>
    <w:rsid w:val="008A4749"/>
    <w:rsid w:val="00F05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834C"/>
  <w15:chartTrackingRefBased/>
  <w15:docId w15:val="{24BA515F-D6B2-40AD-B1BA-B26D16F7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52B3"/>
    <w:rPr>
      <w:color w:val="0563C1" w:themeColor="hyperlink"/>
      <w:u w:val="single"/>
    </w:rPr>
  </w:style>
  <w:style w:type="character" w:styleId="Mencinsinresolver">
    <w:name w:val="Unresolved Mention"/>
    <w:basedOn w:val="Fuentedeprrafopredeter"/>
    <w:uiPriority w:val="99"/>
    <w:semiHidden/>
    <w:unhideWhenUsed/>
    <w:rsid w:val="001952B3"/>
    <w:rPr>
      <w:color w:val="605E5C"/>
      <w:shd w:val="clear" w:color="auto" w:fill="E1DFDD"/>
    </w:rPr>
  </w:style>
  <w:style w:type="character" w:styleId="Hipervnculovisitado">
    <w:name w:val="FollowedHyperlink"/>
    <w:basedOn w:val="Fuentedeprrafopredeter"/>
    <w:uiPriority w:val="99"/>
    <w:semiHidden/>
    <w:unhideWhenUsed/>
    <w:rsid w:val="00F05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1807">
      <w:bodyDiv w:val="1"/>
      <w:marLeft w:val="0"/>
      <w:marRight w:val="0"/>
      <w:marTop w:val="0"/>
      <w:marBottom w:val="0"/>
      <w:divBdr>
        <w:top w:val="none" w:sz="0" w:space="0" w:color="auto"/>
        <w:left w:val="none" w:sz="0" w:space="0" w:color="auto"/>
        <w:bottom w:val="none" w:sz="0" w:space="0" w:color="auto"/>
        <w:right w:val="none" w:sz="0" w:space="0" w:color="auto"/>
      </w:divBdr>
      <w:divsChild>
        <w:div w:id="1314484370">
          <w:marLeft w:val="0"/>
          <w:marRight w:val="0"/>
          <w:marTop w:val="0"/>
          <w:marBottom w:val="0"/>
          <w:divBdr>
            <w:top w:val="none" w:sz="0" w:space="0" w:color="auto"/>
            <w:left w:val="none" w:sz="0" w:space="0" w:color="auto"/>
            <w:bottom w:val="none" w:sz="0" w:space="0" w:color="auto"/>
            <w:right w:val="none" w:sz="0" w:space="0" w:color="auto"/>
          </w:divBdr>
        </w:div>
        <w:div w:id="753093664">
          <w:marLeft w:val="0"/>
          <w:marRight w:val="0"/>
          <w:marTop w:val="0"/>
          <w:marBottom w:val="0"/>
          <w:divBdr>
            <w:top w:val="single" w:sz="18" w:space="15" w:color="AA332F"/>
            <w:left w:val="none" w:sz="0" w:space="0" w:color="auto"/>
            <w:bottom w:val="none" w:sz="0" w:space="0" w:color="auto"/>
            <w:right w:val="none" w:sz="0" w:space="0" w:color="auto"/>
          </w:divBdr>
          <w:divsChild>
            <w:div w:id="636181148">
              <w:marLeft w:val="0"/>
              <w:marRight w:val="0"/>
              <w:marTop w:val="0"/>
              <w:marBottom w:val="0"/>
              <w:divBdr>
                <w:top w:val="none" w:sz="0" w:space="0" w:color="auto"/>
                <w:left w:val="none" w:sz="0" w:space="0" w:color="auto"/>
                <w:bottom w:val="none" w:sz="0" w:space="0" w:color="auto"/>
                <w:right w:val="none" w:sz="0" w:space="0" w:color="auto"/>
              </w:divBdr>
              <w:divsChild>
                <w:div w:id="1270818240">
                  <w:marLeft w:val="0"/>
                  <w:marRight w:val="0"/>
                  <w:marTop w:val="0"/>
                  <w:marBottom w:val="0"/>
                  <w:divBdr>
                    <w:top w:val="none" w:sz="0" w:space="0" w:color="auto"/>
                    <w:left w:val="none" w:sz="0" w:space="0" w:color="auto"/>
                    <w:bottom w:val="none" w:sz="0" w:space="0" w:color="auto"/>
                    <w:right w:val="none" w:sz="0" w:space="0" w:color="auto"/>
                  </w:divBdr>
                  <w:divsChild>
                    <w:div w:id="1169368465">
                      <w:marLeft w:val="0"/>
                      <w:marRight w:val="0"/>
                      <w:marTop w:val="0"/>
                      <w:marBottom w:val="0"/>
                      <w:divBdr>
                        <w:top w:val="none" w:sz="0" w:space="0" w:color="auto"/>
                        <w:left w:val="none" w:sz="0" w:space="0" w:color="auto"/>
                        <w:bottom w:val="none" w:sz="0" w:space="0" w:color="auto"/>
                        <w:right w:val="none" w:sz="0" w:space="0" w:color="auto"/>
                      </w:divBdr>
                    </w:div>
                  </w:divsChild>
                </w:div>
                <w:div w:id="627663144">
                  <w:marLeft w:val="0"/>
                  <w:marRight w:val="0"/>
                  <w:marTop w:val="0"/>
                  <w:marBottom w:val="0"/>
                  <w:divBdr>
                    <w:top w:val="none" w:sz="0" w:space="0" w:color="auto"/>
                    <w:left w:val="none" w:sz="0" w:space="0" w:color="auto"/>
                    <w:bottom w:val="none" w:sz="0" w:space="0" w:color="auto"/>
                    <w:right w:val="none" w:sz="0" w:space="0" w:color="auto"/>
                  </w:divBdr>
                  <w:divsChild>
                    <w:div w:id="947811307">
                      <w:marLeft w:val="0"/>
                      <w:marRight w:val="0"/>
                      <w:marTop w:val="0"/>
                      <w:marBottom w:val="0"/>
                      <w:divBdr>
                        <w:top w:val="none" w:sz="0" w:space="0" w:color="auto"/>
                        <w:left w:val="none" w:sz="0" w:space="0" w:color="auto"/>
                        <w:bottom w:val="none" w:sz="0" w:space="0" w:color="auto"/>
                        <w:right w:val="none" w:sz="0" w:space="0" w:color="auto"/>
                      </w:divBdr>
                    </w:div>
                  </w:divsChild>
                </w:div>
                <w:div w:id="2047096553">
                  <w:marLeft w:val="0"/>
                  <w:marRight w:val="0"/>
                  <w:marTop w:val="0"/>
                  <w:marBottom w:val="0"/>
                  <w:divBdr>
                    <w:top w:val="none" w:sz="0" w:space="0" w:color="auto"/>
                    <w:left w:val="none" w:sz="0" w:space="0" w:color="auto"/>
                    <w:bottom w:val="none" w:sz="0" w:space="0" w:color="auto"/>
                    <w:right w:val="none" w:sz="0" w:space="0" w:color="auto"/>
                  </w:divBdr>
                  <w:divsChild>
                    <w:div w:id="1856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411">
          <w:marLeft w:val="0"/>
          <w:marRight w:val="0"/>
          <w:marTop w:val="0"/>
          <w:marBottom w:val="0"/>
          <w:divBdr>
            <w:top w:val="none" w:sz="0" w:space="0" w:color="auto"/>
            <w:left w:val="none" w:sz="0" w:space="0" w:color="auto"/>
            <w:bottom w:val="none" w:sz="0" w:space="0" w:color="auto"/>
            <w:right w:val="none" w:sz="0" w:space="0" w:color="auto"/>
          </w:divBdr>
        </w:div>
        <w:div w:id="2079941011">
          <w:marLeft w:val="0"/>
          <w:marRight w:val="0"/>
          <w:marTop w:val="600"/>
          <w:marBottom w:val="0"/>
          <w:divBdr>
            <w:top w:val="none" w:sz="0" w:space="0" w:color="auto"/>
            <w:left w:val="none" w:sz="0" w:space="0" w:color="auto"/>
            <w:bottom w:val="none" w:sz="0" w:space="0" w:color="auto"/>
            <w:right w:val="none" w:sz="0" w:space="0" w:color="auto"/>
          </w:divBdr>
          <w:divsChild>
            <w:div w:id="421950557">
              <w:marLeft w:val="0"/>
              <w:marRight w:val="0"/>
              <w:marTop w:val="0"/>
              <w:marBottom w:val="0"/>
              <w:divBdr>
                <w:top w:val="none" w:sz="0" w:space="0" w:color="auto"/>
                <w:left w:val="none" w:sz="0" w:space="0" w:color="auto"/>
                <w:bottom w:val="none" w:sz="0" w:space="0" w:color="auto"/>
                <w:right w:val="none" w:sz="0" w:space="0" w:color="auto"/>
              </w:divBdr>
            </w:div>
            <w:div w:id="106655922">
              <w:marLeft w:val="0"/>
              <w:marRight w:val="0"/>
              <w:marTop w:val="0"/>
              <w:marBottom w:val="0"/>
              <w:divBdr>
                <w:top w:val="none" w:sz="0" w:space="0" w:color="auto"/>
                <w:left w:val="none" w:sz="0" w:space="0" w:color="auto"/>
                <w:bottom w:val="none" w:sz="0" w:space="0" w:color="auto"/>
                <w:right w:val="none" w:sz="0" w:space="0" w:color="auto"/>
              </w:divBdr>
              <w:divsChild>
                <w:div w:id="240263534">
                  <w:marLeft w:val="-450"/>
                  <w:marRight w:val="0"/>
                  <w:marTop w:val="0"/>
                  <w:marBottom w:val="450"/>
                  <w:divBdr>
                    <w:top w:val="none" w:sz="0" w:space="0" w:color="auto"/>
                    <w:left w:val="none" w:sz="0" w:space="0" w:color="auto"/>
                    <w:bottom w:val="none" w:sz="0" w:space="0" w:color="auto"/>
                    <w:right w:val="none" w:sz="0" w:space="0" w:color="auto"/>
                  </w:divBdr>
                  <w:divsChild>
                    <w:div w:id="227769523">
                      <w:marLeft w:val="0"/>
                      <w:marRight w:val="0"/>
                      <w:marTop w:val="0"/>
                      <w:marBottom w:val="0"/>
                      <w:divBdr>
                        <w:top w:val="none" w:sz="0" w:space="0" w:color="auto"/>
                        <w:left w:val="none" w:sz="0" w:space="0" w:color="auto"/>
                        <w:bottom w:val="none" w:sz="0" w:space="0" w:color="auto"/>
                        <w:right w:val="none" w:sz="0" w:space="0" w:color="auto"/>
                      </w:divBdr>
                      <w:divsChild>
                        <w:div w:id="1547987158">
                          <w:marLeft w:val="0"/>
                          <w:marRight w:val="0"/>
                          <w:marTop w:val="0"/>
                          <w:marBottom w:val="0"/>
                          <w:divBdr>
                            <w:top w:val="none" w:sz="0" w:space="0" w:color="auto"/>
                            <w:left w:val="none" w:sz="0" w:space="0" w:color="auto"/>
                            <w:bottom w:val="none" w:sz="0" w:space="0" w:color="auto"/>
                            <w:right w:val="none" w:sz="0" w:space="0" w:color="auto"/>
                          </w:divBdr>
                          <w:divsChild>
                            <w:div w:id="1845238380">
                              <w:marLeft w:val="0"/>
                              <w:marRight w:val="0"/>
                              <w:marTop w:val="0"/>
                              <w:marBottom w:val="0"/>
                              <w:divBdr>
                                <w:top w:val="none" w:sz="0" w:space="0" w:color="auto"/>
                                <w:left w:val="none" w:sz="0" w:space="0" w:color="auto"/>
                                <w:bottom w:val="none" w:sz="0" w:space="0" w:color="auto"/>
                                <w:right w:val="none" w:sz="0" w:space="0" w:color="auto"/>
                              </w:divBdr>
                            </w:div>
                            <w:div w:id="5816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63823">
          <w:marLeft w:val="0"/>
          <w:marRight w:val="0"/>
          <w:marTop w:val="750"/>
          <w:marBottom w:val="0"/>
          <w:divBdr>
            <w:top w:val="single" w:sz="12" w:space="30" w:color="AA332F"/>
            <w:left w:val="none" w:sz="0" w:space="0" w:color="auto"/>
            <w:bottom w:val="none" w:sz="0" w:space="0" w:color="auto"/>
            <w:right w:val="none" w:sz="0" w:space="0" w:color="auto"/>
          </w:divBdr>
          <w:divsChild>
            <w:div w:id="41559492">
              <w:marLeft w:val="0"/>
              <w:marRight w:val="0"/>
              <w:marTop w:val="0"/>
              <w:marBottom w:val="0"/>
              <w:divBdr>
                <w:top w:val="none" w:sz="0" w:space="0" w:color="auto"/>
                <w:left w:val="none" w:sz="0" w:space="0" w:color="auto"/>
                <w:bottom w:val="none" w:sz="0" w:space="0" w:color="auto"/>
                <w:right w:val="none" w:sz="0" w:space="0" w:color="auto"/>
              </w:divBdr>
              <w:divsChild>
                <w:div w:id="15259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bspeeches/index.htm?cbspeeches_institutions=43" TargetMode="External"/><Relationship Id="rId3" Type="http://schemas.openxmlformats.org/officeDocument/2006/relationships/settings" Target="settings.xml"/><Relationship Id="rId7" Type="http://schemas.openxmlformats.org/officeDocument/2006/relationships/hyperlink" Target="https://www.bis.org/review/r210416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yi_gang.htm" TargetMode="External"/><Relationship Id="rId11" Type="http://schemas.openxmlformats.org/officeDocument/2006/relationships/theme" Target="theme/theme1.xml"/><Relationship Id="rId5" Type="http://schemas.openxmlformats.org/officeDocument/2006/relationships/hyperlink" Target="https://www.bis.org/author/yi_ga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s.org/country/C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1326</Words>
  <Characters>7299</Characters>
  <Application>Microsoft Office Word</Application>
  <DocSecurity>0</DocSecurity>
  <Lines>60</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2022-02-19T01:27:00Z</dcterms:created>
  <dcterms:modified xsi:type="dcterms:W3CDTF">2022-07-20T01:36:00Z</dcterms:modified>
</cp:coreProperties>
</file>