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C028" w14:textId="77777777" w:rsidR="00A97AF8" w:rsidRPr="0015498B" w:rsidRDefault="00A97AF8" w:rsidP="00A97AF8">
      <w:pPr>
        <w:rPr>
          <w:b/>
          <w:bCs/>
          <w:color w:val="525252" w:themeColor="accent3" w:themeShade="80"/>
        </w:rPr>
      </w:pPr>
      <w:r w:rsidRPr="0015498B">
        <w:rPr>
          <w:b/>
          <w:bCs/>
          <w:color w:val="525252" w:themeColor="accent3" w:themeShade="80"/>
        </w:rPr>
        <w:t>Tres nuevas reglas de calidad de datos para declarantes US GAAP de XBRL US DQC</w:t>
      </w:r>
    </w:p>
    <w:p w14:paraId="09C5BFE0" w14:textId="77777777" w:rsidR="00A97AF8" w:rsidRPr="00A97AF8" w:rsidRDefault="00A97AF8" w:rsidP="00A97AF8"/>
    <w:p w14:paraId="00E22201" w14:textId="64D5CDA6" w:rsidR="00A97AF8" w:rsidRPr="00A97AF8" w:rsidRDefault="00A97AF8" w:rsidP="00A97AF8">
      <w:r w:rsidRPr="00A97AF8">
        <w:rPr>
          <w:noProof/>
        </w:rPr>
        <w:drawing>
          <wp:inline distT="0" distB="0" distL="0" distR="0" wp14:anchorId="793F3A43" wp14:editId="09AB0ED5">
            <wp:extent cx="2247900" cy="525780"/>
            <wp:effectExtent l="0" t="0" r="0" b="7620"/>
            <wp:docPr id="2" name="Imagen 2" descr="XBRL Españ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spañ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1FBD57B3" w14:textId="0AD5C1A7" w:rsidR="00A97AF8" w:rsidRPr="00A97AF8" w:rsidRDefault="00A97AF8" w:rsidP="00A97AF8">
      <w:r w:rsidRPr="00A97AF8">
        <w:rPr>
          <w:noProof/>
        </w:rPr>
        <w:drawing>
          <wp:inline distT="0" distB="0" distL="0" distR="0" wp14:anchorId="64252726" wp14:editId="3157A806">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3DDA3F66" w14:textId="77777777" w:rsidR="00A97AF8" w:rsidRPr="00A97AF8" w:rsidRDefault="00A97AF8" w:rsidP="00A97AF8">
      <w:r w:rsidRPr="00A97AF8">
        <w:t>Publicado el miércoles, 20 de julio de 2022</w:t>
      </w:r>
    </w:p>
    <w:p w14:paraId="54D32288" w14:textId="77777777" w:rsidR="00A97AF8" w:rsidRPr="00A97AF8" w:rsidRDefault="00A97AF8" w:rsidP="00A97AF8">
      <w:pPr>
        <w:jc w:val="both"/>
      </w:pPr>
      <w:r w:rsidRPr="00A97AF8">
        <w:rPr>
          <w:i/>
          <w:iCs/>
        </w:rPr>
        <w:t>La Guía del Calendario de Inversiones también se publicó para su revisión pública</w:t>
      </w:r>
    </w:p>
    <w:p w14:paraId="42E0AC06" w14:textId="77777777" w:rsidR="00A97AF8" w:rsidRPr="00A97AF8" w:rsidRDefault="00A97AF8" w:rsidP="00D96D0E">
      <w:pPr>
        <w:jc w:val="both"/>
      </w:pPr>
      <w:r w:rsidRPr="00A97AF8">
        <w:t>El Comité de Calidad de Datos de XBRL US (DQC) ha publicado su 19º Conjunto de Reglas para un período de revisión y comentarios públicos de 45 días, que finaliza el 1 de septiembre de 2022. Las reglas DQC disponibles gratuitamente se desarrollan a través de un proceso de colaboración con las partes interesadas al exponer la orientación propuesta y las reglas de validación para comentarios públicos. El personal de la Junta de Normas de Contabilidad Financiera (FASB) y la Junta de Normas Internacionales de Contabilidad (IASB) actúan como observadores de la labor del DQC. El DQC considera la orientación del FASB para garantizar que los solicitantes tengan reglas consistentes y confiables que sean aceptadas por fuentes autorizadas.</w:t>
      </w:r>
    </w:p>
    <w:p w14:paraId="40343C3E" w14:textId="77777777" w:rsidR="00A97AF8" w:rsidRPr="00A97AF8" w:rsidRDefault="00A97AF8" w:rsidP="00D96D0E">
      <w:pPr>
        <w:jc w:val="both"/>
      </w:pPr>
      <w:r w:rsidRPr="00A97AF8">
        <w:t>Este último borrador del conjunto de reglas contiene tres reglas específicas para los declarantes de US GAAP:</w:t>
      </w:r>
    </w:p>
    <w:p w14:paraId="2EF7FD1A" w14:textId="2D42875B" w:rsidR="00A97AF8" w:rsidRPr="00A97AF8" w:rsidRDefault="00D56974" w:rsidP="00D56974">
      <w:pPr>
        <w:numPr>
          <w:ilvl w:val="0"/>
          <w:numId w:val="2"/>
        </w:numPr>
        <w:spacing w:after="0"/>
        <w:jc w:val="both"/>
      </w:pPr>
      <w:r w:rsidRPr="00A97AF8">
        <w:t>Ratios bancarias</w:t>
      </w:r>
      <w:r w:rsidR="00A97AF8" w:rsidRPr="00A97AF8">
        <w:t xml:space="preserve"> – Emisiones de escala. Esta regla alerta a los declarantes cuando se han notificado ratios de adecuación de capital con una escala incorrecta. También garantiza que los declarantes hayan utilizado los elementos adecuados para informar de sus ratios de adecuación de capital.</w:t>
      </w:r>
    </w:p>
    <w:p w14:paraId="7AB59B78" w14:textId="77777777" w:rsidR="00A97AF8" w:rsidRPr="00A97AF8" w:rsidRDefault="00A97AF8" w:rsidP="00D56974">
      <w:pPr>
        <w:numPr>
          <w:ilvl w:val="0"/>
          <w:numId w:val="2"/>
        </w:numPr>
        <w:spacing w:after="0"/>
        <w:jc w:val="both"/>
      </w:pPr>
      <w:r w:rsidRPr="00A97AF8">
        <w:t>Cálculo cruzado del cronograma de inversiones. Esta regla verifica que el cronograma de inversión calcule correctamente la diferencia entre el costo amortizado y el valor razonable, para identificar elementos mal utilizados.</w:t>
      </w:r>
    </w:p>
    <w:p w14:paraId="241A404F" w14:textId="036C6E1F" w:rsidR="00A97AF8" w:rsidRPr="00A97AF8" w:rsidRDefault="00A97AF8" w:rsidP="00D96D0E">
      <w:pPr>
        <w:numPr>
          <w:ilvl w:val="0"/>
          <w:numId w:val="2"/>
        </w:numPr>
        <w:jc w:val="both"/>
      </w:pPr>
      <w:r w:rsidRPr="00A97AF8">
        <w:t>Elementos de intereses acumulados inconsistentes.</w:t>
      </w:r>
      <w:r w:rsidR="00D56974">
        <w:t xml:space="preserve"> </w:t>
      </w:r>
      <w:r w:rsidRPr="00A97AF8">
        <w:t>La regla garantiza que los elementos consistentes se informen en el cronograma de inversiones para incluir o excluir elementos de intereses acumulados, dependiendo de la elección de la política contable del declarante.</w:t>
      </w:r>
    </w:p>
    <w:p w14:paraId="1E21D7F7" w14:textId="77777777" w:rsidR="00A97AF8" w:rsidRPr="00A97AF8" w:rsidRDefault="00A97AF8" w:rsidP="00D96D0E">
      <w:pPr>
        <w:jc w:val="both"/>
      </w:pPr>
      <w:r w:rsidRPr="00A97AF8">
        <w:t>El DQC también ha elaborado orientaciones sobre la mejor manera de preparar informes con títulos de deuda. Las preguntas frecuentes de la Guía de Inversión están diseñadas como un complemento de la guía de implementación de la Junta de Normas de Contabilidad Financiera (FASB) sobre </w:t>
      </w:r>
      <w:hyperlink r:id="rId8" w:history="1">
        <w:r w:rsidRPr="00A97AF8">
          <w:rPr>
            <w:rStyle w:val="Hipervnculo"/>
          </w:rPr>
          <w:t>"Instrumentos financieros – Títulos de deuda"</w:t>
        </w:r>
      </w:hyperlink>
      <w:r w:rsidRPr="00A97AF8">
        <w:t xml:space="preserve"> que se publicó en 2021. Incluye ilustraciones detalladas y ejemplos para ayudar a los declarantes a preparar los cronogramas de inversión de manera eficiente y consistente con el modelado de la Taxonomía US GAAP. El 20 de julio de 2022 se </w:t>
      </w:r>
      <w:r w:rsidRPr="00A97AF8">
        <w:lastRenderedPageBreak/>
        <w:t>llevará a cabo un seminario web gratuito para explicar las nuevas reglas y orientaciones. Regístrese aquí: https://xbrl.us/events/220720/</w:t>
      </w:r>
    </w:p>
    <w:p w14:paraId="1366DA3A" w14:textId="77777777" w:rsidR="00A97AF8" w:rsidRPr="00A97AF8" w:rsidRDefault="00A97AF8" w:rsidP="00D96D0E">
      <w:pPr>
        <w:jc w:val="both"/>
      </w:pPr>
      <w:r w:rsidRPr="00A97AF8">
        <w:t xml:space="preserve">Las reglas DQC están disponibles gratuitamente para los emisores que utilizan US GAAP e IFRS para ayudarlos a validar sus presentaciones e identificar posibles errores. El uso de reglas DQC ayuda a los emisores a preparar finanzas XBRL consistentes y de alta calidad, al proporcionar comprobaciones automatizadas que prueban los estados financieros con formato XBRL antes de la presentación de la SEC. El DQC se financia a través del XBRL US Center for Data </w:t>
      </w:r>
      <w:proofErr w:type="spellStart"/>
      <w:r w:rsidRPr="00A97AF8">
        <w:t>Quality</w:t>
      </w:r>
      <w:proofErr w:type="spellEnd"/>
      <w:r w:rsidRPr="00A97AF8">
        <w:t>.</w:t>
      </w:r>
    </w:p>
    <w:p w14:paraId="6BCE9F16" w14:textId="77777777" w:rsidR="00A97AF8" w:rsidRPr="00A97AF8" w:rsidRDefault="00A97AF8" w:rsidP="00D96D0E">
      <w:pPr>
        <w:jc w:val="both"/>
      </w:pPr>
      <w:r w:rsidRPr="00A97AF8">
        <w:t>Los emisores que utilizan las reglas de libre disponibilidad pueden encontrar y corregir errores, para garantizar que los reguladores e inversores reciban datos de buena calidad y la visión más precisa de la salud financiera corporativa. Se alienta a los declarantes, proveedores de datos, inversores, contadores y proveedores de herramientas de preparación a revisar y comentar las reglas propuestas. Acceda a la revisión pública de DQC Rule Set 19: </w:t>
      </w:r>
      <w:hyperlink r:id="rId9" w:history="1">
        <w:r w:rsidRPr="00A97AF8">
          <w:rPr>
            <w:rStyle w:val="Hipervnculo"/>
          </w:rPr>
          <w:t>https://xbrl.us/data-quality/rules-guidance/public-review/</w:t>
        </w:r>
      </w:hyperlink>
    </w:p>
    <w:p w14:paraId="70B9FBC9" w14:textId="77777777" w:rsidR="00A97AF8" w:rsidRPr="00A97AF8" w:rsidRDefault="00A97AF8" w:rsidP="00D96D0E">
      <w:pPr>
        <w:jc w:val="both"/>
      </w:pPr>
      <w:r w:rsidRPr="00A97AF8">
        <w:t xml:space="preserve">La solicitud XBRL US </w:t>
      </w:r>
      <w:proofErr w:type="spellStart"/>
      <w:r w:rsidRPr="00A97AF8">
        <w:t>Filing</w:t>
      </w:r>
      <w:proofErr w:type="spellEnd"/>
      <w:r w:rsidRPr="00A97AF8">
        <w:t xml:space="preserve"> </w:t>
      </w:r>
      <w:proofErr w:type="spellStart"/>
      <w:r w:rsidRPr="00A97AF8">
        <w:t>Results</w:t>
      </w:r>
      <w:proofErr w:type="spellEnd"/>
      <w:r w:rsidRPr="00A97AF8">
        <w:t xml:space="preserve"> &amp; </w:t>
      </w:r>
      <w:proofErr w:type="spellStart"/>
      <w:r w:rsidRPr="00A97AF8">
        <w:t>Quality</w:t>
      </w:r>
      <w:proofErr w:type="spellEnd"/>
      <w:r w:rsidRPr="00A97AF8">
        <w:t xml:space="preserve"> </w:t>
      </w:r>
      <w:proofErr w:type="spellStart"/>
      <w:r w:rsidRPr="00A97AF8">
        <w:t>Checks</w:t>
      </w:r>
      <w:proofErr w:type="spellEnd"/>
      <w:r w:rsidRPr="00A97AF8">
        <w:t xml:space="preserve"> permite a los declarantes de la SEC u otras partes interesadas verificar las presentaciones de EDGAR para detectar errores DQC para cualquier empresa aquí: </w:t>
      </w:r>
      <w:hyperlink r:id="rId10" w:history="1">
        <w:r w:rsidRPr="00A97AF8">
          <w:rPr>
            <w:rStyle w:val="Hipervnculo"/>
          </w:rPr>
          <w:t>https://xbrl.us/data-quality/filing-results/</w:t>
        </w:r>
      </w:hyperlink>
    </w:p>
    <w:p w14:paraId="29FD4455" w14:textId="77777777" w:rsidR="00A97AF8" w:rsidRPr="00A97AF8" w:rsidRDefault="00A97AF8" w:rsidP="00D96D0E">
      <w:pPr>
        <w:jc w:val="both"/>
      </w:pPr>
      <w:r w:rsidRPr="00A97AF8">
        <w:t>Las representaciones gráficas del recuento histórico de errores DQC, categorizados por tipo de regla, se pueden ver aquí: </w:t>
      </w:r>
      <w:hyperlink r:id="rId11" w:history="1">
        <w:r w:rsidRPr="00A97AF8">
          <w:rPr>
            <w:rStyle w:val="Hipervnculo"/>
          </w:rPr>
          <w:t>https://xbrl.us/data-quality/filing-results/dqc-results/</w:t>
        </w:r>
      </w:hyperlink>
    </w:p>
    <w:p w14:paraId="74334386" w14:textId="77777777" w:rsidR="00A97AF8" w:rsidRPr="00A97AF8" w:rsidRDefault="00A97AF8" w:rsidP="00D96D0E">
      <w:pPr>
        <w:jc w:val="both"/>
      </w:pPr>
      <w:r w:rsidRPr="00A97AF8">
        <w:t>Los declarantes tienen acceso inmediato a todas las reglas finales aprobadas, así como al 19º Conjunto de Reglas en revisión pública para que puedan verificar sus presentaciones antes de la presentación de la SEC. Hay varias opciones disponibles para los declarantes:</w:t>
      </w:r>
    </w:p>
    <w:p w14:paraId="6DB252EE" w14:textId="77777777" w:rsidR="00A97AF8" w:rsidRPr="00A97AF8" w:rsidRDefault="00A97AF8" w:rsidP="00D96D0E">
      <w:pPr>
        <w:numPr>
          <w:ilvl w:val="0"/>
          <w:numId w:val="3"/>
        </w:numPr>
        <w:jc w:val="both"/>
      </w:pPr>
      <w:r w:rsidRPr="00A97AF8">
        <w:t>A través de un software que ha sido certificado para ejecutarse con el conjunto de reglas: </w:t>
      </w:r>
      <w:hyperlink r:id="rId12" w:history="1">
        <w:r w:rsidRPr="00A97AF8">
          <w:rPr>
            <w:rStyle w:val="Hipervnculo"/>
          </w:rPr>
          <w:t>https://xbrl.us/certification</w:t>
        </w:r>
      </w:hyperlink>
      <w:r w:rsidRPr="00A97AF8">
        <w:t> </w:t>
      </w:r>
    </w:p>
    <w:p w14:paraId="6D2459FD" w14:textId="77777777" w:rsidR="00A97AF8" w:rsidRPr="00A97AF8" w:rsidRDefault="00A97AF8" w:rsidP="00D96D0E">
      <w:pPr>
        <w:numPr>
          <w:ilvl w:val="0"/>
          <w:numId w:val="3"/>
        </w:numPr>
        <w:jc w:val="both"/>
      </w:pPr>
      <w:r w:rsidRPr="00A97AF8">
        <w:t>A través de la herramienta de comprobación XBRL US: </w:t>
      </w:r>
      <w:hyperlink r:id="rId13" w:history="1">
        <w:r w:rsidRPr="00A97AF8">
          <w:rPr>
            <w:rStyle w:val="Hipervnculo"/>
          </w:rPr>
          <w:t>https://xbrl.us/check</w:t>
        </w:r>
      </w:hyperlink>
    </w:p>
    <w:p w14:paraId="269D1D8C" w14:textId="77777777" w:rsidR="00A97AF8" w:rsidRPr="00A97AF8" w:rsidRDefault="00A97AF8" w:rsidP="00D96D0E">
      <w:pPr>
        <w:numPr>
          <w:ilvl w:val="0"/>
          <w:numId w:val="3"/>
        </w:numPr>
        <w:jc w:val="both"/>
      </w:pPr>
      <w:r w:rsidRPr="00A97AF8">
        <w:t xml:space="preserve">Al descargar las Reglas aprobadas y usarlas con </w:t>
      </w:r>
      <w:proofErr w:type="spellStart"/>
      <w:r w:rsidRPr="00A97AF8">
        <w:t>Arelle</w:t>
      </w:r>
      <w:proofErr w:type="spellEnd"/>
      <w:r w:rsidRPr="00A97AF8">
        <w:t xml:space="preserve">, la versión de código abierto del EDGAR </w:t>
      </w:r>
      <w:proofErr w:type="spellStart"/>
      <w:r w:rsidRPr="00A97AF8">
        <w:t>Renderer</w:t>
      </w:r>
      <w:proofErr w:type="spellEnd"/>
      <w:r w:rsidRPr="00A97AF8">
        <w:t>/</w:t>
      </w:r>
      <w:proofErr w:type="spellStart"/>
      <w:r w:rsidRPr="00A97AF8">
        <w:t>Previewer</w:t>
      </w:r>
      <w:proofErr w:type="spellEnd"/>
      <w:r w:rsidRPr="00A97AF8">
        <w:t xml:space="preserve"> de la SEC: </w:t>
      </w:r>
      <w:hyperlink r:id="rId14" w:history="1">
        <w:r w:rsidRPr="00A97AF8">
          <w:rPr>
            <w:rStyle w:val="Hipervnculo"/>
          </w:rPr>
          <w:t>https://xbrl.us/dqc-releases</w:t>
        </w:r>
      </w:hyperlink>
      <w:r w:rsidRPr="00A97AF8">
        <w:t> </w:t>
      </w:r>
    </w:p>
    <w:p w14:paraId="74834738" w14:textId="77777777" w:rsidR="00A97AF8" w:rsidRPr="00A97AF8" w:rsidRDefault="00A97AF8" w:rsidP="00D96D0E">
      <w:pPr>
        <w:jc w:val="both"/>
      </w:pPr>
      <w:r w:rsidRPr="00A97AF8">
        <w:t>Para acceder a las reglas y orientaciones aprobadas, vaya a: </w:t>
      </w:r>
      <w:hyperlink r:id="rId15" w:history="1">
        <w:r w:rsidRPr="00A97AF8">
          <w:rPr>
            <w:rStyle w:val="Hipervnculo"/>
          </w:rPr>
          <w:t>https://xbrl.us/rules-guidance</w:t>
        </w:r>
      </w:hyperlink>
    </w:p>
    <w:p w14:paraId="6B50147F" w14:textId="77777777" w:rsidR="00A97AF8" w:rsidRPr="00A97AF8" w:rsidRDefault="00A97AF8" w:rsidP="00D96D0E">
      <w:pPr>
        <w:jc w:val="both"/>
      </w:pPr>
      <w:r w:rsidRPr="00A97AF8">
        <w:t xml:space="preserve">Entre los miembros del XBRL US Center for Data </w:t>
      </w:r>
      <w:proofErr w:type="spellStart"/>
      <w:r w:rsidRPr="00A97AF8">
        <w:t>Quality</w:t>
      </w:r>
      <w:proofErr w:type="spellEnd"/>
      <w:r w:rsidRPr="00A97AF8">
        <w:t xml:space="preserve"> se encuentran </w:t>
      </w:r>
      <w:proofErr w:type="spellStart"/>
      <w:r w:rsidRPr="00A97AF8">
        <w:fldChar w:fldCharType="begin"/>
      </w:r>
      <w:r w:rsidRPr="00A97AF8">
        <w:instrText xml:space="preserve"> HYPERLINK "https://xbrl.us/home/category/member/altova/" </w:instrText>
      </w:r>
      <w:r w:rsidRPr="00A97AF8">
        <w:fldChar w:fldCharType="separate"/>
      </w:r>
      <w:r w:rsidRPr="00A97AF8">
        <w:rPr>
          <w:rStyle w:val="Hipervnculo"/>
        </w:rPr>
        <w:t>Altova</w:t>
      </w:r>
      <w:proofErr w:type="spellEnd"/>
      <w:r w:rsidRPr="00A97AF8">
        <w:fldChar w:fldCharType="end"/>
      </w:r>
      <w:r w:rsidRPr="00A97AF8">
        <w:t>, el </w:t>
      </w:r>
      <w:hyperlink r:id="rId16" w:history="1">
        <w:r w:rsidRPr="00A97AF8">
          <w:rPr>
            <w:rStyle w:val="Hipervnculo"/>
          </w:rPr>
          <w:t xml:space="preserve">American Institute of </w:t>
        </w:r>
        <w:proofErr w:type="spellStart"/>
        <w:r w:rsidRPr="00A97AF8">
          <w:rPr>
            <w:rStyle w:val="Hipervnculo"/>
          </w:rPr>
          <w:t>CPAs</w:t>
        </w:r>
        <w:proofErr w:type="spellEnd"/>
        <w:r w:rsidRPr="00A97AF8">
          <w:rPr>
            <w:rStyle w:val="Hipervnculo"/>
          </w:rPr>
          <w:t xml:space="preserve"> (AICPA),</w:t>
        </w:r>
      </w:hyperlink>
      <w:r w:rsidRPr="00A97AF8">
        <w:t> </w:t>
      </w:r>
      <w:proofErr w:type="spellStart"/>
      <w:r w:rsidRPr="00A97AF8">
        <w:fldChar w:fldCharType="begin"/>
      </w:r>
      <w:r w:rsidRPr="00A97AF8">
        <w:instrText xml:space="preserve"> HYPERLINK "https://xbrl.us/home/category/member/broadridge" </w:instrText>
      </w:r>
      <w:r w:rsidRPr="00A97AF8">
        <w:fldChar w:fldCharType="separate"/>
      </w:r>
      <w:r w:rsidRPr="00A97AF8">
        <w:rPr>
          <w:rStyle w:val="Hipervnculo"/>
        </w:rPr>
        <w:t>Broadridge</w:t>
      </w:r>
      <w:proofErr w:type="spellEnd"/>
      <w:r w:rsidRPr="00A97AF8">
        <w:rPr>
          <w:rStyle w:val="Hipervnculo"/>
        </w:rPr>
        <w:t xml:space="preserve"> Financial Solutions</w:t>
      </w:r>
      <w:r w:rsidRPr="00A97AF8">
        <w:fldChar w:fldCharType="end"/>
      </w:r>
      <w:r w:rsidRPr="00A97AF8">
        <w:t>, </w:t>
      </w:r>
      <w:proofErr w:type="spellStart"/>
      <w:r w:rsidRPr="00A97AF8">
        <w:fldChar w:fldCharType="begin"/>
      </w:r>
      <w:r w:rsidRPr="00A97AF8">
        <w:instrText xml:space="preserve"> HYPERLINK "https://xbrl.us/home/category/member/certent/" </w:instrText>
      </w:r>
      <w:r w:rsidRPr="00A97AF8">
        <w:fldChar w:fldCharType="separate"/>
      </w:r>
      <w:r w:rsidRPr="00A97AF8">
        <w:rPr>
          <w:rStyle w:val="Hipervnculo"/>
        </w:rPr>
        <w:t>Certent</w:t>
      </w:r>
      <w:proofErr w:type="spellEnd"/>
      <w:r w:rsidRPr="00A97AF8">
        <w:fldChar w:fldCharType="end"/>
      </w:r>
      <w:r w:rsidRPr="00A97AF8">
        <w:t>, </w:t>
      </w:r>
      <w:proofErr w:type="spellStart"/>
      <w:r w:rsidRPr="00A97AF8">
        <w:fldChar w:fldCharType="begin"/>
      </w:r>
      <w:r w:rsidRPr="00A97AF8">
        <w:instrText xml:space="preserve"> HYPERLINK "https://xbrl.us/home/category/member/datatracks/" </w:instrText>
      </w:r>
      <w:r w:rsidRPr="00A97AF8">
        <w:fldChar w:fldCharType="separate"/>
      </w:r>
      <w:r w:rsidRPr="00A97AF8">
        <w:rPr>
          <w:rStyle w:val="Hipervnculo"/>
        </w:rPr>
        <w:t>DataTracks</w:t>
      </w:r>
      <w:proofErr w:type="spellEnd"/>
      <w:r w:rsidRPr="00A97AF8">
        <w:fldChar w:fldCharType="end"/>
      </w:r>
      <w:r w:rsidRPr="00A97AF8">
        <w:t>, </w:t>
      </w:r>
      <w:proofErr w:type="spellStart"/>
      <w:r w:rsidRPr="00A97AF8">
        <w:fldChar w:fldCharType="begin"/>
      </w:r>
      <w:r w:rsidRPr="00A97AF8">
        <w:instrText xml:space="preserve"> HYPERLINK "https://xbrl.us/home/category/member/dfsco/" </w:instrText>
      </w:r>
      <w:r w:rsidRPr="00A97AF8">
        <w:fldChar w:fldCharType="separate"/>
      </w:r>
      <w:r w:rsidRPr="00A97AF8">
        <w:rPr>
          <w:rStyle w:val="Hipervnculo"/>
        </w:rPr>
        <w:t>Donnelley</w:t>
      </w:r>
      <w:proofErr w:type="spellEnd"/>
      <w:r w:rsidRPr="00A97AF8">
        <w:rPr>
          <w:rStyle w:val="Hipervnculo"/>
        </w:rPr>
        <w:t xml:space="preserve"> Financial Solutions (DFIN),</w:t>
      </w:r>
      <w:r w:rsidRPr="00A97AF8">
        <w:fldChar w:fldCharType="end"/>
      </w:r>
      <w:r w:rsidRPr="00A97AF8">
        <w:t> </w:t>
      </w:r>
      <w:hyperlink r:id="rId17" w:tgtFrame="_blank" w:history="1">
        <w:r w:rsidRPr="00A97AF8">
          <w:rPr>
            <w:rStyle w:val="Hipervnculo"/>
          </w:rPr>
          <w:t xml:space="preserve">EDGAR </w:t>
        </w:r>
        <w:proofErr w:type="spellStart"/>
        <w:r w:rsidRPr="00A97AF8">
          <w:rPr>
            <w:rStyle w:val="Hipervnculo"/>
          </w:rPr>
          <w:t>Agents</w:t>
        </w:r>
        <w:proofErr w:type="spellEnd"/>
        <w:r w:rsidRPr="00A97AF8">
          <w:rPr>
            <w:rStyle w:val="Hipervnculo"/>
          </w:rPr>
          <w:t>,</w:t>
        </w:r>
      </w:hyperlink>
      <w:r w:rsidRPr="00A97AF8">
        <w:t> </w:t>
      </w:r>
      <w:hyperlink r:id="rId18" w:history="1">
        <w:r w:rsidRPr="00A97AF8">
          <w:rPr>
            <w:rStyle w:val="Hipervnculo"/>
          </w:rPr>
          <w:t xml:space="preserve">RDG </w:t>
        </w:r>
        <w:proofErr w:type="spellStart"/>
        <w:r w:rsidRPr="00A97AF8">
          <w:rPr>
            <w:rStyle w:val="Hipervnculo"/>
          </w:rPr>
          <w:t>Filings</w:t>
        </w:r>
        <w:proofErr w:type="spellEnd"/>
      </w:hyperlink>
      <w:r w:rsidRPr="00A97AF8">
        <w:t>, </w:t>
      </w:r>
      <w:proofErr w:type="spellStart"/>
      <w:r w:rsidRPr="00A97AF8">
        <w:fldChar w:fldCharType="begin"/>
      </w:r>
      <w:r w:rsidRPr="00A97AF8">
        <w:instrText xml:space="preserve"> HYPERLINK "https://xbrl.us/home/category/member/toppan-merrill/" </w:instrText>
      </w:r>
      <w:r w:rsidRPr="00A97AF8">
        <w:fldChar w:fldCharType="separate"/>
      </w:r>
      <w:r w:rsidRPr="00A97AF8">
        <w:rPr>
          <w:rStyle w:val="Hipervnculo"/>
        </w:rPr>
        <w:t>Toppan</w:t>
      </w:r>
      <w:proofErr w:type="spellEnd"/>
      <w:r w:rsidRPr="00A97AF8">
        <w:rPr>
          <w:rStyle w:val="Hipervnculo"/>
        </w:rPr>
        <w:t xml:space="preserve"> Merrill</w:t>
      </w:r>
      <w:r w:rsidRPr="00A97AF8">
        <w:fldChar w:fldCharType="end"/>
      </w:r>
      <w:r w:rsidRPr="00A97AF8">
        <w:t>, y </w:t>
      </w:r>
      <w:hyperlink r:id="rId19" w:history="1">
        <w:r w:rsidRPr="00A97AF8">
          <w:rPr>
            <w:rStyle w:val="Hipervnculo"/>
          </w:rPr>
          <w:t>Workiva</w:t>
        </w:r>
      </w:hyperlink>
      <w:r w:rsidRPr="00A97AF8">
        <w:t>, Inc.</w:t>
      </w:r>
    </w:p>
    <w:p w14:paraId="7A2F2E5D" w14:textId="77777777" w:rsidR="00A97AF8" w:rsidRPr="00A97AF8" w:rsidRDefault="00A97AF8" w:rsidP="00D96D0E">
      <w:pPr>
        <w:jc w:val="both"/>
      </w:pPr>
      <w:r w:rsidRPr="00A97AF8">
        <w:t>Para obtener más información sobre el Comité de Calidad de Datos de XBRL US y el Centro de Calidad de Datos, visite: </w:t>
      </w:r>
      <w:hyperlink r:id="rId20" w:history="1">
        <w:r w:rsidRPr="00A97AF8">
          <w:rPr>
            <w:rStyle w:val="Hipervnculo"/>
          </w:rPr>
          <w:t>http://xbrl.us/data-quality</w:t>
        </w:r>
      </w:hyperlink>
    </w:p>
    <w:p w14:paraId="7F12AB14" w14:textId="77777777" w:rsidR="00A97AF8" w:rsidRPr="00A97AF8" w:rsidRDefault="00A97AF8" w:rsidP="00A97AF8">
      <w:r w:rsidRPr="00A97AF8">
        <w:t> </w:t>
      </w:r>
    </w:p>
    <w:p w14:paraId="4D6E7624" w14:textId="3DE2C0BD" w:rsidR="00D96D0E" w:rsidRDefault="00A97AF8" w:rsidP="00A97AF8">
      <w:r w:rsidRPr="00A97AF8">
        <w:t> </w:t>
      </w:r>
    </w:p>
    <w:p w14:paraId="0881392F" w14:textId="607B83E2" w:rsidR="00D96D0E" w:rsidRDefault="00D96D0E" w:rsidP="00A97AF8"/>
    <w:p w14:paraId="141991B9" w14:textId="52AEA98C" w:rsidR="00D96D0E" w:rsidRPr="00D96D0E" w:rsidRDefault="00D96D0E" w:rsidP="00D96D0E">
      <w:r w:rsidRPr="00D96D0E">
        <w:rPr>
          <w:noProof/>
        </w:rPr>
        <w:lastRenderedPageBreak/>
        <w:drawing>
          <wp:inline distT="0" distB="0" distL="0" distR="0" wp14:anchorId="48B99F1A" wp14:editId="3C2781E3">
            <wp:extent cx="2247900" cy="525780"/>
            <wp:effectExtent l="0" t="0" r="0" b="7620"/>
            <wp:docPr id="3" name="Imagen 3" descr="XBRL Españ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BRL Españ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3E8800E1" w14:textId="77777777" w:rsidR="00D96D0E" w:rsidRPr="00D96D0E" w:rsidRDefault="0015498B" w:rsidP="00D96D0E">
      <w:pPr>
        <w:numPr>
          <w:ilvl w:val="1"/>
          <w:numId w:val="4"/>
        </w:numPr>
      </w:pPr>
      <w:hyperlink r:id="rId21" w:history="1">
        <w:r w:rsidR="00D96D0E" w:rsidRPr="00D96D0E">
          <w:rPr>
            <w:rStyle w:val="Hipervnculo"/>
            <w:b/>
            <w:bCs/>
          </w:rPr>
          <w:t>REGLAS/ORIENTACIÓN</w:t>
        </w:r>
      </w:hyperlink>
    </w:p>
    <w:p w14:paraId="02969ED8" w14:textId="77777777" w:rsidR="00D96D0E" w:rsidRPr="00D96D0E" w:rsidRDefault="00D96D0E" w:rsidP="00D96D0E">
      <w:pPr>
        <w:numPr>
          <w:ilvl w:val="2"/>
          <w:numId w:val="4"/>
        </w:numPr>
        <w:spacing w:after="0"/>
        <w:rPr>
          <w:b/>
          <w:bCs/>
        </w:rPr>
      </w:pPr>
      <w:r w:rsidRPr="00D96D0E">
        <w:rPr>
          <w:b/>
          <w:bCs/>
        </w:rPr>
        <w:t>Exposición pública de las reglas y orientación de validación</w:t>
      </w:r>
    </w:p>
    <w:p w14:paraId="6758758B" w14:textId="77777777" w:rsidR="00D96D0E" w:rsidRPr="00D96D0E" w:rsidRDefault="0015498B" w:rsidP="00D96D0E">
      <w:pPr>
        <w:numPr>
          <w:ilvl w:val="2"/>
          <w:numId w:val="4"/>
        </w:numPr>
        <w:spacing w:after="0"/>
      </w:pPr>
      <w:hyperlink r:id="rId22" w:history="1">
        <w:r w:rsidR="00D96D0E" w:rsidRPr="00D96D0E">
          <w:rPr>
            <w:rStyle w:val="Hipervnculo"/>
          </w:rPr>
          <w:t>Principios rectores para la selección de elementos</w:t>
        </w:r>
      </w:hyperlink>
    </w:p>
    <w:p w14:paraId="47A254BA" w14:textId="77777777" w:rsidR="00D96D0E" w:rsidRPr="00D96D0E" w:rsidRDefault="0015498B" w:rsidP="00D96D0E">
      <w:pPr>
        <w:numPr>
          <w:ilvl w:val="2"/>
          <w:numId w:val="4"/>
        </w:numPr>
      </w:pPr>
      <w:hyperlink r:id="rId23" w:history="1">
        <w:r w:rsidR="00D96D0E" w:rsidRPr="00D96D0E">
          <w:rPr>
            <w:rStyle w:val="Hipervnculo"/>
          </w:rPr>
          <w:t>Proceso de desarrollo de reglas</w:t>
        </w:r>
      </w:hyperlink>
    </w:p>
    <w:p w14:paraId="39993E62" w14:textId="77777777" w:rsidR="00D96D0E" w:rsidRPr="00D96D0E" w:rsidRDefault="0015498B" w:rsidP="00D96D0E">
      <w:pPr>
        <w:numPr>
          <w:ilvl w:val="1"/>
          <w:numId w:val="4"/>
        </w:numPr>
      </w:pPr>
      <w:hyperlink r:id="rId24" w:history="1">
        <w:r w:rsidR="00D96D0E" w:rsidRPr="00D96D0E">
          <w:rPr>
            <w:rStyle w:val="Hipervnculo"/>
            <w:b/>
            <w:bCs/>
          </w:rPr>
          <w:t>CERTIFICACIÓN</w:t>
        </w:r>
      </w:hyperlink>
    </w:p>
    <w:p w14:paraId="46FB1523" w14:textId="77777777" w:rsidR="00D96D0E" w:rsidRPr="00D96D0E" w:rsidRDefault="0015498B" w:rsidP="00D96D0E">
      <w:pPr>
        <w:numPr>
          <w:ilvl w:val="2"/>
          <w:numId w:val="4"/>
        </w:numPr>
      </w:pPr>
      <w:hyperlink r:id="rId25" w:history="1">
        <w:r w:rsidR="00D96D0E" w:rsidRPr="00D96D0E">
          <w:rPr>
            <w:rStyle w:val="Hipervnculo"/>
          </w:rPr>
          <w:t>Proceso de certificación de solicitudes</w:t>
        </w:r>
      </w:hyperlink>
    </w:p>
    <w:p w14:paraId="2966A9E5" w14:textId="77777777" w:rsidR="00D96D0E" w:rsidRPr="00D96D0E" w:rsidRDefault="0015498B" w:rsidP="00D96D0E">
      <w:pPr>
        <w:numPr>
          <w:ilvl w:val="1"/>
          <w:numId w:val="4"/>
        </w:numPr>
      </w:pPr>
      <w:hyperlink r:id="rId26" w:history="1">
        <w:r w:rsidR="00D96D0E" w:rsidRPr="00D96D0E">
          <w:rPr>
            <w:rStyle w:val="Hipervnculo"/>
            <w:b/>
            <w:bCs/>
          </w:rPr>
          <w:t>RESULTADOS/COMPROBACIONES</w:t>
        </w:r>
      </w:hyperlink>
    </w:p>
    <w:p w14:paraId="62908949" w14:textId="77777777" w:rsidR="00D96D0E" w:rsidRPr="00D96D0E" w:rsidRDefault="0015498B" w:rsidP="00D96D0E">
      <w:pPr>
        <w:numPr>
          <w:ilvl w:val="2"/>
          <w:numId w:val="4"/>
        </w:numPr>
        <w:spacing w:after="0"/>
      </w:pPr>
      <w:hyperlink r:id="rId27" w:history="1">
        <w:r w:rsidR="00D96D0E" w:rsidRPr="00D96D0E">
          <w:rPr>
            <w:rStyle w:val="Hipervnculo"/>
          </w:rPr>
          <w:t>Verifique su presentación con las reglas de calidad de datos</w:t>
        </w:r>
      </w:hyperlink>
    </w:p>
    <w:p w14:paraId="5DEFA037" w14:textId="77777777" w:rsidR="00D96D0E" w:rsidRPr="00D96D0E" w:rsidRDefault="0015498B" w:rsidP="00D96D0E">
      <w:pPr>
        <w:numPr>
          <w:ilvl w:val="2"/>
          <w:numId w:val="4"/>
        </w:numPr>
        <w:spacing w:after="0"/>
      </w:pPr>
      <w:hyperlink r:id="rId28" w:history="1">
        <w:r w:rsidR="00D96D0E" w:rsidRPr="00D96D0E">
          <w:rPr>
            <w:rStyle w:val="Hipervnculo"/>
          </w:rPr>
          <w:t>Preguntas y respuestas sobre las advertencias de presentación de pruebas de la SEC</w:t>
        </w:r>
      </w:hyperlink>
    </w:p>
    <w:p w14:paraId="4CE250FF" w14:textId="77777777" w:rsidR="00D96D0E" w:rsidRPr="00D96D0E" w:rsidRDefault="0015498B" w:rsidP="00D96D0E">
      <w:pPr>
        <w:numPr>
          <w:ilvl w:val="2"/>
          <w:numId w:val="4"/>
        </w:numPr>
      </w:pPr>
      <w:hyperlink r:id="rId29" w:history="1">
        <w:r w:rsidR="00D96D0E" w:rsidRPr="00D96D0E">
          <w:rPr>
            <w:rStyle w:val="Hipervnculo"/>
          </w:rPr>
          <w:t>Errores agregados de presentación en tiempo real</w:t>
        </w:r>
      </w:hyperlink>
    </w:p>
    <w:p w14:paraId="214A1982" w14:textId="77777777" w:rsidR="00D96D0E" w:rsidRPr="00D96D0E" w:rsidRDefault="0015498B" w:rsidP="00D96D0E">
      <w:pPr>
        <w:numPr>
          <w:ilvl w:val="1"/>
          <w:numId w:val="4"/>
        </w:numPr>
      </w:pPr>
      <w:hyperlink r:id="rId30" w:history="1">
        <w:r w:rsidR="00D96D0E" w:rsidRPr="00D96D0E">
          <w:rPr>
            <w:rStyle w:val="Hipervnculo"/>
            <w:b/>
            <w:bCs/>
          </w:rPr>
          <w:t>CENTRO Y DQC</w:t>
        </w:r>
      </w:hyperlink>
    </w:p>
    <w:p w14:paraId="32C16605" w14:textId="77777777" w:rsidR="00D96D0E" w:rsidRPr="00D96D0E" w:rsidRDefault="0015498B" w:rsidP="00D96D0E">
      <w:pPr>
        <w:numPr>
          <w:ilvl w:val="2"/>
          <w:numId w:val="4"/>
        </w:numPr>
        <w:spacing w:after="0"/>
      </w:pPr>
      <w:hyperlink r:id="rId31" w:history="1">
        <w:r w:rsidR="00D96D0E" w:rsidRPr="00D96D0E">
          <w:rPr>
            <w:rStyle w:val="Hipervnculo"/>
          </w:rPr>
          <w:t>Únase al Centro de Calidad de Datos</w:t>
        </w:r>
      </w:hyperlink>
    </w:p>
    <w:p w14:paraId="4073A6D5" w14:textId="77777777" w:rsidR="00D96D0E" w:rsidRPr="00D96D0E" w:rsidRDefault="0015498B" w:rsidP="00D96D0E">
      <w:pPr>
        <w:numPr>
          <w:ilvl w:val="2"/>
          <w:numId w:val="4"/>
        </w:numPr>
        <w:spacing w:after="0"/>
      </w:pPr>
      <w:hyperlink r:id="rId32" w:history="1">
        <w:r w:rsidR="00D96D0E" w:rsidRPr="00D96D0E">
          <w:rPr>
            <w:rStyle w:val="Hipervnculo"/>
          </w:rPr>
          <w:t>Comité de Calidad de Datos (DQC)</w:t>
        </w:r>
      </w:hyperlink>
    </w:p>
    <w:p w14:paraId="2FD40B21" w14:textId="77777777" w:rsidR="00D96D0E" w:rsidRPr="00D96D0E" w:rsidRDefault="0015498B" w:rsidP="00D96D0E">
      <w:pPr>
        <w:numPr>
          <w:ilvl w:val="2"/>
          <w:numId w:val="4"/>
        </w:numPr>
        <w:spacing w:after="0"/>
      </w:pPr>
      <w:hyperlink r:id="rId33" w:history="1">
        <w:r w:rsidR="00D96D0E" w:rsidRPr="00D96D0E">
          <w:rPr>
            <w:rStyle w:val="Hipervnculo"/>
          </w:rPr>
          <w:t>Archivo de noticias y reuniones de DQC</w:t>
        </w:r>
      </w:hyperlink>
    </w:p>
    <w:p w14:paraId="74BBAAFB" w14:textId="77777777" w:rsidR="00D96D0E" w:rsidRPr="00D96D0E" w:rsidRDefault="0015498B" w:rsidP="00D96D0E">
      <w:pPr>
        <w:numPr>
          <w:ilvl w:val="2"/>
          <w:numId w:val="4"/>
        </w:numPr>
      </w:pPr>
      <w:hyperlink r:id="rId34" w:history="1">
        <w:r w:rsidR="00D96D0E" w:rsidRPr="00D96D0E">
          <w:rPr>
            <w:rStyle w:val="Hipervnculo"/>
          </w:rPr>
          <w:t>Antecedentes de calidad de datos</w:t>
        </w:r>
      </w:hyperlink>
    </w:p>
    <w:p w14:paraId="664524B9" w14:textId="77777777" w:rsidR="00D96D0E" w:rsidRPr="00D96D0E" w:rsidRDefault="00D96D0E" w:rsidP="00D96D0E">
      <w:pPr>
        <w:rPr>
          <w:b/>
          <w:bCs/>
        </w:rPr>
      </w:pPr>
      <w:r w:rsidRPr="00D96D0E">
        <w:rPr>
          <w:b/>
          <w:bCs/>
        </w:rPr>
        <w:t>Exposición pública de las reglas y orientación de validación</w:t>
      </w:r>
    </w:p>
    <w:p w14:paraId="059EB224" w14:textId="77777777" w:rsidR="00D96D0E" w:rsidRPr="00D96D0E" w:rsidRDefault="00D96D0E" w:rsidP="00D96D0E">
      <w:pPr>
        <w:rPr>
          <w:b/>
          <w:bCs/>
        </w:rPr>
      </w:pPr>
      <w:r w:rsidRPr="00D96D0E">
        <w:rPr>
          <w:b/>
          <w:bCs/>
        </w:rPr>
        <w:t>Períodos aproximados de exposición pública para las reglas y directrices de DQC</w:t>
      </w:r>
    </w:p>
    <w:p w14:paraId="3424B5E4" w14:textId="77777777" w:rsidR="00D96D0E" w:rsidRPr="00D96D0E" w:rsidRDefault="00D96D0E" w:rsidP="00D96D0E">
      <w:pPr>
        <w:numPr>
          <w:ilvl w:val="0"/>
          <w:numId w:val="5"/>
        </w:numPr>
        <w:spacing w:after="0"/>
      </w:pPr>
      <w:r w:rsidRPr="00D96D0E">
        <w:t>15 de abril – 31 de mayo</w:t>
      </w:r>
    </w:p>
    <w:p w14:paraId="7F62C91C" w14:textId="77777777" w:rsidR="00D96D0E" w:rsidRPr="00D96D0E" w:rsidRDefault="00D96D0E" w:rsidP="00D96D0E">
      <w:pPr>
        <w:numPr>
          <w:ilvl w:val="0"/>
          <w:numId w:val="5"/>
        </w:numPr>
        <w:spacing w:after="0"/>
      </w:pPr>
      <w:r w:rsidRPr="00D96D0E">
        <w:t>15 de julio – 31 de agosto</w:t>
      </w:r>
    </w:p>
    <w:p w14:paraId="0BCA3CD9" w14:textId="6CDA8748" w:rsidR="00D96D0E" w:rsidRPr="00D96D0E" w:rsidRDefault="00D96D0E" w:rsidP="00D96D0E">
      <w:pPr>
        <w:numPr>
          <w:ilvl w:val="0"/>
          <w:numId w:val="5"/>
        </w:numPr>
      </w:pPr>
      <w:r w:rsidRPr="00D96D0E">
        <w:t>Noviembre 15- diciembre 31</w:t>
      </w:r>
    </w:p>
    <w:p w14:paraId="688D061B" w14:textId="77777777" w:rsidR="00D96D0E" w:rsidRPr="00D96D0E" w:rsidRDefault="00D96D0E" w:rsidP="00D96D0E">
      <w:pPr>
        <w:jc w:val="both"/>
      </w:pPr>
      <w:r w:rsidRPr="00D96D0E">
        <w:t>La revisión y los comentarios públicos son una parte crítica del proceso de mejora de la usabilidad de XBRL presentado ante la SEC. En general, las reglas se consideran para su aprobación dentro de los 45 días posteriores al cierre de la exposición pública para comentarios, y deben implementarse en todas las presentaciones dentro de los 90 días posteriores a la aprobación.</w:t>
      </w:r>
    </w:p>
    <w:p w14:paraId="05301945" w14:textId="77777777" w:rsidR="00D96D0E" w:rsidRPr="00D96D0E" w:rsidRDefault="00D96D0E" w:rsidP="00D96D0E">
      <w:pPr>
        <w:jc w:val="both"/>
      </w:pPr>
      <w:r w:rsidRPr="00D96D0E">
        <w:t>En su último período de revisión pública, </w:t>
      </w:r>
      <w:r w:rsidRPr="00D96D0E">
        <w:rPr>
          <w:b/>
          <w:bCs/>
        </w:rPr>
        <w:t>versión 19</w:t>
      </w:r>
      <w:r w:rsidRPr="00D96D0E">
        <w:t>, el Comité de Calidad de Datos busca comentarios sobre </w:t>
      </w:r>
      <w:r w:rsidRPr="00D96D0E">
        <w:rPr>
          <w:b/>
          <w:bCs/>
        </w:rPr>
        <w:t>tres nuevas verificaciones automatizadas</w:t>
      </w:r>
      <w:r w:rsidRPr="00D96D0E">
        <w:t>, incluidas las actualizaciones de las reglas para los solicitantes que utilizan las taxonomías GAAP de EE. UU., desde el 15 de julio hasta el miércoles 31 de agosto de 2022.</w:t>
      </w:r>
    </w:p>
    <w:p w14:paraId="21462F47" w14:textId="77777777" w:rsidR="00D96D0E" w:rsidRPr="00D96D0E" w:rsidRDefault="00D96D0E" w:rsidP="00D96D0E">
      <w:pPr>
        <w:jc w:val="both"/>
      </w:pPr>
      <w:r w:rsidRPr="00D96D0E">
        <w:t xml:space="preserve">Las últimas versiones de reglas compiladas y el código de implementación de referencia están vinculados a la derecha. Estos recursos se pueden utilizar con </w:t>
      </w:r>
      <w:proofErr w:type="spellStart"/>
      <w:r w:rsidRPr="00D96D0E">
        <w:t>Arelle</w:t>
      </w:r>
      <w:proofErr w:type="spellEnd"/>
      <w:r w:rsidRPr="00D96D0E">
        <w:t xml:space="preserve">, el procesador XBRL gratuito y de código abierto, y el motor de reglas </w:t>
      </w:r>
      <w:proofErr w:type="spellStart"/>
      <w:r w:rsidRPr="00D96D0E">
        <w:t>Xule</w:t>
      </w:r>
      <w:proofErr w:type="spellEnd"/>
      <w:r w:rsidRPr="00D96D0E">
        <w:t>. Consulte el cronograma en el recuadro para conocer el tiempo aproximado del período de exposición pública.</w:t>
      </w:r>
    </w:p>
    <w:p w14:paraId="1C908E03" w14:textId="77777777" w:rsidR="00D96D0E" w:rsidRPr="00D96D0E" w:rsidRDefault="00D96D0E" w:rsidP="00D96D0E">
      <w:pPr>
        <w:jc w:val="both"/>
      </w:pPr>
      <w:r w:rsidRPr="00D96D0E">
        <w:lastRenderedPageBreak/>
        <w:t>Para cada regla o elemento de orientación que se enumera a continuación, haga clic en el título para revisar su documentación completa. Para publicar sus comentarios, deberá iniciar sesión y aceptar </w:t>
      </w:r>
      <w:hyperlink r:id="rId35" w:tgtFrame="_blank" w:history="1">
        <w:r w:rsidRPr="00D96D0E">
          <w:rPr>
            <w:rStyle w:val="Hipervnculo"/>
          </w:rPr>
          <w:t>los Términos y condiciones para comentarios públicos</w:t>
        </w:r>
      </w:hyperlink>
      <w:r w:rsidRPr="00D96D0E">
        <w:t>. Los comentarios recibidos se pueden revisar sin iniciar sesión.</w:t>
      </w:r>
    </w:p>
    <w:p w14:paraId="70A4CD0C" w14:textId="77777777" w:rsidR="00D96D0E" w:rsidRPr="00D96D0E" w:rsidRDefault="00D96D0E" w:rsidP="00D96D0E">
      <w:r w:rsidRPr="00D96D0E">
        <w:t>Al proporcionar comentarios sobre orientación o una regla, tenga en cuenta lo siguiente:</w:t>
      </w:r>
    </w:p>
    <w:p w14:paraId="7D5B3BE4" w14:textId="77777777" w:rsidR="00D96D0E" w:rsidRPr="00D96D0E" w:rsidRDefault="00D96D0E" w:rsidP="00D56974">
      <w:pPr>
        <w:numPr>
          <w:ilvl w:val="0"/>
          <w:numId w:val="6"/>
        </w:numPr>
        <w:spacing w:after="0"/>
      </w:pPr>
      <w:r w:rsidRPr="00D96D0E">
        <w:t>¿Cuál es la preocupación con la regla propuesta? Por favor, sea lo más específico posible e incluya ejemplos utilizando datos enviados a la SEC.</w:t>
      </w:r>
    </w:p>
    <w:p w14:paraId="3015A7D2" w14:textId="77777777" w:rsidR="00D96D0E" w:rsidRPr="00D96D0E" w:rsidRDefault="00D96D0E" w:rsidP="00D56974">
      <w:pPr>
        <w:numPr>
          <w:ilvl w:val="0"/>
          <w:numId w:val="6"/>
        </w:numPr>
        <w:spacing w:after="0"/>
      </w:pPr>
      <w:r w:rsidRPr="00D96D0E">
        <w:t>¿Cómo debe revisarse la norma?</w:t>
      </w:r>
    </w:p>
    <w:p w14:paraId="49D3DEDB" w14:textId="77777777" w:rsidR="00D96D0E" w:rsidRPr="00D96D0E" w:rsidRDefault="00D96D0E" w:rsidP="00D96D0E">
      <w:pPr>
        <w:numPr>
          <w:ilvl w:val="0"/>
          <w:numId w:val="6"/>
        </w:numPr>
      </w:pPr>
      <w:r w:rsidRPr="00D96D0E">
        <w:t>¿Cómo mejora la revisión de la regla la usabilidad de los datos?</w:t>
      </w:r>
    </w:p>
    <w:p w14:paraId="601960E8" w14:textId="77777777" w:rsidR="00D96D0E" w:rsidRPr="00D96D0E" w:rsidRDefault="00D96D0E" w:rsidP="00D96D0E">
      <w:r w:rsidRPr="00D96D0E">
        <w:t>Utilice este enlace para obtener </w:t>
      </w:r>
      <w:hyperlink r:id="rId36" w:history="1">
        <w:r w:rsidRPr="00D96D0E">
          <w:rPr>
            <w:rStyle w:val="Hipervnculo"/>
          </w:rPr>
          <w:t>comentarios generales sobre todas las reglas y orientaciones</w:t>
        </w:r>
      </w:hyperlink>
      <w:r w:rsidRPr="00D96D0E">
        <w:t>.</w:t>
      </w:r>
    </w:p>
    <w:p w14:paraId="48A78CF5" w14:textId="77777777" w:rsidR="00D96D0E" w:rsidRPr="00D96D0E" w:rsidRDefault="00D96D0E" w:rsidP="00D96D0E">
      <w:pPr>
        <w:rPr>
          <w:b/>
          <w:bCs/>
        </w:rPr>
      </w:pPr>
      <w:r w:rsidRPr="00D96D0E">
        <w:rPr>
          <w:b/>
          <w:bCs/>
        </w:rPr>
        <w:t>Exposición pública de las reglas y orientación de validación - </w:t>
      </w:r>
      <w:hyperlink r:id="rId37" w:tgtFrame="_blank" w:history="1">
        <w:r w:rsidRPr="00D96D0E">
          <w:rPr>
            <w:rStyle w:val="Hipervnculo"/>
            <w:b/>
            <w:bCs/>
          </w:rPr>
          <w:t>RSS </w:t>
        </w:r>
      </w:hyperlink>
    </w:p>
    <w:p w14:paraId="5ED76353" w14:textId="77777777" w:rsidR="00D96D0E" w:rsidRPr="00D96D0E" w:rsidRDefault="00D96D0E" w:rsidP="00D96D0E">
      <w:pPr>
        <w:rPr>
          <w:b/>
          <w:bCs/>
        </w:rPr>
      </w:pPr>
      <w:r w:rsidRPr="00D96D0E">
        <w:rPr>
          <w:b/>
          <w:bCs/>
        </w:rPr>
        <w:t>Comentarios previstos para el miércoles 31 de agosto de 2022:</w:t>
      </w:r>
    </w:p>
    <w:p w14:paraId="080A5C92" w14:textId="77777777" w:rsidR="00D96D0E" w:rsidRPr="00D96D0E" w:rsidRDefault="00D96D0E" w:rsidP="00D96D0E">
      <w:pPr>
        <w:spacing w:after="0"/>
        <w:rPr>
          <w:b/>
          <w:bCs/>
        </w:rPr>
      </w:pPr>
      <w:r w:rsidRPr="00D96D0E">
        <w:rPr>
          <w:b/>
          <w:bCs/>
        </w:rPr>
        <w:t>DQC_0139</w:t>
      </w:r>
    </w:p>
    <w:p w14:paraId="108DF25B" w14:textId="77777777" w:rsidR="00D96D0E" w:rsidRPr="00D96D0E" w:rsidRDefault="00D96D0E" w:rsidP="00D56974">
      <w:pPr>
        <w:spacing w:after="0"/>
      </w:pPr>
      <w:r w:rsidRPr="00D96D0E">
        <w:t>US GAAP</w:t>
      </w:r>
    </w:p>
    <w:p w14:paraId="46CF27DB" w14:textId="77777777" w:rsidR="00D96D0E" w:rsidRPr="00D96D0E" w:rsidRDefault="0015498B" w:rsidP="00D56974">
      <w:pPr>
        <w:spacing w:after="0"/>
        <w:rPr>
          <w:b/>
          <w:bCs/>
        </w:rPr>
      </w:pPr>
      <w:hyperlink r:id="rId38" w:history="1">
        <w:proofErr w:type="gramStart"/>
        <w:r w:rsidR="00D96D0E" w:rsidRPr="00D96D0E">
          <w:rPr>
            <w:rStyle w:val="Hipervnculo"/>
            <w:b/>
            <w:bCs/>
          </w:rPr>
          <w:t>Ratios bancarios</w:t>
        </w:r>
        <w:proofErr w:type="gramEnd"/>
        <w:r w:rsidR="00D96D0E" w:rsidRPr="00D96D0E">
          <w:rPr>
            <w:rStyle w:val="Hipervnculo"/>
            <w:b/>
            <w:bCs/>
          </w:rPr>
          <w:t xml:space="preserve"> – Emisiones de escala</w:t>
        </w:r>
      </w:hyperlink>
    </w:p>
    <w:p w14:paraId="1438D5BA" w14:textId="77777777" w:rsidR="00D96D0E" w:rsidRPr="00D96D0E" w:rsidRDefault="00D96D0E" w:rsidP="00D96D0E">
      <w:r w:rsidRPr="00D96D0E">
        <w:t>Esta regla resuelve el problema en el que los coeficientes de adecuación de capital se informan con una escala incorrecta. También garantiza que los declarantes hayan utilizado los elementos adecuados para informar de sus ratios de adecuación de capital.</w:t>
      </w:r>
    </w:p>
    <w:p w14:paraId="636BF9E3" w14:textId="1684C4CD" w:rsidR="00D96D0E" w:rsidRPr="00D96D0E" w:rsidRDefault="00D96D0E" w:rsidP="00D96D0E"/>
    <w:p w14:paraId="405E77F2" w14:textId="77777777" w:rsidR="00D96D0E" w:rsidRPr="00D96D0E" w:rsidRDefault="00D96D0E" w:rsidP="006E207F">
      <w:pPr>
        <w:spacing w:after="0"/>
        <w:rPr>
          <w:b/>
          <w:bCs/>
        </w:rPr>
      </w:pPr>
      <w:r w:rsidRPr="00D96D0E">
        <w:rPr>
          <w:b/>
          <w:bCs/>
        </w:rPr>
        <w:t>DQC_0140</w:t>
      </w:r>
    </w:p>
    <w:p w14:paraId="032C49C5" w14:textId="77777777" w:rsidR="00D96D0E" w:rsidRPr="00D96D0E" w:rsidRDefault="00D96D0E" w:rsidP="00D56974">
      <w:pPr>
        <w:spacing w:after="0"/>
      </w:pPr>
      <w:r w:rsidRPr="00D96D0E">
        <w:t>US GAAP</w:t>
      </w:r>
    </w:p>
    <w:p w14:paraId="2AD62DD2" w14:textId="77777777" w:rsidR="00D96D0E" w:rsidRPr="00D96D0E" w:rsidRDefault="0015498B" w:rsidP="00D56974">
      <w:pPr>
        <w:spacing w:after="0"/>
        <w:rPr>
          <w:b/>
          <w:bCs/>
        </w:rPr>
      </w:pPr>
      <w:hyperlink r:id="rId39" w:history="1">
        <w:r w:rsidR="00D96D0E" w:rsidRPr="00D96D0E">
          <w:rPr>
            <w:rStyle w:val="Hipervnculo"/>
            <w:b/>
            <w:bCs/>
          </w:rPr>
          <w:t>Cronograma de Inversiones Cross Calc</w:t>
        </w:r>
      </w:hyperlink>
    </w:p>
    <w:p w14:paraId="75A8A1C2" w14:textId="100E9FC4" w:rsidR="00D96D0E" w:rsidRDefault="00D96D0E" w:rsidP="00D56974">
      <w:pPr>
        <w:jc w:val="both"/>
      </w:pPr>
      <w:r w:rsidRPr="00D96D0E">
        <w:t>Esta regla tiene como objetivo identificar aquellos casos en los que la empresa ha hecho un mal uso de elementos en el cronograma de inversión que muestran la diferencia en el costo amortizado y el valor razonable. La regla verifica que el cronograma de inversión que muestra la diferencia entre el costo amortizado y el valor razonable se calcule correctamente.</w:t>
      </w:r>
    </w:p>
    <w:p w14:paraId="1C13D169" w14:textId="77777777" w:rsidR="00D56974" w:rsidRPr="00D96D0E" w:rsidRDefault="00D56974" w:rsidP="00D96D0E"/>
    <w:p w14:paraId="37D79287" w14:textId="77777777" w:rsidR="00D96D0E" w:rsidRPr="00D96D0E" w:rsidRDefault="00D96D0E" w:rsidP="006E207F">
      <w:pPr>
        <w:spacing w:after="0"/>
        <w:rPr>
          <w:b/>
          <w:bCs/>
        </w:rPr>
      </w:pPr>
      <w:r w:rsidRPr="00D96D0E">
        <w:rPr>
          <w:b/>
          <w:bCs/>
        </w:rPr>
        <w:t>DQC_0141</w:t>
      </w:r>
    </w:p>
    <w:p w14:paraId="641D11C5" w14:textId="77777777" w:rsidR="00D96D0E" w:rsidRPr="00D96D0E" w:rsidRDefault="00D96D0E" w:rsidP="00D56974">
      <w:pPr>
        <w:spacing w:after="0"/>
      </w:pPr>
      <w:r w:rsidRPr="00D96D0E">
        <w:t>US GAAP</w:t>
      </w:r>
    </w:p>
    <w:p w14:paraId="55FA9287" w14:textId="77777777" w:rsidR="00D96D0E" w:rsidRPr="00D96D0E" w:rsidRDefault="0015498B" w:rsidP="00D56974">
      <w:pPr>
        <w:spacing w:after="0"/>
        <w:rPr>
          <w:b/>
          <w:bCs/>
        </w:rPr>
      </w:pPr>
      <w:hyperlink r:id="rId40" w:history="1">
        <w:r w:rsidR="00D96D0E" w:rsidRPr="00D96D0E">
          <w:rPr>
            <w:rStyle w:val="Hipervnculo"/>
            <w:b/>
            <w:bCs/>
          </w:rPr>
          <w:t>Elementos de intereses devengados inconsistentes</w:t>
        </w:r>
      </w:hyperlink>
    </w:p>
    <w:p w14:paraId="08D439A3" w14:textId="77777777" w:rsidR="00D96D0E" w:rsidRPr="00D96D0E" w:rsidRDefault="00D96D0E" w:rsidP="00D96D0E">
      <w:r w:rsidRPr="00D96D0E">
        <w:t>La regla garantiza que se utilicen los elementos correctos en el cronograma de inversión. Específicamente, garantiza que se utilicen elementos coherentes para incluir y excluir elementos de intereses devengados en la divulgación de la inversión.</w:t>
      </w:r>
    </w:p>
    <w:p w14:paraId="1F6FC996" w14:textId="77777777" w:rsidR="00D96D0E" w:rsidRPr="00D96D0E" w:rsidRDefault="00D96D0E" w:rsidP="00D96D0E">
      <w:pPr>
        <w:rPr>
          <w:b/>
          <w:bCs/>
        </w:rPr>
      </w:pPr>
      <w:r w:rsidRPr="00D96D0E">
        <w:rPr>
          <w:b/>
          <w:bCs/>
        </w:rPr>
        <w:t>ORIENTACIÓN - PREGUNTAS FRECUENTES SOBRE ORIENTACIÓN DE INVERSIÓN</w:t>
      </w:r>
    </w:p>
    <w:p w14:paraId="5DFEF82F" w14:textId="77777777" w:rsidR="00D96D0E" w:rsidRPr="00D96D0E" w:rsidRDefault="00D96D0E" w:rsidP="00D96D0E">
      <w:r w:rsidRPr="00D96D0E">
        <w:t>US GAAP</w:t>
      </w:r>
    </w:p>
    <w:p w14:paraId="7B9DDFBB" w14:textId="64EC1362" w:rsidR="00D96D0E" w:rsidRPr="00D96D0E" w:rsidRDefault="00D96D0E" w:rsidP="00D96D0E"/>
    <w:p w14:paraId="729D08E9" w14:textId="77777777" w:rsidR="00D96D0E" w:rsidRPr="00D96D0E" w:rsidRDefault="0015498B" w:rsidP="00D96D0E">
      <w:pPr>
        <w:rPr>
          <w:b/>
          <w:bCs/>
        </w:rPr>
      </w:pPr>
      <w:hyperlink r:id="rId41" w:history="1">
        <w:r w:rsidR="00D96D0E" w:rsidRPr="00D96D0E">
          <w:rPr>
            <w:rStyle w:val="Hipervnculo"/>
            <w:b/>
            <w:bCs/>
          </w:rPr>
          <w:t>Preguntas frecuentes sobre la orientación de inversión</w:t>
        </w:r>
      </w:hyperlink>
    </w:p>
    <w:p w14:paraId="0D6BB5C7" w14:textId="77777777" w:rsidR="00D96D0E" w:rsidRPr="00D96D0E" w:rsidRDefault="00D96D0E" w:rsidP="00D96D0E">
      <w:r w:rsidRPr="00D96D0E">
        <w:lastRenderedPageBreak/>
        <w:t>Esta guía está destinada a complementar la orientación proporcionada por la guía de implementación de FASB Instrumentos financieros – Títulos de deuda.</w:t>
      </w:r>
    </w:p>
    <w:p w14:paraId="3979BD35" w14:textId="77777777" w:rsidR="00D96D0E" w:rsidRPr="00D96D0E" w:rsidRDefault="00D96D0E" w:rsidP="00D96D0E">
      <w:pPr>
        <w:rPr>
          <w:b/>
          <w:bCs/>
        </w:rPr>
      </w:pPr>
      <w:r w:rsidRPr="00D96D0E">
        <w:rPr>
          <w:b/>
          <w:bCs/>
        </w:rPr>
        <w:t>Comentario</w:t>
      </w:r>
    </w:p>
    <w:p w14:paraId="0E5C65A3" w14:textId="77777777" w:rsidR="00D96D0E" w:rsidRPr="00D96D0E" w:rsidRDefault="00D96D0E" w:rsidP="00D96D0E">
      <w:r w:rsidRPr="00D96D0E">
        <w:t>Debe haber </w:t>
      </w:r>
      <w:hyperlink r:id="rId42" w:history="1">
        <w:r w:rsidRPr="00D96D0E">
          <w:rPr>
            <w:rStyle w:val="Hipervnculo"/>
          </w:rPr>
          <w:t>iniciado sesión</w:t>
        </w:r>
      </w:hyperlink>
      <w:r w:rsidRPr="00D96D0E">
        <w:t> para publicar un comentario.</w:t>
      </w:r>
    </w:p>
    <w:p w14:paraId="7D7F5DB3" w14:textId="77777777" w:rsidR="00D96D0E" w:rsidRDefault="00D96D0E" w:rsidP="00A97AF8"/>
    <w:p w14:paraId="6C1ED46C" w14:textId="77777777" w:rsidR="00A97AF8" w:rsidRPr="00A97AF8" w:rsidRDefault="00A97AF8" w:rsidP="00A97AF8"/>
    <w:p w14:paraId="100BE8D0" w14:textId="77777777" w:rsidR="000152A0" w:rsidRDefault="000152A0"/>
    <w:sectPr w:rsidR="00015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39E"/>
    <w:multiLevelType w:val="multilevel"/>
    <w:tmpl w:val="30E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C2A32"/>
    <w:multiLevelType w:val="multilevel"/>
    <w:tmpl w:val="1768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9245F"/>
    <w:multiLevelType w:val="multilevel"/>
    <w:tmpl w:val="2B6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61962"/>
    <w:multiLevelType w:val="multilevel"/>
    <w:tmpl w:val="F69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C5FB8"/>
    <w:multiLevelType w:val="multilevel"/>
    <w:tmpl w:val="B692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47645"/>
    <w:multiLevelType w:val="multilevel"/>
    <w:tmpl w:val="F582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F8"/>
    <w:rsid w:val="000152A0"/>
    <w:rsid w:val="0015498B"/>
    <w:rsid w:val="006E207F"/>
    <w:rsid w:val="00703DB2"/>
    <w:rsid w:val="00A97AF8"/>
    <w:rsid w:val="00D56974"/>
    <w:rsid w:val="00D96D0E"/>
    <w:rsid w:val="00E75F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E1EB"/>
  <w15:chartTrackingRefBased/>
  <w15:docId w15:val="{E6EA78F3-A00B-4562-AE5E-A48E4882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7AF8"/>
    <w:rPr>
      <w:color w:val="0563C1" w:themeColor="hyperlink"/>
      <w:u w:val="single"/>
    </w:rPr>
  </w:style>
  <w:style w:type="character" w:styleId="Mencinsinresolver">
    <w:name w:val="Unresolved Mention"/>
    <w:basedOn w:val="Fuentedeprrafopredeter"/>
    <w:uiPriority w:val="99"/>
    <w:semiHidden/>
    <w:unhideWhenUsed/>
    <w:rsid w:val="00A9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56218">
      <w:bodyDiv w:val="1"/>
      <w:marLeft w:val="0"/>
      <w:marRight w:val="0"/>
      <w:marTop w:val="0"/>
      <w:marBottom w:val="0"/>
      <w:divBdr>
        <w:top w:val="none" w:sz="0" w:space="0" w:color="auto"/>
        <w:left w:val="none" w:sz="0" w:space="0" w:color="auto"/>
        <w:bottom w:val="none" w:sz="0" w:space="0" w:color="auto"/>
        <w:right w:val="none" w:sz="0" w:space="0" w:color="auto"/>
      </w:divBdr>
      <w:divsChild>
        <w:div w:id="632636595">
          <w:marLeft w:val="0"/>
          <w:marRight w:val="0"/>
          <w:marTop w:val="225"/>
          <w:marBottom w:val="225"/>
          <w:divBdr>
            <w:top w:val="none" w:sz="0" w:space="0" w:color="auto"/>
            <w:left w:val="none" w:sz="0" w:space="0" w:color="auto"/>
            <w:bottom w:val="none" w:sz="0" w:space="0" w:color="auto"/>
            <w:right w:val="none" w:sz="0" w:space="0" w:color="auto"/>
          </w:divBdr>
        </w:div>
        <w:div w:id="2027633518">
          <w:marLeft w:val="0"/>
          <w:marRight w:val="0"/>
          <w:marTop w:val="45"/>
          <w:marBottom w:val="0"/>
          <w:divBdr>
            <w:top w:val="none" w:sz="0" w:space="0" w:color="auto"/>
            <w:left w:val="none" w:sz="0" w:space="0" w:color="auto"/>
            <w:bottom w:val="none" w:sz="0" w:space="0" w:color="auto"/>
            <w:right w:val="none" w:sz="0" w:space="0" w:color="auto"/>
          </w:divBdr>
          <w:divsChild>
            <w:div w:id="616330648">
              <w:marLeft w:val="0"/>
              <w:marRight w:val="0"/>
              <w:marTop w:val="0"/>
              <w:marBottom w:val="0"/>
              <w:divBdr>
                <w:top w:val="outset" w:sz="6" w:space="0" w:color="CCCCCC"/>
                <w:left w:val="outset" w:sz="6" w:space="0" w:color="CCCCCC"/>
                <w:bottom w:val="none" w:sz="0" w:space="0" w:color="auto"/>
                <w:right w:val="outset" w:sz="6" w:space="0" w:color="CCCCCC"/>
              </w:divBdr>
            </w:div>
          </w:divsChild>
        </w:div>
        <w:div w:id="2036803638">
          <w:marLeft w:val="0"/>
          <w:marRight w:val="0"/>
          <w:marTop w:val="210"/>
          <w:marBottom w:val="0"/>
          <w:divBdr>
            <w:top w:val="none" w:sz="0" w:space="0" w:color="auto"/>
            <w:left w:val="none" w:sz="0" w:space="0" w:color="auto"/>
            <w:bottom w:val="none" w:sz="0" w:space="0" w:color="auto"/>
            <w:right w:val="none" w:sz="0" w:space="0" w:color="auto"/>
          </w:divBdr>
        </w:div>
        <w:div w:id="1172640856">
          <w:marLeft w:val="0"/>
          <w:marRight w:val="0"/>
          <w:marTop w:val="0"/>
          <w:marBottom w:val="0"/>
          <w:divBdr>
            <w:top w:val="none" w:sz="0" w:space="0" w:color="auto"/>
            <w:left w:val="none" w:sz="0" w:space="0" w:color="auto"/>
            <w:bottom w:val="none" w:sz="0" w:space="0" w:color="auto"/>
            <w:right w:val="none" w:sz="0" w:space="0" w:color="auto"/>
          </w:divBdr>
        </w:div>
        <w:div w:id="2118140756">
          <w:marLeft w:val="0"/>
          <w:marRight w:val="0"/>
          <w:marTop w:val="0"/>
          <w:marBottom w:val="0"/>
          <w:divBdr>
            <w:top w:val="none" w:sz="0" w:space="0" w:color="auto"/>
            <w:left w:val="none" w:sz="0" w:space="0" w:color="auto"/>
            <w:bottom w:val="none" w:sz="0" w:space="0" w:color="auto"/>
            <w:right w:val="none" w:sz="0" w:space="0" w:color="auto"/>
          </w:divBdr>
        </w:div>
        <w:div w:id="1810398826">
          <w:marLeft w:val="0"/>
          <w:marRight w:val="300"/>
          <w:marTop w:val="0"/>
          <w:marBottom w:val="0"/>
          <w:divBdr>
            <w:top w:val="single" w:sz="24" w:space="0" w:color="000000"/>
            <w:left w:val="none" w:sz="0" w:space="0" w:color="auto"/>
            <w:bottom w:val="none" w:sz="0" w:space="0" w:color="auto"/>
            <w:right w:val="none" w:sz="0" w:space="0" w:color="auto"/>
          </w:divBdr>
          <w:divsChild>
            <w:div w:id="1459761008">
              <w:marLeft w:val="0"/>
              <w:marRight w:val="0"/>
              <w:marTop w:val="0"/>
              <w:marBottom w:val="0"/>
              <w:divBdr>
                <w:top w:val="none" w:sz="0" w:space="0" w:color="auto"/>
                <w:left w:val="none" w:sz="0" w:space="0" w:color="auto"/>
                <w:bottom w:val="none" w:sz="0" w:space="0" w:color="auto"/>
                <w:right w:val="none" w:sz="0" w:space="0" w:color="auto"/>
              </w:divBdr>
              <w:divsChild>
                <w:div w:id="123281485">
                  <w:marLeft w:val="75"/>
                  <w:marRight w:val="0"/>
                  <w:marTop w:val="0"/>
                  <w:marBottom w:val="0"/>
                  <w:divBdr>
                    <w:top w:val="single" w:sz="6" w:space="6" w:color="CCCCCC"/>
                    <w:left w:val="single" w:sz="6" w:space="6" w:color="CCCCCC"/>
                    <w:bottom w:val="single" w:sz="6" w:space="6" w:color="CCCCCC"/>
                    <w:right w:val="single" w:sz="6" w:space="6" w:color="CCCCCC"/>
                  </w:divBdr>
                </w:div>
                <w:div w:id="1418868546">
                  <w:marLeft w:val="0"/>
                  <w:marRight w:val="0"/>
                  <w:marTop w:val="300"/>
                  <w:marBottom w:val="375"/>
                  <w:divBdr>
                    <w:top w:val="none" w:sz="0" w:space="0" w:color="auto"/>
                    <w:left w:val="none" w:sz="0" w:space="0" w:color="auto"/>
                    <w:bottom w:val="none" w:sz="0" w:space="0" w:color="auto"/>
                    <w:right w:val="none" w:sz="0" w:space="0" w:color="auto"/>
                  </w:divBdr>
                  <w:divsChild>
                    <w:div w:id="140730926">
                      <w:marLeft w:val="0"/>
                      <w:marRight w:val="0"/>
                      <w:marTop w:val="0"/>
                      <w:marBottom w:val="0"/>
                      <w:divBdr>
                        <w:top w:val="none" w:sz="0" w:space="0" w:color="auto"/>
                        <w:left w:val="none" w:sz="0" w:space="0" w:color="auto"/>
                        <w:bottom w:val="dotted" w:sz="6" w:space="0" w:color="CCCCCC"/>
                        <w:right w:val="none" w:sz="0" w:space="0" w:color="auto"/>
                      </w:divBdr>
                      <w:divsChild>
                        <w:div w:id="1480656441">
                          <w:marLeft w:val="0"/>
                          <w:marRight w:val="0"/>
                          <w:marTop w:val="0"/>
                          <w:marBottom w:val="0"/>
                          <w:divBdr>
                            <w:top w:val="none" w:sz="0" w:space="0" w:color="auto"/>
                            <w:left w:val="none" w:sz="0" w:space="0" w:color="auto"/>
                            <w:bottom w:val="none" w:sz="0" w:space="0" w:color="auto"/>
                            <w:right w:val="none" w:sz="0" w:space="0" w:color="auto"/>
                          </w:divBdr>
                          <w:divsChild>
                            <w:div w:id="753552939">
                              <w:marLeft w:val="0"/>
                              <w:marRight w:val="0"/>
                              <w:marTop w:val="0"/>
                              <w:marBottom w:val="0"/>
                              <w:divBdr>
                                <w:top w:val="none" w:sz="0" w:space="0" w:color="auto"/>
                                <w:left w:val="none" w:sz="0" w:space="0" w:color="auto"/>
                                <w:bottom w:val="none" w:sz="0" w:space="0" w:color="auto"/>
                                <w:right w:val="none" w:sz="0" w:space="0" w:color="auto"/>
                              </w:divBdr>
                            </w:div>
                          </w:divsChild>
                        </w:div>
                        <w:div w:id="672729215">
                          <w:marLeft w:val="0"/>
                          <w:marRight w:val="0"/>
                          <w:marTop w:val="0"/>
                          <w:marBottom w:val="0"/>
                          <w:divBdr>
                            <w:top w:val="none" w:sz="0" w:space="0" w:color="auto"/>
                            <w:left w:val="single" w:sz="18" w:space="0" w:color="CCCCCC"/>
                            <w:bottom w:val="none" w:sz="0" w:space="0" w:color="auto"/>
                            <w:right w:val="none" w:sz="0" w:space="0" w:color="auto"/>
                          </w:divBdr>
                          <w:divsChild>
                            <w:div w:id="12010136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31737352">
                      <w:marLeft w:val="0"/>
                      <w:marRight w:val="0"/>
                      <w:marTop w:val="0"/>
                      <w:marBottom w:val="0"/>
                      <w:divBdr>
                        <w:top w:val="none" w:sz="0" w:space="0" w:color="auto"/>
                        <w:left w:val="none" w:sz="0" w:space="0" w:color="auto"/>
                        <w:bottom w:val="dotted" w:sz="6" w:space="0" w:color="CCCCCC"/>
                        <w:right w:val="none" w:sz="0" w:space="0" w:color="auto"/>
                      </w:divBdr>
                      <w:divsChild>
                        <w:div w:id="297997052">
                          <w:marLeft w:val="0"/>
                          <w:marRight w:val="0"/>
                          <w:marTop w:val="0"/>
                          <w:marBottom w:val="0"/>
                          <w:divBdr>
                            <w:top w:val="none" w:sz="0" w:space="0" w:color="auto"/>
                            <w:left w:val="none" w:sz="0" w:space="0" w:color="auto"/>
                            <w:bottom w:val="none" w:sz="0" w:space="0" w:color="auto"/>
                            <w:right w:val="none" w:sz="0" w:space="0" w:color="auto"/>
                          </w:divBdr>
                          <w:divsChild>
                            <w:div w:id="344793925">
                              <w:marLeft w:val="0"/>
                              <w:marRight w:val="0"/>
                              <w:marTop w:val="0"/>
                              <w:marBottom w:val="0"/>
                              <w:divBdr>
                                <w:top w:val="none" w:sz="0" w:space="0" w:color="auto"/>
                                <w:left w:val="none" w:sz="0" w:space="0" w:color="auto"/>
                                <w:bottom w:val="none" w:sz="0" w:space="0" w:color="auto"/>
                                <w:right w:val="none" w:sz="0" w:space="0" w:color="auto"/>
                              </w:divBdr>
                            </w:div>
                          </w:divsChild>
                        </w:div>
                        <w:div w:id="440346852">
                          <w:marLeft w:val="0"/>
                          <w:marRight w:val="0"/>
                          <w:marTop w:val="0"/>
                          <w:marBottom w:val="0"/>
                          <w:divBdr>
                            <w:top w:val="none" w:sz="0" w:space="0" w:color="auto"/>
                            <w:left w:val="single" w:sz="18" w:space="0" w:color="CCCCCC"/>
                            <w:bottom w:val="none" w:sz="0" w:space="0" w:color="auto"/>
                            <w:right w:val="none" w:sz="0" w:space="0" w:color="auto"/>
                          </w:divBdr>
                          <w:divsChild>
                            <w:div w:id="12077180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90060712">
                      <w:marLeft w:val="0"/>
                      <w:marRight w:val="0"/>
                      <w:marTop w:val="0"/>
                      <w:marBottom w:val="0"/>
                      <w:divBdr>
                        <w:top w:val="none" w:sz="0" w:space="0" w:color="auto"/>
                        <w:left w:val="none" w:sz="0" w:space="0" w:color="auto"/>
                        <w:bottom w:val="dotted" w:sz="6" w:space="0" w:color="CCCCCC"/>
                        <w:right w:val="none" w:sz="0" w:space="0" w:color="auto"/>
                      </w:divBdr>
                      <w:divsChild>
                        <w:div w:id="875849720">
                          <w:marLeft w:val="0"/>
                          <w:marRight w:val="0"/>
                          <w:marTop w:val="0"/>
                          <w:marBottom w:val="0"/>
                          <w:divBdr>
                            <w:top w:val="none" w:sz="0" w:space="0" w:color="auto"/>
                            <w:left w:val="none" w:sz="0" w:space="0" w:color="auto"/>
                            <w:bottom w:val="none" w:sz="0" w:space="0" w:color="auto"/>
                            <w:right w:val="none" w:sz="0" w:space="0" w:color="auto"/>
                          </w:divBdr>
                          <w:divsChild>
                            <w:div w:id="1325282202">
                              <w:marLeft w:val="0"/>
                              <w:marRight w:val="0"/>
                              <w:marTop w:val="0"/>
                              <w:marBottom w:val="0"/>
                              <w:divBdr>
                                <w:top w:val="none" w:sz="0" w:space="0" w:color="auto"/>
                                <w:left w:val="none" w:sz="0" w:space="0" w:color="auto"/>
                                <w:bottom w:val="none" w:sz="0" w:space="0" w:color="auto"/>
                                <w:right w:val="none" w:sz="0" w:space="0" w:color="auto"/>
                              </w:divBdr>
                            </w:div>
                          </w:divsChild>
                        </w:div>
                        <w:div w:id="983242298">
                          <w:marLeft w:val="0"/>
                          <w:marRight w:val="0"/>
                          <w:marTop w:val="0"/>
                          <w:marBottom w:val="0"/>
                          <w:divBdr>
                            <w:top w:val="none" w:sz="0" w:space="0" w:color="auto"/>
                            <w:left w:val="single" w:sz="18" w:space="0" w:color="CCCCCC"/>
                            <w:bottom w:val="none" w:sz="0" w:space="0" w:color="auto"/>
                            <w:right w:val="none" w:sz="0" w:space="0" w:color="auto"/>
                          </w:divBdr>
                          <w:divsChild>
                            <w:div w:id="8036974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28603465">
                      <w:marLeft w:val="0"/>
                      <w:marRight w:val="0"/>
                      <w:marTop w:val="0"/>
                      <w:marBottom w:val="0"/>
                      <w:divBdr>
                        <w:top w:val="none" w:sz="0" w:space="0" w:color="auto"/>
                        <w:left w:val="none" w:sz="0" w:space="0" w:color="auto"/>
                        <w:bottom w:val="none" w:sz="0" w:space="0" w:color="auto"/>
                        <w:right w:val="none" w:sz="0" w:space="0" w:color="auto"/>
                      </w:divBdr>
                      <w:divsChild>
                        <w:div w:id="1844516649">
                          <w:marLeft w:val="0"/>
                          <w:marRight w:val="0"/>
                          <w:marTop w:val="0"/>
                          <w:marBottom w:val="0"/>
                          <w:divBdr>
                            <w:top w:val="none" w:sz="0" w:space="0" w:color="auto"/>
                            <w:left w:val="none" w:sz="0" w:space="0" w:color="auto"/>
                            <w:bottom w:val="none" w:sz="0" w:space="0" w:color="auto"/>
                            <w:right w:val="none" w:sz="0" w:space="0" w:color="auto"/>
                          </w:divBdr>
                          <w:divsChild>
                            <w:div w:id="1369641464">
                              <w:marLeft w:val="0"/>
                              <w:marRight w:val="0"/>
                              <w:marTop w:val="0"/>
                              <w:marBottom w:val="0"/>
                              <w:divBdr>
                                <w:top w:val="none" w:sz="0" w:space="0" w:color="auto"/>
                                <w:left w:val="none" w:sz="0" w:space="0" w:color="auto"/>
                                <w:bottom w:val="none" w:sz="0" w:space="0" w:color="auto"/>
                                <w:right w:val="none" w:sz="0" w:space="0" w:color="auto"/>
                              </w:divBdr>
                            </w:div>
                          </w:divsChild>
                        </w:div>
                        <w:div w:id="616983959">
                          <w:marLeft w:val="0"/>
                          <w:marRight w:val="0"/>
                          <w:marTop w:val="0"/>
                          <w:marBottom w:val="0"/>
                          <w:divBdr>
                            <w:top w:val="none" w:sz="0" w:space="0" w:color="auto"/>
                            <w:left w:val="single" w:sz="18" w:space="0" w:color="CCCCCC"/>
                            <w:bottom w:val="none" w:sz="0" w:space="0" w:color="auto"/>
                            <w:right w:val="none" w:sz="0" w:space="0" w:color="auto"/>
                          </w:divBdr>
                          <w:divsChild>
                            <w:div w:id="687693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55182787">
                  <w:marLeft w:val="0"/>
                  <w:marRight w:val="0"/>
                  <w:marTop w:val="0"/>
                  <w:marBottom w:val="0"/>
                  <w:divBdr>
                    <w:top w:val="none" w:sz="0" w:space="0" w:color="auto"/>
                    <w:left w:val="none" w:sz="0" w:space="0" w:color="auto"/>
                    <w:bottom w:val="none" w:sz="0" w:space="0" w:color="auto"/>
                    <w:right w:val="none" w:sz="0" w:space="0" w:color="auto"/>
                  </w:divBdr>
                  <w:divsChild>
                    <w:div w:id="18803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14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766">
          <w:marLeft w:val="0"/>
          <w:marRight w:val="0"/>
          <w:marTop w:val="225"/>
          <w:marBottom w:val="225"/>
          <w:divBdr>
            <w:top w:val="none" w:sz="0" w:space="0" w:color="auto"/>
            <w:left w:val="none" w:sz="0" w:space="0" w:color="auto"/>
            <w:bottom w:val="none" w:sz="0" w:space="0" w:color="auto"/>
            <w:right w:val="none" w:sz="0" w:space="0" w:color="auto"/>
          </w:divBdr>
        </w:div>
        <w:div w:id="387925887">
          <w:marLeft w:val="0"/>
          <w:marRight w:val="0"/>
          <w:marTop w:val="45"/>
          <w:marBottom w:val="0"/>
          <w:divBdr>
            <w:top w:val="none" w:sz="0" w:space="0" w:color="auto"/>
            <w:left w:val="none" w:sz="0" w:space="0" w:color="auto"/>
            <w:bottom w:val="none" w:sz="0" w:space="0" w:color="auto"/>
            <w:right w:val="none" w:sz="0" w:space="0" w:color="auto"/>
          </w:divBdr>
        </w:div>
        <w:div w:id="1729499962">
          <w:marLeft w:val="0"/>
          <w:marRight w:val="0"/>
          <w:marTop w:val="210"/>
          <w:marBottom w:val="0"/>
          <w:divBdr>
            <w:top w:val="none" w:sz="0" w:space="0" w:color="auto"/>
            <w:left w:val="none" w:sz="0" w:space="0" w:color="auto"/>
            <w:bottom w:val="none" w:sz="0" w:space="0" w:color="auto"/>
            <w:right w:val="none" w:sz="0" w:space="0" w:color="auto"/>
          </w:divBdr>
        </w:div>
        <w:div w:id="641886744">
          <w:marLeft w:val="0"/>
          <w:marRight w:val="0"/>
          <w:marTop w:val="0"/>
          <w:marBottom w:val="0"/>
          <w:divBdr>
            <w:top w:val="none" w:sz="0" w:space="0" w:color="auto"/>
            <w:left w:val="none" w:sz="0" w:space="0" w:color="auto"/>
            <w:bottom w:val="none" w:sz="0" w:space="0" w:color="auto"/>
            <w:right w:val="none" w:sz="0" w:space="0" w:color="auto"/>
          </w:divBdr>
        </w:div>
        <w:div w:id="826628444">
          <w:marLeft w:val="0"/>
          <w:marRight w:val="0"/>
          <w:marTop w:val="0"/>
          <w:marBottom w:val="0"/>
          <w:divBdr>
            <w:top w:val="none" w:sz="0" w:space="0" w:color="auto"/>
            <w:left w:val="none" w:sz="0" w:space="0" w:color="auto"/>
            <w:bottom w:val="none" w:sz="0" w:space="0" w:color="auto"/>
            <w:right w:val="none" w:sz="0" w:space="0" w:color="auto"/>
          </w:divBdr>
        </w:div>
        <w:div w:id="2049452375">
          <w:marLeft w:val="0"/>
          <w:marRight w:val="300"/>
          <w:marTop w:val="0"/>
          <w:marBottom w:val="0"/>
          <w:divBdr>
            <w:top w:val="single" w:sz="24" w:space="0" w:color="000000"/>
            <w:left w:val="none" w:sz="0" w:space="0" w:color="auto"/>
            <w:bottom w:val="none" w:sz="0" w:space="0" w:color="auto"/>
            <w:right w:val="none" w:sz="0" w:space="0" w:color="auto"/>
          </w:divBdr>
          <w:divsChild>
            <w:div w:id="1238903695">
              <w:marLeft w:val="0"/>
              <w:marRight w:val="0"/>
              <w:marTop w:val="0"/>
              <w:marBottom w:val="0"/>
              <w:divBdr>
                <w:top w:val="none" w:sz="0" w:space="0" w:color="auto"/>
                <w:left w:val="none" w:sz="0" w:space="0" w:color="auto"/>
                <w:bottom w:val="none" w:sz="0" w:space="0" w:color="auto"/>
                <w:right w:val="none" w:sz="0" w:space="0" w:color="auto"/>
              </w:divBdr>
              <w:divsChild>
                <w:div w:id="1224028389">
                  <w:marLeft w:val="75"/>
                  <w:marRight w:val="0"/>
                  <w:marTop w:val="0"/>
                  <w:marBottom w:val="75"/>
                  <w:divBdr>
                    <w:top w:val="none" w:sz="0" w:space="0" w:color="auto"/>
                    <w:left w:val="none" w:sz="0" w:space="0" w:color="auto"/>
                    <w:bottom w:val="none" w:sz="0" w:space="0" w:color="auto"/>
                    <w:right w:val="none" w:sz="0" w:space="0" w:color="auto"/>
                  </w:divBdr>
                </w:div>
                <w:div w:id="1338464005">
                  <w:marLeft w:val="0"/>
                  <w:marRight w:val="0"/>
                  <w:marTop w:val="120"/>
                  <w:marBottom w:val="0"/>
                  <w:divBdr>
                    <w:top w:val="none" w:sz="0" w:space="0" w:color="auto"/>
                    <w:left w:val="none" w:sz="0" w:space="0" w:color="auto"/>
                    <w:bottom w:val="none" w:sz="0" w:space="0" w:color="auto"/>
                    <w:right w:val="none" w:sz="0" w:space="0" w:color="auto"/>
                  </w:divBdr>
                </w:div>
                <w:div w:id="905266866">
                  <w:marLeft w:val="0"/>
                  <w:marRight w:val="0"/>
                  <w:marTop w:val="0"/>
                  <w:marBottom w:val="0"/>
                  <w:divBdr>
                    <w:top w:val="none" w:sz="0" w:space="0" w:color="auto"/>
                    <w:left w:val="none" w:sz="0" w:space="0" w:color="auto"/>
                    <w:bottom w:val="none" w:sz="0" w:space="0" w:color="auto"/>
                    <w:right w:val="none" w:sz="0" w:space="0" w:color="auto"/>
                  </w:divBdr>
                </w:div>
              </w:divsChild>
            </w:div>
            <w:div w:id="1014267399">
              <w:marLeft w:val="0"/>
              <w:marRight w:val="0"/>
              <w:marTop w:val="600"/>
              <w:marBottom w:val="0"/>
              <w:divBdr>
                <w:top w:val="none" w:sz="0" w:space="0" w:color="auto"/>
                <w:left w:val="none" w:sz="0" w:space="0" w:color="auto"/>
                <w:bottom w:val="none" w:sz="0" w:space="0" w:color="auto"/>
                <w:right w:val="none" w:sz="0" w:space="0" w:color="auto"/>
              </w:divBdr>
              <w:divsChild>
                <w:div w:id="53119310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brl.us/check" TargetMode="External"/><Relationship Id="rId18" Type="http://schemas.openxmlformats.org/officeDocument/2006/relationships/hyperlink" Target="https://xbrl.us/home/category/member/rdg-filings/" TargetMode="External"/><Relationship Id="rId26" Type="http://schemas.openxmlformats.org/officeDocument/2006/relationships/hyperlink" Target="https://xbrl.us/data-quality/filing-results/" TargetMode="External"/><Relationship Id="rId39" Type="http://schemas.openxmlformats.org/officeDocument/2006/relationships/hyperlink" Target="https://xbrl.us/data-rule/dqc_0140/" TargetMode="External"/><Relationship Id="rId21" Type="http://schemas.openxmlformats.org/officeDocument/2006/relationships/hyperlink" Target="https://xbrl.us/data-quality/rules-guidance/" TargetMode="External"/><Relationship Id="rId34" Type="http://schemas.openxmlformats.org/officeDocument/2006/relationships/hyperlink" Target="https://xbrl.us/data-quality/center/issue-background/" TargetMode="External"/><Relationship Id="rId42" Type="http://schemas.openxmlformats.org/officeDocument/2006/relationships/hyperlink" Target="https://xbrl.us/wp-login.php?redirect_to=https%3A%2F%2Fxbrl.us%2Fdata-quality%2Frules-guidance%2Fpublic-review%2F"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xbrl.us/home/category/member/aicpa/" TargetMode="External"/><Relationship Id="rId20" Type="http://schemas.openxmlformats.org/officeDocument/2006/relationships/hyperlink" Target="https://xbrl.us/data-quality" TargetMode="External"/><Relationship Id="rId29" Type="http://schemas.openxmlformats.org/officeDocument/2006/relationships/hyperlink" Target="https://xbrl.us/data-quality/filing-results/dqc-results/" TargetMode="External"/><Relationship Id="rId41" Type="http://schemas.openxmlformats.org/officeDocument/2006/relationships/hyperlink" Target="https://xbrl.us/data-rule/guid-investment-fa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xbrl.us/data-quality/filing-results/dqc-results/" TargetMode="External"/><Relationship Id="rId24" Type="http://schemas.openxmlformats.org/officeDocument/2006/relationships/hyperlink" Target="https://xbrl.us/data-quality/certification/" TargetMode="External"/><Relationship Id="rId32" Type="http://schemas.openxmlformats.org/officeDocument/2006/relationships/hyperlink" Target="https://xbrl.us/data-quality/center/committee/" TargetMode="External"/><Relationship Id="rId37" Type="http://schemas.openxmlformats.org/officeDocument/2006/relationships/hyperlink" Target="https://xbrl.us/feed/?cat=496" TargetMode="External"/><Relationship Id="rId40" Type="http://schemas.openxmlformats.org/officeDocument/2006/relationships/hyperlink" Target="https://xbrl.us/data-rule/dqc_0141/" TargetMode="External"/><Relationship Id="rId5" Type="http://schemas.openxmlformats.org/officeDocument/2006/relationships/hyperlink" Target="https://xbrl.us/" TargetMode="External"/><Relationship Id="rId15" Type="http://schemas.openxmlformats.org/officeDocument/2006/relationships/hyperlink" Target="https://xbrl.us/rules-guidance/" TargetMode="External"/><Relationship Id="rId23" Type="http://schemas.openxmlformats.org/officeDocument/2006/relationships/hyperlink" Target="https://xbrl.us/data-quality/rules-guidance/rules-process/" TargetMode="External"/><Relationship Id="rId28" Type="http://schemas.openxmlformats.org/officeDocument/2006/relationships/hyperlink" Target="https://xbrl.us/data-quality/filing-results/test-filing-warnings/" TargetMode="External"/><Relationship Id="rId36" Type="http://schemas.openxmlformats.org/officeDocument/2006/relationships/hyperlink" Target="https://xbrl.us/data-rule/feedback/" TargetMode="External"/><Relationship Id="rId10" Type="http://schemas.openxmlformats.org/officeDocument/2006/relationships/hyperlink" Target="https://xbrl.us/data-quality/filing-results/" TargetMode="External"/><Relationship Id="rId19" Type="http://schemas.openxmlformats.org/officeDocument/2006/relationships/hyperlink" Target="https://xbrl.us/home/category/member/workiva/" TargetMode="External"/><Relationship Id="rId31" Type="http://schemas.openxmlformats.org/officeDocument/2006/relationships/hyperlink" Target="https://xbrl.us/data-quality/center/join-cdq/"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xbrl.us/data-quality/rules-guidance/public-review/" TargetMode="External"/><Relationship Id="rId14" Type="http://schemas.openxmlformats.org/officeDocument/2006/relationships/hyperlink" Target="https://xbrl.us/dqc-releases" TargetMode="External"/><Relationship Id="rId22" Type="http://schemas.openxmlformats.org/officeDocument/2006/relationships/hyperlink" Target="https://xbrl.us/data-quality/rules-guidance/principles/" TargetMode="External"/><Relationship Id="rId27" Type="http://schemas.openxmlformats.org/officeDocument/2006/relationships/hyperlink" Target="https://xbrl.us/data-quality/filing-results/check-filing/" TargetMode="External"/><Relationship Id="rId30" Type="http://schemas.openxmlformats.org/officeDocument/2006/relationships/hyperlink" Target="https://xbrl.us/data-quality/center/" TargetMode="External"/><Relationship Id="rId35" Type="http://schemas.openxmlformats.org/officeDocument/2006/relationships/hyperlink" Target="https://xbrl.us/home/about/legal/cdq-license/cdq-comments/" TargetMode="External"/><Relationship Id="rId43" Type="http://schemas.openxmlformats.org/officeDocument/2006/relationships/fontTable" Target="fontTable.xml"/><Relationship Id="rId8" Type="http://schemas.openxmlformats.org/officeDocument/2006/relationships/hyperlink" Target="https://xbrl.fasb.org/impguidance/DS_TIG/debtsecurities_1.pdf" TargetMode="External"/><Relationship Id="rId3" Type="http://schemas.openxmlformats.org/officeDocument/2006/relationships/settings" Target="settings.xml"/><Relationship Id="rId12" Type="http://schemas.openxmlformats.org/officeDocument/2006/relationships/hyperlink" Target="https://xbrl.us/certification" TargetMode="External"/><Relationship Id="rId17" Type="http://schemas.openxmlformats.org/officeDocument/2006/relationships/hyperlink" Target="https://xbrl.us/home/category/member/edgar-agents/" TargetMode="External"/><Relationship Id="rId25" Type="http://schemas.openxmlformats.org/officeDocument/2006/relationships/hyperlink" Target="https://xbrl.us/data-quality/certification/process/" TargetMode="External"/><Relationship Id="rId33" Type="http://schemas.openxmlformats.org/officeDocument/2006/relationships/hyperlink" Target="https://xbrl.us/data-quality/center/dqc-archive/" TargetMode="External"/><Relationship Id="rId38" Type="http://schemas.openxmlformats.org/officeDocument/2006/relationships/hyperlink" Target="https://xbrl.us/data-rule/dqc_01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1823</Words>
  <Characters>10030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2022-07-23T18:30:00Z</dcterms:created>
  <dcterms:modified xsi:type="dcterms:W3CDTF">2022-08-03T01:09:00Z</dcterms:modified>
</cp:coreProperties>
</file>