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3EAF" w14:textId="7AC68EBE" w:rsidR="00682455" w:rsidRPr="00682455" w:rsidRDefault="00682455" w:rsidP="00996199">
      <w:pPr>
        <w:spacing w:after="0"/>
        <w:jc w:val="both"/>
      </w:pPr>
      <w:bookmarkStart w:id="0" w:name="_Hlk123052884"/>
      <w:r w:rsidRPr="00682455">
        <w:t xml:space="preserve">Claudia Buch: La Red Internacional de Investigación Bancaria (IBRN) - </w:t>
      </w:r>
      <w:r w:rsidR="00671302">
        <w:t>P</w:t>
      </w:r>
      <w:r w:rsidRPr="00682455">
        <w:t>rimera década y el camino a seguir</w:t>
      </w:r>
    </w:p>
    <w:bookmarkEnd w:id="0"/>
    <w:p w14:paraId="7920CB9E" w14:textId="77777777" w:rsidR="00D1603A" w:rsidRPr="00682455" w:rsidRDefault="00D1603A" w:rsidP="00682455">
      <w:pPr>
        <w:jc w:val="both"/>
        <w:rPr>
          <w:b/>
          <w:bCs/>
        </w:rPr>
      </w:pPr>
    </w:p>
    <w:p w14:paraId="0C528EC7" w14:textId="56D359E2" w:rsidR="00682455" w:rsidRPr="00682455" w:rsidRDefault="00682455" w:rsidP="00682455">
      <w:pPr>
        <w:jc w:val="both"/>
      </w:pPr>
      <w:r w:rsidRPr="00682455">
        <w:t>Palabras introductorias de la profesor</w:t>
      </w:r>
      <w:r>
        <w:t xml:space="preserve">a </w:t>
      </w:r>
      <w:hyperlink r:id="rId5" w:history="1">
        <w:r w:rsidRPr="00682455">
          <w:rPr>
            <w:rStyle w:val="Hipervnculo"/>
          </w:rPr>
          <w:t>Claudia</w:t>
        </w:r>
        <w:r>
          <w:rPr>
            <w:rStyle w:val="Hipervnculo"/>
          </w:rPr>
          <w:t xml:space="preserve"> </w:t>
        </w:r>
        <w:r w:rsidRPr="00682455">
          <w:rPr>
            <w:rStyle w:val="Hipervnculo"/>
          </w:rPr>
          <w:t>Buch</w:t>
        </w:r>
      </w:hyperlink>
      <w:r w:rsidRPr="00682455">
        <w:t>, vicepresidenta del Deutsche Bundesbank, preparadas para el 10º aniversario de la Red Internacional de Investigación Bancaria (IBRN), Eltville, 6 de octubre de 2022.</w:t>
      </w:r>
    </w:p>
    <w:p w14:paraId="5AF986A0" w14:textId="7B669896" w:rsidR="00682455" w:rsidRPr="00682455" w:rsidRDefault="00682455" w:rsidP="00682455">
      <w:pPr>
        <w:jc w:val="both"/>
        <w:rPr>
          <w:b/>
          <w:bCs/>
        </w:rPr>
      </w:pPr>
      <w:r w:rsidRPr="00682455">
        <w:rPr>
          <w:b/>
          <w:bCs/>
        </w:rPr>
        <w:t>Discurso del banco central</w:t>
      </w:r>
      <w:r w:rsidRPr="00682455">
        <w:t>| </w:t>
      </w:r>
      <w:r w:rsidRPr="00682455">
        <w:rPr>
          <w:b/>
          <w:bCs/>
        </w:rPr>
        <w:t>11 noviembre 2022</w:t>
      </w:r>
    </w:p>
    <w:p w14:paraId="63198DAA" w14:textId="7D0AD80B" w:rsidR="00682455" w:rsidRPr="00682455" w:rsidRDefault="00682455" w:rsidP="00682455">
      <w:pPr>
        <w:jc w:val="both"/>
      </w:pPr>
      <w:r w:rsidRPr="00682455">
        <w:t>Po</w:t>
      </w:r>
      <w:r>
        <w:t xml:space="preserve">r </w:t>
      </w:r>
      <w:hyperlink r:id="rId6" w:history="1">
        <w:r w:rsidRPr="00682455">
          <w:rPr>
            <w:rStyle w:val="Hipervnculo"/>
          </w:rPr>
          <w:t>Claudia</w:t>
        </w:r>
        <w:r w:rsidR="00996199">
          <w:rPr>
            <w:rStyle w:val="Hipervnculo"/>
          </w:rPr>
          <w:t xml:space="preserve"> </w:t>
        </w:r>
        <w:r w:rsidRPr="00682455">
          <w:rPr>
            <w:rStyle w:val="Hipervnculo"/>
          </w:rPr>
          <w:t>Buch</w:t>
        </w:r>
      </w:hyperlink>
      <w:r>
        <w:t xml:space="preserve"> </w:t>
      </w:r>
      <w:hyperlink r:id="rId7" w:history="1">
        <w:r w:rsidRPr="00682455">
          <w:rPr>
            <w:rStyle w:val="Hipervnculo"/>
            <w:b/>
            <w:bCs/>
          </w:rPr>
          <w:t>PDF</w:t>
        </w:r>
        <w:r w:rsidR="00996199">
          <w:rPr>
            <w:rStyle w:val="Hipervnculo"/>
            <w:b/>
            <w:bCs/>
          </w:rPr>
          <w:t xml:space="preserve"> </w:t>
        </w:r>
        <w:r w:rsidRPr="00682455">
          <w:rPr>
            <w:rStyle w:val="Hipervnculo"/>
            <w:b/>
            <w:bCs/>
          </w:rPr>
          <w:t>texto completo</w:t>
        </w:r>
        <w:r>
          <w:rPr>
            <w:rStyle w:val="Hipervnculo"/>
            <w:b/>
            <w:bCs/>
          </w:rPr>
          <w:t xml:space="preserve"> </w:t>
        </w:r>
        <w:r w:rsidRPr="00682455">
          <w:rPr>
            <w:rStyle w:val="Hipervnculo"/>
          </w:rPr>
          <w:t>(31kb)</w:t>
        </w:r>
        <w:r>
          <w:rPr>
            <w:rStyle w:val="Hipervnculo"/>
          </w:rPr>
          <w:t xml:space="preserve"> </w:t>
        </w:r>
      </w:hyperlink>
      <w:r w:rsidRPr="00682455">
        <w:t> | 10 páginas</w:t>
      </w:r>
    </w:p>
    <w:p w14:paraId="665C8E18" w14:textId="77777777" w:rsidR="00682455" w:rsidRPr="00682455" w:rsidRDefault="00682455" w:rsidP="00682455">
      <w:pPr>
        <w:jc w:val="both"/>
      </w:pPr>
      <w:r w:rsidRPr="00682455">
        <w:t>Esta versión: 18 de octubre de 2022.</w:t>
      </w:r>
      <w:hyperlink r:id="rId8" w:anchor="fn1" w:history="1">
        <w:r w:rsidRPr="00682455">
          <w:rPr>
            <w:rStyle w:val="Hipervnculo"/>
            <w:vertAlign w:val="superscript"/>
          </w:rPr>
          <w:t>1</w:t>
        </w:r>
      </w:hyperlink>
    </w:p>
    <w:p w14:paraId="07C418AC" w14:textId="77777777" w:rsidR="00682455" w:rsidRPr="00682455" w:rsidRDefault="00682455" w:rsidP="00682455">
      <w:pPr>
        <w:jc w:val="both"/>
      </w:pPr>
      <w:r w:rsidRPr="00682455">
        <w:t>Estimados señoras y señores:</w:t>
      </w:r>
    </w:p>
    <w:p w14:paraId="08F32BD2" w14:textId="77777777" w:rsidR="00682455" w:rsidRPr="00682455" w:rsidRDefault="00682455" w:rsidP="00682455">
      <w:pPr>
        <w:jc w:val="both"/>
      </w:pPr>
      <w:r w:rsidRPr="00682455">
        <w:t>Estimados miembros de la Red Internacional de Investigación Bancaria,</w:t>
      </w:r>
    </w:p>
    <w:p w14:paraId="73E4C6A4" w14:textId="77777777" w:rsidR="00682455" w:rsidRPr="00682455" w:rsidRDefault="00682455" w:rsidP="00682455">
      <w:pPr>
        <w:jc w:val="both"/>
      </w:pPr>
      <w:r w:rsidRPr="00682455">
        <w:t>Hace diez años, la economía mundial y los mercados financieros mundiales se estaban recuperando de la crisis financiera mundial. Las actividades transfronterizas de los bancos mundiales no sólo han aportado beneficios en materia de bienestar, sino que la asunción excesiva de riesgos ha llevado a muchas instituciones financieras al borde de la insolvencia. Los gobiernos intervinieron para rescatar a las instituciones financieras en quiebra. El resultado ha sido la disminución de los flujos comerciales, las recesiones y las restricciones fiscales. Los responsables de la formulación de políticas a nivel mundial actuaron enérgicamente al endurecer la regulación financiera, reduciendo así la probabilidad y la gravedad de futuras crisis financieras.</w:t>
      </w:r>
    </w:p>
    <w:p w14:paraId="2AA579FD" w14:textId="77777777" w:rsidR="00682455" w:rsidRPr="00682455" w:rsidRDefault="00682455" w:rsidP="00682455">
      <w:pPr>
        <w:jc w:val="both"/>
      </w:pPr>
      <w:r w:rsidRPr="00682455">
        <w:t>Claramente, la necesidad de comprender mejor cómo los bancos activos a nivel mundial asignan el crédito, cómo responden a los cambios en la regulación y cómo se transmiten los shocks a través de las fronteras ha sido una lección clave de esta crisis financiera mundial.</w:t>
      </w:r>
    </w:p>
    <w:p w14:paraId="2945B4DB" w14:textId="77777777" w:rsidR="00682455" w:rsidRPr="00682455" w:rsidRDefault="00682455" w:rsidP="00682455">
      <w:pPr>
        <w:jc w:val="both"/>
      </w:pPr>
      <w:r w:rsidRPr="00682455">
        <w:t>Así que expliquemos de qué se trata la Red Internacional de Investigación Bancaria, la "IBRN", lo que hemos aprendido hasta ahora y lo que la red puede contribuir a abordar los muchos desafíos que tenemos por delante.</w:t>
      </w:r>
    </w:p>
    <w:p w14:paraId="7237F625" w14:textId="3E8A0BC6" w:rsidR="00682455" w:rsidRPr="00682455" w:rsidRDefault="00682455" w:rsidP="00682455">
      <w:pPr>
        <w:jc w:val="both"/>
      </w:pPr>
      <w:r w:rsidRPr="00682455">
        <w:t>La "International Banking Research Network" (IBRN) es una red de investigación transnacional que tiene como objetivo una mejor comprensión de las actividades bancarias transfronterizas. Investigadores y analistas de bancos centrales y organizaciones internacionales son miembros de la red. Desde su fundación en 2012, el</w:t>
      </w:r>
      <w:r>
        <w:t xml:space="preserve"> </w:t>
      </w:r>
      <w:r w:rsidRPr="00682455">
        <w:t>IBRN</w:t>
      </w:r>
      <w:r>
        <w:t xml:space="preserve"> </w:t>
      </w:r>
      <w:r w:rsidRPr="00682455">
        <w:t>ha crecido rápidamente de cuatro bancos centrales iniciales como miembros fundadores a, actualmente, 33 bancos centrales y 4 organizaciones internacionales. Los temas seleccionados están motivados por la pertinencia de las políticas, y los resultados de la red proporcionan información para los debates sobre la política monetaria y de estabilidad financiera.</w:t>
      </w:r>
    </w:p>
    <w:p w14:paraId="67EAD94F" w14:textId="0104E074" w:rsidR="00682455" w:rsidRPr="00682455" w:rsidRDefault="00682455" w:rsidP="00682455">
      <w:pPr>
        <w:jc w:val="both"/>
      </w:pPr>
      <w:r w:rsidRPr="00682455">
        <w:t>Los objetivos centrales del</w:t>
      </w:r>
      <w:r>
        <w:t xml:space="preserve"> </w:t>
      </w:r>
      <w:r w:rsidRPr="00682455">
        <w:t>IBRN</w:t>
      </w:r>
      <w:r>
        <w:t xml:space="preserve"> </w:t>
      </w:r>
      <w:r w:rsidRPr="00682455">
        <w:t>son:</w:t>
      </w:r>
    </w:p>
    <w:p w14:paraId="379F8CE2" w14:textId="77777777" w:rsidR="00682455" w:rsidRPr="00682455" w:rsidRDefault="00682455" w:rsidP="00682455">
      <w:pPr>
        <w:numPr>
          <w:ilvl w:val="0"/>
          <w:numId w:val="1"/>
        </w:numPr>
        <w:jc w:val="both"/>
      </w:pPr>
      <w:r w:rsidRPr="00682455">
        <w:t>llevar a cabo experimentos rígidos relevantes para las políticas basados en datos bancarios a nivel micro,</w:t>
      </w:r>
    </w:p>
    <w:p w14:paraId="7EEC8421" w14:textId="77777777" w:rsidR="00682455" w:rsidRPr="00682455" w:rsidRDefault="00682455" w:rsidP="00682455">
      <w:pPr>
        <w:numPr>
          <w:ilvl w:val="0"/>
          <w:numId w:val="1"/>
        </w:numPr>
        <w:jc w:val="both"/>
      </w:pPr>
      <w:r w:rsidRPr="00682455">
        <w:lastRenderedPageBreak/>
        <w:t>replicar los análisis en todos los países,</w:t>
      </w:r>
    </w:p>
    <w:p w14:paraId="5295D182" w14:textId="77777777" w:rsidR="00682455" w:rsidRPr="00682455" w:rsidRDefault="00682455" w:rsidP="00682455">
      <w:pPr>
        <w:numPr>
          <w:ilvl w:val="0"/>
          <w:numId w:val="1"/>
        </w:numPr>
        <w:jc w:val="both"/>
      </w:pPr>
      <w:r w:rsidRPr="00682455">
        <w:t>extraer lecciones más amplias de estos estudios en documentos generales y metaanálisis,</w:t>
      </w:r>
    </w:p>
    <w:p w14:paraId="58935B3E" w14:textId="77777777" w:rsidR="00682455" w:rsidRPr="00682455" w:rsidRDefault="00682455" w:rsidP="00682455">
      <w:pPr>
        <w:numPr>
          <w:ilvl w:val="0"/>
          <w:numId w:val="1"/>
        </w:numPr>
        <w:jc w:val="both"/>
      </w:pPr>
      <w:r w:rsidRPr="00682455">
        <w:t>publicar resultados en revistas de alto nivel, y</w:t>
      </w:r>
    </w:p>
    <w:p w14:paraId="28202C65" w14:textId="77777777" w:rsidR="00682455" w:rsidRPr="00682455" w:rsidRDefault="00682455" w:rsidP="00682455">
      <w:pPr>
        <w:numPr>
          <w:ilvl w:val="0"/>
          <w:numId w:val="1"/>
        </w:numPr>
        <w:jc w:val="both"/>
      </w:pPr>
      <w:r w:rsidRPr="00682455">
        <w:t>Proporcionar información informada a los debates sobre políticas dentro de las instituciones y los foros políticos.</w:t>
      </w:r>
    </w:p>
    <w:p w14:paraId="7553F47B" w14:textId="701F5A31" w:rsidR="00682455" w:rsidRPr="00682455" w:rsidRDefault="00682455" w:rsidP="00682455">
      <w:pPr>
        <w:jc w:val="both"/>
      </w:pPr>
      <w:r w:rsidRPr="00682455">
        <w:t>A continuación, describiremos lo que el IBRN ha buscado y logrado en la última década, cuáles son las lecciones que podemos aprender para la evaluación de políticas entre países, y esbozaremos una hoja de ruta para el</w:t>
      </w:r>
      <w:r>
        <w:t xml:space="preserve"> </w:t>
      </w:r>
      <w:r w:rsidRPr="00682455">
        <w:t>trabajo futuro</w:t>
      </w:r>
      <w:r>
        <w:t xml:space="preserve"> </w:t>
      </w:r>
      <w:r w:rsidRPr="00682455">
        <w:t>de IBRN.</w:t>
      </w:r>
    </w:p>
    <w:p w14:paraId="30D71210" w14:textId="7BFA474C" w:rsidR="00682455" w:rsidRPr="00A10694" w:rsidRDefault="00A10694" w:rsidP="00A10694">
      <w:pPr>
        <w:jc w:val="both"/>
        <w:rPr>
          <w:b/>
          <w:bCs/>
        </w:rPr>
      </w:pPr>
      <w:r w:rsidRPr="00A10694">
        <w:rPr>
          <w:b/>
          <w:bCs/>
        </w:rPr>
        <w:t>1.</w:t>
      </w:r>
      <w:r>
        <w:rPr>
          <w:b/>
          <w:bCs/>
        </w:rPr>
        <w:t xml:space="preserve"> </w:t>
      </w:r>
      <w:r w:rsidR="00682455" w:rsidRPr="00A10694">
        <w:rPr>
          <w:b/>
          <w:bCs/>
        </w:rPr>
        <w:t>IBRN: La última década</w:t>
      </w:r>
    </w:p>
    <w:p w14:paraId="45DCC18F" w14:textId="77777777" w:rsidR="00682455" w:rsidRPr="00682455" w:rsidRDefault="00682455" w:rsidP="00682455">
      <w:pPr>
        <w:jc w:val="both"/>
      </w:pPr>
      <w:r w:rsidRPr="00682455">
        <w:t>La Red Internacional de Investigación Bancaria fue fundada hace 10 años, a raíz de la crisis financiera mundial. Esa crisis fue claramente un hito para la banca internacional. La expansión de las actividades bancarias a través de las fronteras antes de la crisis ha sido una característica crucial del proceso de globalización que hemos presenciado en las últimas décadas. Este tipo de globalización apoyó la actividad económica, el desarrollo financiero y la distribución internacional del riesgo. Pero las actividades transfronterizas de los bancos también expusieron a los países y a la economía real a los peligros de las reversiones abruptas de los flujos de capital, a las fluctuaciones del ciclo financiero y a los efectos indirectos transfronterizos de los shocks positivos y negativos (Buch y Goldberg, 2020).</w:t>
      </w:r>
    </w:p>
    <w:p w14:paraId="40FA6B4F" w14:textId="0B3A4AD0" w:rsidR="00682455" w:rsidRPr="00682455" w:rsidRDefault="00682455" w:rsidP="00682455">
      <w:pPr>
        <w:jc w:val="both"/>
      </w:pPr>
      <w:r w:rsidRPr="00682455">
        <w:t>Mejorar el estado del conocimiento sobre el sistema bancario global ha sido la motivación central del</w:t>
      </w:r>
      <w:r>
        <w:t xml:space="preserve"> </w:t>
      </w:r>
      <w:r w:rsidRPr="00682455">
        <w:t>IBRN. La crisis financiera mundial ha puesto de manifiesto las fallas del sistema financiero y bancario mundial, y ha centrado la atención en importantes cuestiones de política. Nuestra comprensión de los impulsores y efectos de la banca mundial en la interacción entre los incentivos microeconómicos y los resultados agregados, por no hablar de la evidencia comparativa entre países, había sido deficiente. Por lo tanto, el trabajo analítico realizado en la red se ha centrado en los impulsores de la oferta de crédito bancario y las opciones de financiación. El</w:t>
      </w:r>
      <w:r>
        <w:t xml:space="preserve"> </w:t>
      </w:r>
      <w:r w:rsidRPr="00682455">
        <w:t>IBRN</w:t>
      </w:r>
      <w:r>
        <w:t xml:space="preserve"> </w:t>
      </w:r>
      <w:r w:rsidRPr="00682455">
        <w:t>ha analizado los efectos de la política monetaria, de los riesgos de liquidez, de las políticas macro</w:t>
      </w:r>
      <w:r>
        <w:t xml:space="preserve"> </w:t>
      </w:r>
      <w:r w:rsidRPr="00682455">
        <w:t>prudenciales y micro</w:t>
      </w:r>
      <w:r>
        <w:t xml:space="preserve"> </w:t>
      </w:r>
      <w:r w:rsidRPr="00682455">
        <w:t>prudenciales, de las opciones estructurales en la organización de los bancos y de las perturbaciones de los regímenes internacionales de comercio e inversión.</w:t>
      </w:r>
    </w:p>
    <w:p w14:paraId="61F37FCD" w14:textId="0F612D12" w:rsidR="00682455" w:rsidRPr="00682455" w:rsidRDefault="00682455" w:rsidP="00682455">
      <w:pPr>
        <w:jc w:val="both"/>
      </w:pPr>
      <w:r w:rsidRPr="00682455">
        <w:t>Antes de la crisis financiera mundial, se disponía de información importante sobre el comportamiento de los bancos activos a nivel mundial y sobre los efectos de las políticas a partir de conjuntos de datos bancarios a nivel micro recopilados por los supervisores bancarios. Una de las razones para establecer el IBRN</w:t>
      </w:r>
      <w:r>
        <w:t xml:space="preserve"> </w:t>
      </w:r>
      <w:r w:rsidRPr="00682455">
        <w:t>ha sido el</w:t>
      </w:r>
      <w:r>
        <w:t xml:space="preserve"> </w:t>
      </w:r>
      <w:r w:rsidRPr="00682455">
        <w:t>hecho de que muchos conjuntos de datos a nivel micro no se pueden compartir entre países, principalmente por razones legales. Por lo tanto, el trabajo analítico colaborativo que utiliza microdatos para superar tales limitaciones puede tener importantes beneficios. La analítica se beneficia de la experiencia de los investigadores, que puede extenderse a través de la comunidad internacional. Es importante comprender en qué medida las ideas relevantes para las políticas están impulsadas por las circunstancias específicas de cada país o si los resultados se generalizan más allá de los países e instituciones individuales estudiados. Saber si los resultados analíticos son lo suficientemente sólidos es importante para tomar decisiones políticas basadas en la evidencia.</w:t>
      </w:r>
    </w:p>
    <w:p w14:paraId="557ACDF6" w14:textId="72E923B1" w:rsidR="00682455" w:rsidRPr="00682455" w:rsidRDefault="00682455" w:rsidP="00682455">
      <w:pPr>
        <w:jc w:val="both"/>
      </w:pPr>
      <w:r w:rsidRPr="00682455">
        <w:lastRenderedPageBreak/>
        <w:t>El activo clave de la</w:t>
      </w:r>
      <w:r>
        <w:t xml:space="preserve"> </w:t>
      </w:r>
      <w:r w:rsidRPr="00682455">
        <w:t>IBRN</w:t>
      </w:r>
      <w:r>
        <w:t xml:space="preserve"> </w:t>
      </w:r>
      <w:r w:rsidRPr="00682455">
        <w:t>es su membresía. Las instituciones miembros designan a una persona como punto de contacto para el IBRN, sin que se impongan restricciones en relación con el nivel jerárquico o el</w:t>
      </w:r>
      <w:r>
        <w:t xml:space="preserve"> </w:t>
      </w:r>
      <w:r w:rsidRPr="00682455">
        <w:t>área de negocio de esta persona. Las instituciones determinan los miembros de su equipo, dependiendo de las necesidades de un proyecto específico. La participación en iniciativas específicas es voluntaria, dependiendo de las habilidades disponibles y la relevancia del tema para la institución específica. Todos los miembros pueden sugerir temas, cada miembro puede contribuir al desarrollo de metodologías, resultados y enfoques metodológicos, así como las ideas resultantes se comparten.</w:t>
      </w:r>
    </w:p>
    <w:p w14:paraId="633C452F" w14:textId="77777777" w:rsidR="00682455" w:rsidRPr="00682455" w:rsidRDefault="00682455" w:rsidP="00682455">
      <w:pPr>
        <w:jc w:val="both"/>
      </w:pPr>
      <w:r w:rsidRPr="00682455">
        <w:t>Las preguntas relevantes de política e investigación se definen en un proceso que combina elementos de arriba hacia abajo y de abajo hacia arriba. Después de identificar una cuestión de política pertinente mediante una encuesta de miembros, la red especifica conjuntamente modelos empíricos apropiados, los equipos en los países aplican esa metodología común para sus conjuntos de datos específicos de cada país y los resultados se combinan mediante un análisis de metatipo.</w:t>
      </w:r>
      <w:hyperlink r:id="rId9" w:anchor="fn2" w:history="1">
        <w:r w:rsidRPr="00682455">
          <w:rPr>
            <w:rStyle w:val="Hipervnculo"/>
            <w:vertAlign w:val="superscript"/>
          </w:rPr>
          <w:t>2</w:t>
        </w:r>
      </w:hyperlink>
      <w:r w:rsidRPr="00682455">
        <w:t>Además, los equipos en los países pueden realizar variantes de la metodología común para explorar cuestiones que sean de interés para su jurisdicción.</w:t>
      </w:r>
    </w:p>
    <w:p w14:paraId="1A370EB8" w14:textId="610C7829" w:rsidR="00682455" w:rsidRPr="00682455" w:rsidRDefault="00682455" w:rsidP="00682455">
      <w:pPr>
        <w:jc w:val="both"/>
      </w:pPr>
      <w:r w:rsidRPr="00682455">
        <w:t>Sobre la base de este enfoque, se puede aprovechar toda la riqueza de los conjuntos de datos a nivel de país para identificar observaciones entre países o idiosincrásicas y, al mismo tiempo, facilitar la extracción de lecciones más generales. Los estudios a nivel de país reciben retroalimentación de una red de pares con experiencia en investigación y formulación de políticas. El enfoque general del</w:t>
      </w:r>
      <w:r>
        <w:t xml:space="preserve"> </w:t>
      </w:r>
      <w:r w:rsidRPr="00682455">
        <w:t>BIBN</w:t>
      </w:r>
      <w:r>
        <w:t xml:space="preserve"> </w:t>
      </w:r>
      <w:r w:rsidRPr="00682455">
        <w:t>comparte algunas similitudes con las iniciativas del FMI, el</w:t>
      </w:r>
      <w:r>
        <w:t xml:space="preserve"> </w:t>
      </w:r>
      <w:r w:rsidRPr="00682455">
        <w:t>BCE</w:t>
      </w:r>
      <w:r>
        <w:t xml:space="preserve"> </w:t>
      </w:r>
      <w:r w:rsidRPr="00682455">
        <w:t>y el BPI</w:t>
      </w:r>
      <w:r>
        <w:t xml:space="preserve"> </w:t>
      </w:r>
      <w:r w:rsidRPr="00682455">
        <w:t>que tienen como objetivo reunir los resultados de las exploraciones de diferentes conjuntos de datos a nivel micro para mostrar el</w:t>
      </w:r>
      <w:r>
        <w:t xml:space="preserve"> </w:t>
      </w:r>
      <w:r w:rsidRPr="00682455">
        <w:t>panorama de experiencias en todos los países antes de extraer mensajes concluyentes.</w:t>
      </w:r>
      <w:hyperlink r:id="rId10" w:anchor="fn3" w:history="1">
        <w:r w:rsidRPr="00682455">
          <w:rPr>
            <w:rStyle w:val="Hipervnculo"/>
            <w:vertAlign w:val="superscript"/>
          </w:rPr>
          <w:t>3</w:t>
        </w:r>
      </w:hyperlink>
    </w:p>
    <w:p w14:paraId="4D3C58DF" w14:textId="27DAF2A5" w:rsidR="00682455" w:rsidRPr="00682455" w:rsidRDefault="00682455" w:rsidP="00682455">
      <w:pPr>
        <w:jc w:val="both"/>
      </w:pPr>
      <w:r w:rsidRPr="00682455">
        <w:t>Por el lado de las políticas, el IBRN</w:t>
      </w:r>
      <w:r>
        <w:t xml:space="preserve"> </w:t>
      </w:r>
      <w:r w:rsidRPr="00682455">
        <w:t>ha hecho contribuciones directas a los</w:t>
      </w:r>
      <w:r>
        <w:t xml:space="preserve"> </w:t>
      </w:r>
      <w:r w:rsidRPr="00682455">
        <w:t>debates políticos. Los resultados del</w:t>
      </w:r>
      <w:r>
        <w:t xml:space="preserve"> </w:t>
      </w:r>
      <w:r w:rsidRPr="00682455">
        <w:t>trabajo de IBRN se publican regularmente en columnas de blog como Vox</w:t>
      </w:r>
      <w:r>
        <w:t xml:space="preserve"> </w:t>
      </w:r>
      <w:r w:rsidRPr="00682455">
        <w:t>EU y Liberty Street Economics de la Reserva Federal de</w:t>
      </w:r>
      <w:r>
        <w:t xml:space="preserve"> </w:t>
      </w:r>
      <w:r w:rsidRPr="00682455">
        <w:t>Nueva York. Se han llevado a cabo varios talleres consecutivos y conjuntamente con el FMI, la CEBRA o el</w:t>
      </w:r>
      <w:r>
        <w:t xml:space="preserve"> </w:t>
      </w:r>
      <w:r w:rsidRPr="00682455">
        <w:t>BPI. El</w:t>
      </w:r>
      <w:r>
        <w:t xml:space="preserve"> </w:t>
      </w:r>
      <w:r w:rsidRPr="00682455">
        <w:t>trabajo de IBRN se ha discutido en</w:t>
      </w:r>
      <w:r w:rsidR="00A10694">
        <w:t xml:space="preserve"> </w:t>
      </w:r>
      <w:r w:rsidRPr="00682455">
        <w:t>FSB, CGFS, BCBS, lugares del FMI. Finalmente, se ha aplicado un enfoque analítico tipo IBRN para avanzar en el trabajo del Banco de Pagos Internacionales (BPI) Asia sobre la comprensión de los efectos de las políticas macro</w:t>
      </w:r>
      <w:r w:rsidR="00A10694">
        <w:t xml:space="preserve"> </w:t>
      </w:r>
      <w:r w:rsidRPr="00682455">
        <w:t>prudenciales (Cantu et al 2020a), y por el Consejo Consultivo de las Américas del BPI</w:t>
      </w:r>
      <w:r w:rsidR="00A10694">
        <w:t xml:space="preserve"> </w:t>
      </w:r>
      <w:r w:rsidRPr="00682455">
        <w:t>en el</w:t>
      </w:r>
      <w:r w:rsidR="00A10694">
        <w:t xml:space="preserve"> </w:t>
      </w:r>
      <w:r w:rsidRPr="00682455">
        <w:t>análisis de la política macro</w:t>
      </w:r>
      <w:r w:rsidR="00A10694">
        <w:t xml:space="preserve"> </w:t>
      </w:r>
      <w:r w:rsidRPr="00682455">
        <w:t>prudencial y las interacciones con la orientación de la política monetaria, utilizando datos de registro de crédito (Cantu et al 2020b, Gambacorta et al 2017/2021 (consultar referencias). Las consecuencias de los cambios prudenciales y de política monetaria para los efectos de contagio internacionales, a medida que los países emergieron de la fuerte contracción del período pandémico, fue un artículo destacado en la Revisión de la estabilidad financiera del Banco de Francia (2021). El Consejo de Estabilidad Financiera (CEF) ha establecido un Marco para la Evaluación Post-Implementación de los Efectos de las Reformas</w:t>
      </w:r>
      <w:r w:rsidR="00A10694">
        <w:t xml:space="preserve"> </w:t>
      </w:r>
      <w:r w:rsidRPr="00682455">
        <w:t>Regulatorias Financieras del G20, y la implementación de este marco ha utilizado herramientas similares a las</w:t>
      </w:r>
      <w:r w:rsidR="00A10694">
        <w:t xml:space="preserve"> </w:t>
      </w:r>
      <w:r w:rsidRPr="00682455">
        <w:t>desarrolladas en elIBRN.</w:t>
      </w:r>
      <w:hyperlink r:id="rId11" w:anchor="fn4" w:history="1">
        <w:r w:rsidRPr="00682455">
          <w:rPr>
            <w:rStyle w:val="Hipervnculo"/>
            <w:vertAlign w:val="superscript"/>
          </w:rPr>
          <w:t>4</w:t>
        </w:r>
      </w:hyperlink>
    </w:p>
    <w:p w14:paraId="1F2A4D6A" w14:textId="5B2BB106" w:rsidR="00682455" w:rsidRPr="00682455" w:rsidRDefault="00682455" w:rsidP="00682455">
      <w:pPr>
        <w:jc w:val="both"/>
      </w:pPr>
      <w:r w:rsidRPr="00682455">
        <w:t>En términos de contenido, el</w:t>
      </w:r>
      <w:r w:rsidR="00A10694">
        <w:t xml:space="preserve"> </w:t>
      </w:r>
      <w:r w:rsidRPr="00682455">
        <w:t>IBRN</w:t>
      </w:r>
      <w:r w:rsidR="00A10694">
        <w:t xml:space="preserve"> </w:t>
      </w:r>
      <w:r w:rsidRPr="00682455">
        <w:t xml:space="preserve">ha operado en la intersección entre la literatura macroeconómica, </w:t>
      </w:r>
      <w:r w:rsidR="00A10694" w:rsidRPr="00682455">
        <w:t>macro</w:t>
      </w:r>
      <w:r w:rsidR="00A10694">
        <w:t xml:space="preserve"> financiera</w:t>
      </w:r>
      <w:r w:rsidRPr="00682455">
        <w:t xml:space="preserve"> y bancaria. Ha llevado a cabo siete iniciativas de investigación, y la mayoría de los resultados ya han sido presentados y publicados en revistas académicas:</w:t>
      </w:r>
      <w:hyperlink r:id="rId12" w:anchor="fn5" w:history="1">
        <w:r w:rsidRPr="00682455">
          <w:rPr>
            <w:rStyle w:val="Hipervnculo"/>
            <w:vertAlign w:val="superscript"/>
          </w:rPr>
          <w:t>5</w:t>
        </w:r>
      </w:hyperlink>
    </w:p>
    <w:p w14:paraId="34E88C4A" w14:textId="77777777" w:rsidR="00682455" w:rsidRPr="00682455" w:rsidRDefault="00682455" w:rsidP="00682455">
      <w:pPr>
        <w:numPr>
          <w:ilvl w:val="0"/>
          <w:numId w:val="2"/>
        </w:numPr>
        <w:jc w:val="both"/>
      </w:pPr>
      <w:r w:rsidRPr="00682455">
        <w:lastRenderedPageBreak/>
        <w:t>Banca internacional: ¿integración o fragmentación? (2020-2022)</w:t>
      </w:r>
    </w:p>
    <w:p w14:paraId="585AAFE0" w14:textId="77777777" w:rsidR="00682455" w:rsidRPr="00682455" w:rsidRDefault="00682455" w:rsidP="00682455">
      <w:pPr>
        <w:numPr>
          <w:ilvl w:val="0"/>
          <w:numId w:val="2"/>
        </w:numPr>
        <w:jc w:val="both"/>
      </w:pPr>
      <w:r w:rsidRPr="00682455">
        <w:t>Complejidad en la banca internacional: patrones e implicaciones para el riesgo (2018-2021) (</w:t>
      </w:r>
      <w:r w:rsidRPr="00682455">
        <w:rPr>
          <w:i/>
          <w:iCs/>
        </w:rPr>
        <w:t>Journal of Banking and Finance</w:t>
      </w:r>
      <w:r w:rsidRPr="00682455">
        <w:t>2022)</w:t>
      </w:r>
    </w:p>
    <w:p w14:paraId="2A19F8AC" w14:textId="333E515A" w:rsidR="00682455" w:rsidRPr="00682455" w:rsidRDefault="00682455" w:rsidP="00682455">
      <w:pPr>
        <w:numPr>
          <w:ilvl w:val="0"/>
          <w:numId w:val="2"/>
        </w:numPr>
        <w:jc w:val="both"/>
      </w:pPr>
      <w:r w:rsidRPr="00682455">
        <w:t>La interacción entre la política macro</w:t>
      </w:r>
      <w:r w:rsidR="00A10694">
        <w:t xml:space="preserve"> </w:t>
      </w:r>
      <w:r w:rsidRPr="00682455">
        <w:t>prudencial y la política monetaria (2018-19) (</w:t>
      </w:r>
      <w:r w:rsidRPr="00682455">
        <w:rPr>
          <w:i/>
          <w:iCs/>
        </w:rPr>
        <w:t>Review of International Economics</w:t>
      </w:r>
      <w:r w:rsidRPr="00682455">
        <w:t>2020)</w:t>
      </w:r>
    </w:p>
    <w:p w14:paraId="41659F39" w14:textId="77777777" w:rsidR="00682455" w:rsidRPr="00682455" w:rsidRDefault="00682455" w:rsidP="00682455">
      <w:pPr>
        <w:numPr>
          <w:ilvl w:val="0"/>
          <w:numId w:val="2"/>
        </w:numPr>
        <w:jc w:val="both"/>
      </w:pPr>
      <w:r w:rsidRPr="00682455">
        <w:t>La transmisión internacional de la política monetaria: vínculos financieros y respuestas de política interna (2016-17) (</w:t>
      </w:r>
      <w:r w:rsidRPr="00682455">
        <w:rPr>
          <w:i/>
          <w:iCs/>
        </w:rPr>
        <w:t>Journal of International Money and Finance</w:t>
      </w:r>
      <w:r w:rsidRPr="00682455">
        <w:t>2019)</w:t>
      </w:r>
    </w:p>
    <w:p w14:paraId="729A2525" w14:textId="77777777" w:rsidR="00682455" w:rsidRPr="00682455" w:rsidRDefault="00682455" w:rsidP="00682455">
      <w:pPr>
        <w:numPr>
          <w:ilvl w:val="0"/>
          <w:numId w:val="2"/>
        </w:numPr>
        <w:jc w:val="both"/>
      </w:pPr>
      <w:r w:rsidRPr="00682455">
        <w:t>Efectos indirectos transfronterizos de la política prudencial: ¿cuánto? ¿Qué tan importante? (2014-16) (</w:t>
      </w:r>
      <w:r w:rsidRPr="00682455">
        <w:rPr>
          <w:i/>
          <w:iCs/>
        </w:rPr>
        <w:t>Revista Internacional de Banca Central</w:t>
      </w:r>
      <w:r w:rsidRPr="00682455">
        <w:t>2017)</w:t>
      </w:r>
    </w:p>
    <w:p w14:paraId="1E8FFBAC" w14:textId="77777777" w:rsidR="00682455" w:rsidRPr="00682455" w:rsidRDefault="00682455" w:rsidP="00682455">
      <w:pPr>
        <w:numPr>
          <w:ilvl w:val="0"/>
          <w:numId w:val="2"/>
        </w:numPr>
        <w:jc w:val="both"/>
      </w:pPr>
      <w:r w:rsidRPr="00682455">
        <w:t>International Banking and Liquidity Risk Transmission: Lessons from across Countries (Transmisión del riesgo de liquidez y banca internacional: lecciones aprendidas entre países) (2013) (Examen </w:t>
      </w:r>
      <w:r w:rsidRPr="00682455">
        <w:rPr>
          <w:i/>
          <w:iCs/>
        </w:rPr>
        <w:t>Económico del FMI</w:t>
      </w:r>
      <w:r w:rsidRPr="00682455">
        <w:t> 2015)</w:t>
      </w:r>
    </w:p>
    <w:p w14:paraId="14B6B973" w14:textId="5CF9D5A6" w:rsidR="00682455" w:rsidRPr="00682455" w:rsidRDefault="00682455" w:rsidP="00682455">
      <w:pPr>
        <w:jc w:val="both"/>
        <w:rPr>
          <w:b/>
          <w:bCs/>
        </w:rPr>
      </w:pPr>
      <w:r w:rsidRPr="00682455">
        <w:rPr>
          <w:b/>
          <w:bCs/>
        </w:rPr>
        <w:t>2</w:t>
      </w:r>
      <w:r w:rsidR="00A10694">
        <w:rPr>
          <w:b/>
          <w:bCs/>
        </w:rPr>
        <w:t>.</w:t>
      </w:r>
      <w:r w:rsidRPr="00682455">
        <w:rPr>
          <w:b/>
          <w:bCs/>
        </w:rPr>
        <w:t xml:space="preserve"> Lecciones del IBRN</w:t>
      </w:r>
      <w:r w:rsidR="00A10694">
        <w:rPr>
          <w:b/>
          <w:bCs/>
        </w:rPr>
        <w:t xml:space="preserve"> </w:t>
      </w:r>
      <w:r w:rsidRPr="00682455">
        <w:rPr>
          <w:b/>
          <w:bCs/>
        </w:rPr>
        <w:t>para la</w:t>
      </w:r>
      <w:r w:rsidR="00A10694">
        <w:rPr>
          <w:b/>
          <w:bCs/>
        </w:rPr>
        <w:t xml:space="preserve"> </w:t>
      </w:r>
      <w:r w:rsidRPr="00682455">
        <w:rPr>
          <w:b/>
          <w:bCs/>
        </w:rPr>
        <w:t>evaluación de políticas entre países</w:t>
      </w:r>
    </w:p>
    <w:p w14:paraId="40F51A96" w14:textId="2B71CCE9" w:rsidR="00682455" w:rsidRPr="00682455" w:rsidRDefault="00682455" w:rsidP="00682455">
      <w:pPr>
        <w:jc w:val="both"/>
      </w:pPr>
      <w:r w:rsidRPr="00682455">
        <w:t>Diez años de trabajo analítico realizado por el IBRN</w:t>
      </w:r>
      <w:r w:rsidR="00A10694">
        <w:t xml:space="preserve"> </w:t>
      </w:r>
      <w:r w:rsidRPr="00682455">
        <w:t>permiten extraer una serie de lecciones para la</w:t>
      </w:r>
      <w:r w:rsidR="00A10694">
        <w:t xml:space="preserve"> </w:t>
      </w:r>
      <w:r w:rsidRPr="00682455">
        <w:t>evaluación de políticas entre países. Este primer conjunto de lecciones está relacionado con el fondo: ¿cómo necesitamos establecer evaluaciones de políticas para reflejar plenamente la dinámica de ajuste relevante y los efectos causales? El trabajo realizado en el</w:t>
      </w:r>
      <w:r w:rsidR="00A10694">
        <w:t xml:space="preserve"> </w:t>
      </w:r>
      <w:r w:rsidRPr="00682455">
        <w:t>IBRN</w:t>
      </w:r>
      <w:r w:rsidR="00A10694">
        <w:t xml:space="preserve"> </w:t>
      </w:r>
      <w:r w:rsidRPr="00682455">
        <w:t>proporciona algunas respuestas:</w:t>
      </w:r>
    </w:p>
    <w:p w14:paraId="1609D3F9" w14:textId="193A5BD5" w:rsidR="00682455" w:rsidRPr="00682455" w:rsidRDefault="00682455" w:rsidP="00682455">
      <w:pPr>
        <w:numPr>
          <w:ilvl w:val="0"/>
          <w:numId w:val="3"/>
        </w:numPr>
        <w:jc w:val="both"/>
      </w:pPr>
      <w:r w:rsidRPr="00682455">
        <w:t>Es posible que los efectos de las medidas de política no se reflejen a nivel agregado o para el banco promedio, pero el desglose muestra efectos heterogéneos entre los bancos. No es raro que los equipos de país en el IBRN</w:t>
      </w:r>
      <w:r w:rsidR="00A10694">
        <w:t xml:space="preserve"> </w:t>
      </w:r>
      <w:r w:rsidRPr="00682455">
        <w:t>no encuentren ningún impacto de las medidas de política a nivel agregado o para el</w:t>
      </w:r>
      <w:r w:rsidR="00A10694">
        <w:t xml:space="preserve"> </w:t>
      </w:r>
      <w:r w:rsidRPr="00682455">
        <w:t>banco promedio. Sin embargo, esto puede enmascarar impactos heterogéneos relevantes a un nivel más desagregado. La heterogeneidad puede ser un resultado previsto de muchas medidas de política: puede haber "ganadores" y "perdedores" de los cambios regulatorios, es probable que las cuotas de mercado se reasignen entre las instituciones y las respuestas heterogéneas a la misma política pueden, de hecho, ser una característica estabilizadora.</w:t>
      </w:r>
    </w:p>
    <w:p w14:paraId="1215A504" w14:textId="6EE1BF29" w:rsidR="00682455" w:rsidRPr="00682455" w:rsidRDefault="00682455" w:rsidP="00682455">
      <w:pPr>
        <w:jc w:val="both"/>
      </w:pPr>
      <w:r w:rsidRPr="00682455">
        <w:t>Tomemos el ejemplo de un endurecimiento de los requisitos de capital que tiene el objetivo de aumentar la resiliencia del sistema financiero ante shocks adversos. Su objetivo previsto sería desplazar la actividad crediticia de los bancos con limitaciones de capital hacia bancos mejor capitalizados. El impacto en los préstamos agregados y en el banco promedio puede ser pequeño, pero la estabilidad del sistema se beneficia de una base de capital más sólida. Los estudios empíricos a menudo encuentran que los efectos de los requisitos de capital son un efecto más fuerte para los participantes más débiles del mercado que operan cerca del mínimo regulatorio. Las instituciones mejor capitalizadas tienden a verse afectadas por menos, y las cuotas de mercado crediticio se están reasignando a esas instituciones más fuertes. Es posible que los datos agregados sobre la oferta de crédito no muestren estas reasignaciones de las cuotas de mercado entre las instituciones, y los estudios micro</w:t>
      </w:r>
      <w:r w:rsidR="00A10694">
        <w:t xml:space="preserve"> </w:t>
      </w:r>
      <w:r w:rsidRPr="00682455">
        <w:t>econométricos que se centran en los efectos promedio tampoco pueden revelar los efectos de las medidas de política.</w:t>
      </w:r>
    </w:p>
    <w:p w14:paraId="63684EB6" w14:textId="014F49A5" w:rsidR="00682455" w:rsidRPr="00682455" w:rsidRDefault="00682455" w:rsidP="00682455">
      <w:pPr>
        <w:numPr>
          <w:ilvl w:val="0"/>
          <w:numId w:val="4"/>
        </w:numPr>
        <w:jc w:val="both"/>
      </w:pPr>
      <w:r w:rsidRPr="00682455">
        <w:lastRenderedPageBreak/>
        <w:t>La evaluación de políticas requiere comparaciones entre países. La evaluación de políticas se refiere a la identificación de los efectos causales. Esto, a su vez, requiere desentrañar los efectos de las políticas, de los impulsores a nivel micro y de los factores institucionales específicos de cada país. La desagregación es importante para aislar los factores a nivel micro. Al mismo tiempo, se necesitan conjuntos de datos de diferentes países para aislar las fricciones y limitaciones impulsadas por factores e instituciones específicos de cada país. Los estudios entre países, como los realizados en el IBRN,</w:t>
      </w:r>
      <w:r w:rsidR="00A10694">
        <w:t xml:space="preserve"> </w:t>
      </w:r>
      <w:r w:rsidRPr="00682455">
        <w:t>pueden proporcionar mejor información sobre estas dimensiones que los</w:t>
      </w:r>
      <w:r w:rsidR="00A10694">
        <w:t xml:space="preserve"> </w:t>
      </w:r>
      <w:r w:rsidRPr="00682455">
        <w:t>estudios que se han realizado solo para países individuales. Idealmente, los estudios entre países ayudan a trazar un mapa de la transmisión transfronteriza mundial de choques y políticas.</w:t>
      </w:r>
    </w:p>
    <w:p w14:paraId="33A0882A" w14:textId="59C8F796" w:rsidR="00682455" w:rsidRPr="00682455" w:rsidRDefault="00682455" w:rsidP="00682455">
      <w:pPr>
        <w:numPr>
          <w:ilvl w:val="0"/>
          <w:numId w:val="4"/>
        </w:numPr>
        <w:jc w:val="both"/>
      </w:pPr>
      <w:r w:rsidRPr="00682455">
        <w:t>La agregación también es importante. Evaluar si una política en particular tiene un impacto a nivel micro es una piedra angular de la evaluación causal de la política. Pero, en última instancia, muchas políticas apuntan a afectar los resultados agregados, como el riesgo sistémico o el ciclo financiero. Por lo tanto, se necesitan métodos que proporcionen información sobre los efectos agregados basados en estudios micro</w:t>
      </w:r>
      <w:r w:rsidR="00A10694">
        <w:t xml:space="preserve"> </w:t>
      </w:r>
      <w:r w:rsidRPr="00682455">
        <w:t>econométricos. Los estudios macroeconométricos pueden y, en muchos casos, deben complementar la evidencia a nivel micro para comprender los efectos de equilibrio general relevantes. El desarrollo de estas metodologías y hacerlas utilizables para el trabajo de políticas es un campo que debe desarrollarse aún más.</w:t>
      </w:r>
    </w:p>
    <w:p w14:paraId="30948A40" w14:textId="4BF7F9E5" w:rsidR="00682455" w:rsidRPr="00682455" w:rsidRDefault="00682455" w:rsidP="00682455">
      <w:pPr>
        <w:numPr>
          <w:ilvl w:val="0"/>
          <w:numId w:val="4"/>
        </w:numPr>
        <w:jc w:val="both"/>
      </w:pPr>
      <w:r w:rsidRPr="00682455">
        <w:t>La transmisión transfronteriza de perturbaciones y de políticas en préstamos bancarios puede parecer menor de lo esperado. Hay dos razones clave para coordinar los estudios de evaluación entre países: la primera es que los efectos relevantes de las reformas regulatorias pueden hacerse visibles solo comparando las reacciones entre diferentes sistemas financieros. La segunda es que las perturbaciones y las políticas pueden tener efectos transfronterizos. Tal vez algo contrariamente a las expectativas, muchos proyectos realizados por el IBRN</w:t>
      </w:r>
      <w:r w:rsidR="00A10694">
        <w:t xml:space="preserve"> </w:t>
      </w:r>
      <w:r w:rsidRPr="00682455">
        <w:t>encontraron efectos de contagio transfronterizos relativamente pequeños de las políticas (monetarias o prudenciales) en el crecimiento de los préstamos, y los</w:t>
      </w:r>
      <w:r w:rsidR="00A10694">
        <w:t xml:space="preserve"> </w:t>
      </w:r>
      <w:r w:rsidRPr="00682455">
        <w:t>efectos han sido bastante heterogéneos. Sin embargo, sería prematuro concluir que los efectos transfronterizos son pequeños. En primer lugar, los efectos de contagio pueden ser mayores para los países que no han sido cubiertos por</w:t>
      </w:r>
      <w:r w:rsidR="00A10694">
        <w:t xml:space="preserve"> </w:t>
      </w:r>
      <w:r w:rsidRPr="00682455">
        <w:t>los estudios IBRN. Esto sugiere utilizar muestras de países bastante grandes. En segundo lugar, las medidas de política prudencial y monetaria utilizadas en estudios anteriores pueden ser imperfectas. Esta preocupación puede mitigarse centrándose en reformas específicas y mejorando la medición. En tercer lugar, es posible que los efectos de políticas como las pruebas de resistencia no se hayan tenido debidamente en cuenta. Finalmente, los estudios previos de IBRN podrían no haber estado estudiando la dimensión de la actividad bancaria donde algunos efectos indirectos podrían ser más visibles. Por ejemplo, los efectos de contagio podrían ser más frecuentes para los préstamos interbancarios transfronterizos en lugar de los préstamos al sector privado no financiero. Además, es más probable que los efectos de contagio aparezcan en el ajuste de los precios de los mercados financieros en lugar de en cantidades de préstamos.</w:t>
      </w:r>
    </w:p>
    <w:p w14:paraId="4D888EAB" w14:textId="77777777" w:rsidR="00682455" w:rsidRPr="00682455" w:rsidRDefault="00682455" w:rsidP="00682455">
      <w:pPr>
        <w:jc w:val="both"/>
      </w:pPr>
      <w:r w:rsidRPr="00682455">
        <w:t>Un segundo conjunto de lecciones igualmente importantes está relacionado con la organización del trabajo analítico y de investigación:</w:t>
      </w:r>
    </w:p>
    <w:p w14:paraId="0AD612A9" w14:textId="0DB926D0" w:rsidR="00682455" w:rsidRPr="00682455" w:rsidRDefault="00682455" w:rsidP="00682455">
      <w:pPr>
        <w:numPr>
          <w:ilvl w:val="0"/>
          <w:numId w:val="5"/>
        </w:numPr>
        <w:jc w:val="both"/>
      </w:pPr>
      <w:r w:rsidRPr="00682455">
        <w:lastRenderedPageBreak/>
        <w:t>La configuración de la infraestructura de datos lleva tiempo. Los</w:t>
      </w:r>
      <w:r w:rsidR="00A10694">
        <w:t xml:space="preserve"> </w:t>
      </w:r>
      <w:r w:rsidRPr="00682455">
        <w:t>proyectos IBRN requieren experiencia analítica de investigadores y habilidades en torno a datos regulatorios confidenciales específicos de cada país. Estas habilidades a veces se encuentran en diferentes líneas de negocio dentro de las organizaciones, idealmente fomentando la colaboración y las relaciones más estrechas dentro de los bancos centrales. Otros datos necesarios para el análisis requieren aportes de todos los países, como lo</w:t>
      </w:r>
      <w:r w:rsidR="00A10694">
        <w:t xml:space="preserve"> </w:t>
      </w:r>
      <w:r w:rsidRPr="00682455">
        <w:t>ha hecho el</w:t>
      </w:r>
      <w:r w:rsidR="00A10694">
        <w:t xml:space="preserve"> </w:t>
      </w:r>
      <w:r w:rsidRPr="00682455">
        <w:t>IBRN al crear la Base de Datos de Instrumentos Prudenciales del IBRN (Cerutti, Correa, Fiorentino y Segalla 2017) o en torno a los indicadores de orientación de la política monetaria.</w:t>
      </w:r>
    </w:p>
    <w:p w14:paraId="51969D62" w14:textId="77777777" w:rsidR="00682455" w:rsidRPr="00682455" w:rsidRDefault="00682455" w:rsidP="00682455">
      <w:pPr>
        <w:jc w:val="both"/>
      </w:pPr>
      <w:r w:rsidRPr="00682455">
        <w:t>El proceso a veces es iterativo: establecer un diseño de investigación para un proyecto individual puede ser engorroso y llevar mucho tiempo, y las necesidades de datos relevantes a menudo se hacen evidentes solo después de que se hayan implementado los primeros ejercicios analíticos. Sin embargo, revisar las estrategias de datos y quizás añadir nuevos datos ex post, es decir, después de que se hayan obtenido los primeros resultados analíticos, tiene costos en términos de tiempo y recursos. Los primeros resultados pueden ser engañosos si se basan en una estrategia de identificación mal diseñada. Estos costos se multiplican en un entorno entre países donde varios equipos tienen que agregar datos o volver a ejecutar regresiones. Por lo tanto, es crucial planificar el tiempo suficiente para desarrollar la estrategia de identificación, la estrategia de datos asociada y anticipar las posibles necesidades futuras de datos desde el principio. La gestión de las expectativas es importante: un buen trabajo analítico es, en última instancia, un proceso de prueba y error con retroalimentación crítica incorporada en la analítica. Por lo tanto, revisar una estrategia inicial de manera estructurada puede ser una característica positiva de un proceso de evaluación en lugar de un error.</w:t>
      </w:r>
    </w:p>
    <w:p w14:paraId="1A209717" w14:textId="77777777" w:rsidR="00682455" w:rsidRPr="00682455" w:rsidRDefault="00682455" w:rsidP="00682455">
      <w:pPr>
        <w:numPr>
          <w:ilvl w:val="0"/>
          <w:numId w:val="6"/>
        </w:numPr>
        <w:jc w:val="both"/>
      </w:pPr>
      <w:r w:rsidRPr="00682455">
        <w:t>Los estudios piloto son importantes para desarrollar una plantilla común. El riesgo de costosas revisiones de datos puede minimizarse si los proyectos parten de un estudio piloto cuidadosamente diseñado, que prueba varios modelos e identifica las necesidades de datos relevantes. Los pilotos pueden ser dirigidos por varios miembros del equipo. Idealmente, los pilotos se basan en modelos anteriores relacionados que han sido probados en la literatura empírica y que han pasado por un proceso de control de calidad por parte de revistas académicas. Seguir los pasos de los modelos (empíricos) existentes puede ser útil, pero se debe prestar la debida atención a las razones por las cuales los modelos específicos pueden no ajustarse al propósito específico del ejercicio actual y, por lo tanto, deben modificarse.</w:t>
      </w:r>
    </w:p>
    <w:p w14:paraId="6F5102B4" w14:textId="520BC1B2" w:rsidR="00682455" w:rsidRPr="00682455" w:rsidRDefault="00682455" w:rsidP="00682455">
      <w:pPr>
        <w:numPr>
          <w:ilvl w:val="0"/>
          <w:numId w:val="6"/>
        </w:numPr>
        <w:jc w:val="both"/>
      </w:pPr>
      <w:r w:rsidRPr="00682455">
        <w:t>Los controles de robustez son importantes, y llevan tiempo. La ventaja de los estudios entre países basados en plantillas idénticas es su comparabilidad: si los resultados difieren entre países, estas diferencias pueden atribuirse a diferencias en instituciones y mercados, en lugar de reflejar diferencias en las metodologías. Al mismo tiempo, las plantillas idénticas pueden no ajustarse a las circunstancias específicas del país. A menudo, el primer conjunto de resultados puede parecer "desordenado" o, más técnicamente hablando, habrá mucha heterogeneidad que debe explicarse y comprenderse. Por lo tanto, los investigadores deben planificar el tiempo suficiente para las realizaciones, para la prueba de hipótesis y para las pruebas que ayudan a explorar las fuentes de heterogeneidad.</w:t>
      </w:r>
    </w:p>
    <w:p w14:paraId="11E199D2" w14:textId="30F38FF6" w:rsidR="00682455" w:rsidRPr="00682455" w:rsidRDefault="00682455" w:rsidP="00682455">
      <w:pPr>
        <w:numPr>
          <w:ilvl w:val="0"/>
          <w:numId w:val="6"/>
        </w:numPr>
        <w:jc w:val="both"/>
      </w:pPr>
      <w:r w:rsidRPr="00682455">
        <w:lastRenderedPageBreak/>
        <w:t>Los enfoques colaborativos pueden generar sinergias valiosas. Los costos de realizar estudios de evaluación de políticas pueden reducirse significativamente si se establecen mecanismos efectivos para el aprendizaje y el intercambio de información entre los equipos de evaluadores. El intercambio de conocimientos puede generar economías de escala. Por ejemplo, los códigos estandarizados para regresiones y estadísticas descriptivas pueden ayudar a economizar a tiempo para otros equipos. En el</w:t>
      </w:r>
      <w:r w:rsidR="00A10694">
        <w:t xml:space="preserve"> </w:t>
      </w:r>
      <w:r w:rsidRPr="00682455">
        <w:t>IBRN, ha habido oportunidades para que los equipos aprendan unos de otros en términos de codificación, limpieza de datos, explicación de metodologías, interpretación de resultados y compartir experiencia de nicho con respecto a políticas o métodos específicos. Tal explotación de sinergias requiere mecanismos ascendentes para el intercambio de información, así como una función de moderador de arriba hacia abajo que brinde orientación a los equipos. Ha demostrado ser útil reunir equipos que trabajen en diferentes aspectos del proyecto, lo que recompensa también a aquellos investigadores que pueden carecer del conjunto completo de habilidades requeridas en su propia institución. En el</w:t>
      </w:r>
      <w:r w:rsidR="00A10694">
        <w:t xml:space="preserve"> </w:t>
      </w:r>
      <w:r w:rsidRPr="00682455">
        <w:t>IBRN, hemos visto surgir muchas colaboraciones valiosas dentro de instituciones individuales entre investigadores, expertos en estabilidad financiera y proveedores de datos, así como una tremenda colaboración entre instituciones.</w:t>
      </w:r>
    </w:p>
    <w:p w14:paraId="16D6CC75" w14:textId="4C61D8D7" w:rsidR="00682455" w:rsidRPr="00682455" w:rsidRDefault="00682455" w:rsidP="00682455">
      <w:pPr>
        <w:numPr>
          <w:ilvl w:val="0"/>
          <w:numId w:val="6"/>
        </w:numPr>
        <w:jc w:val="both"/>
      </w:pPr>
      <w:r w:rsidRPr="00682455">
        <w:t>La cooperación con los estadísticos puede reducir los costos. La cooperación y la estrecha interacción con los estadísticos que proporcionan información sobre las regulaciones y las actividades de las instituciones financieras es crucial para una evaluación exitosa. La experiencia del IBRN</w:t>
      </w:r>
      <w:r w:rsidR="00A10694">
        <w:t xml:space="preserve"> </w:t>
      </w:r>
      <w:r w:rsidRPr="00682455">
        <w:t>sugiere que dicha cooperación y participación temprana de los estadísticos puede ser fructífera para mejorar la documentación de los conjuntos de datos, proporcionar acceso a los datos y mejorar la</w:t>
      </w:r>
      <w:r w:rsidR="00A10694">
        <w:t xml:space="preserve"> </w:t>
      </w:r>
      <w:r w:rsidRPr="00682455">
        <w:t>recopilación de datos.</w:t>
      </w:r>
    </w:p>
    <w:p w14:paraId="496E5CB3" w14:textId="60C89E53" w:rsidR="00682455" w:rsidRPr="00682455" w:rsidRDefault="00682455" w:rsidP="00682455">
      <w:pPr>
        <w:numPr>
          <w:ilvl w:val="0"/>
          <w:numId w:val="6"/>
        </w:numPr>
        <w:jc w:val="both"/>
      </w:pPr>
      <w:r w:rsidRPr="00682455">
        <w:t>El liderazgo del proyecto y los aportes de investigadores experimentados son cruciales. Diseñar la metodología y el diseño del experimento, escribir pautas metodológicas para equipos, desarrollar plantillas para informar resultados, supervisar las compilaciones comunes de bases de datos y otros aspectos de la red requieren un tiempo considerable y requieren diversos grados de experiencia en liderazgo. Del mismo modo, se requieren recursos para pasar de un mensaje de investigación a un mensaje de política. El aporte académico es igualmente importante: el</w:t>
      </w:r>
      <w:r w:rsidR="00A10694">
        <w:t xml:space="preserve"> </w:t>
      </w:r>
      <w:r w:rsidRPr="00682455">
        <w:t>trabajo de IBRN se ha beneficiado de los aportes de académicos externos, ya sea a través de consultas bilaterales, una función de asesoramiento explícita y a través de presentaciones diseñadas paralas reuniones de IBRN.</w:t>
      </w:r>
    </w:p>
    <w:p w14:paraId="29E721B6" w14:textId="3ACD5712" w:rsidR="00682455" w:rsidRPr="00682455" w:rsidRDefault="00682455" w:rsidP="00682455">
      <w:pPr>
        <w:numPr>
          <w:ilvl w:val="0"/>
          <w:numId w:val="6"/>
        </w:numPr>
        <w:jc w:val="both"/>
      </w:pPr>
      <w:r w:rsidRPr="00682455">
        <w:t>Los incentivos de los investigadores participantes son importantes. Los investigadores tienen diferentes preferencias sobre los resultados deseados de sus métodos analíticos. Muchos investigadores valoran las recompensas de la publicación en revistas arbitradas fuertes. Sin embargo, existen diferencias en el avance de la investigación entre proyectos,</w:t>
      </w:r>
      <w:r w:rsidR="00996199">
        <w:t xml:space="preserve"> </w:t>
      </w:r>
      <w:r w:rsidRPr="00682455">
        <w:t>los temas de IBRN a menudo combinan diferentes literaturas, y es difícil encontrar revistas individuales que acepten una amplia gama de artículos sobre varios estudios de países. La gestión general del proyecto incluye la apertura a una variedad de estrategias de publicación, al tiempo que apoya el objetivo general de obtener y comunicar lecciones relevantes para las políticas.</w:t>
      </w:r>
    </w:p>
    <w:p w14:paraId="7168347A" w14:textId="77777777" w:rsidR="00A10694" w:rsidRPr="00A10694" w:rsidRDefault="00A10694" w:rsidP="00682455">
      <w:pPr>
        <w:jc w:val="both"/>
      </w:pPr>
    </w:p>
    <w:p w14:paraId="2304FF10" w14:textId="45B21FA3" w:rsidR="00682455" w:rsidRPr="00682455" w:rsidRDefault="00682455" w:rsidP="00682455">
      <w:pPr>
        <w:jc w:val="both"/>
        <w:rPr>
          <w:b/>
          <w:bCs/>
        </w:rPr>
      </w:pPr>
      <w:r w:rsidRPr="00682455">
        <w:rPr>
          <w:b/>
          <w:bCs/>
        </w:rPr>
        <w:lastRenderedPageBreak/>
        <w:t>3</w:t>
      </w:r>
      <w:r w:rsidR="00A10694">
        <w:rPr>
          <w:b/>
          <w:bCs/>
        </w:rPr>
        <w:t>.</w:t>
      </w:r>
      <w:r w:rsidRPr="00682455">
        <w:rPr>
          <w:b/>
          <w:bCs/>
        </w:rPr>
        <w:t xml:space="preserve"> El camino a seguir para el</w:t>
      </w:r>
      <w:r w:rsidR="00A10694">
        <w:rPr>
          <w:b/>
          <w:bCs/>
        </w:rPr>
        <w:t xml:space="preserve"> </w:t>
      </w:r>
      <w:r w:rsidRPr="00682455">
        <w:rPr>
          <w:b/>
          <w:bCs/>
        </w:rPr>
        <w:t>BIBN</w:t>
      </w:r>
    </w:p>
    <w:p w14:paraId="11B9C848" w14:textId="52D7BFC7" w:rsidR="00682455" w:rsidRPr="00682455" w:rsidRDefault="00682455" w:rsidP="00682455">
      <w:pPr>
        <w:jc w:val="both"/>
      </w:pPr>
      <w:r w:rsidRPr="00682455">
        <w:t>Durante la última década, el panorama mundial ha cambiado significativamente. La regulación del sector bancario se ha reformado para hacer que el sistema financiero sea más resistente. Al mismo tiempo, las instituciones financieras no bancarias se han vuelto más frecuentes en la prestación transfronteriza de servicios financieros. La economía mundial ha experimentado una serie de choques adversos: conflictos comerciales entre Estados</w:t>
      </w:r>
      <w:r w:rsidR="00A10694">
        <w:t xml:space="preserve"> </w:t>
      </w:r>
      <w:r w:rsidRPr="00682455">
        <w:t>Unidos</w:t>
      </w:r>
      <w:r w:rsidR="00A10694">
        <w:t xml:space="preserve"> </w:t>
      </w:r>
      <w:r w:rsidRPr="00682455">
        <w:t xml:space="preserve">y China, Brexit, la pandemia de </w:t>
      </w:r>
      <w:r w:rsidR="00A10694" w:rsidRPr="00682455">
        <w:t>COVID</w:t>
      </w:r>
      <w:r w:rsidRPr="00682455">
        <w:t xml:space="preserve">, la invasión de Rusia en Ucrania con choques asociados a los mercados de productos básicos y la inflación. El aumento de los riesgos geopolíticos amenaza con ralentizar o incluso revertir el proceso de globalización económica de las últimas décadas. Dentro de los países, la polarización política ha aumentado. Las tendencias mundiales a largo plazo, en primer </w:t>
      </w:r>
      <w:r w:rsidR="00A10694" w:rsidRPr="00682455">
        <w:t>lugar,</w:t>
      </w:r>
      <w:r w:rsidRPr="00682455">
        <w:t xml:space="preserve"> el cambio climático, pero también la digitalización y las tendencias demográficas, se suman a la complejidad del entorno en el que los bancos y las empresas mundiales, así como los gobiernos, tienen que operar.</w:t>
      </w:r>
    </w:p>
    <w:p w14:paraId="1F451FDD" w14:textId="19E6BF38" w:rsidR="00682455" w:rsidRPr="00682455" w:rsidRDefault="00682455" w:rsidP="00682455">
      <w:pPr>
        <w:jc w:val="both"/>
      </w:pPr>
      <w:r w:rsidRPr="00682455">
        <w:t xml:space="preserve">Muchas de estas tendencias globales tienen su origen fuera del sistema financiero, pero sus efectos son catalizados a través del sistema financiero. Tomemos el ejemplo de la pandemia de </w:t>
      </w:r>
      <w:proofErr w:type="spellStart"/>
      <w:r w:rsidRPr="00682455">
        <w:t>Covid</w:t>
      </w:r>
      <w:proofErr w:type="spellEnd"/>
      <w:r w:rsidRPr="00682455">
        <w:t>. Las medidas fiscales han desempeñado un papel crucial durante la pandemia de COVID en términos de protección de la economía real e, indirectamente, de proteger al sector bancario de los efectos de contagio negativos. A pesar de la magnitud del shock económico, algunos bancos apenas se vieron afectados por la pandemia, y muchos no tuvieron que utilizar los colchones de capital que habían estado acumulando antes de la pandemia. Se adoptaron medidas reglamentarias para relajar las limitaciones pertinentes de los balances. Después de la pandemia, el momento de la retirada de las medidas de política relacionadas con la crisis ha sido un desafío, incluso para que la política macro</w:t>
      </w:r>
      <w:r w:rsidR="00A10694">
        <w:t xml:space="preserve"> </w:t>
      </w:r>
      <w:r w:rsidRPr="00682455">
        <w:t>prudencial pase de una crisis a un modo de prevención. El momento de la normalización de la política monetaria debe tener en cuenta que los países están experimentando diferentes etapas de recuperación y shocks adicionales. Actualmente, el IBRN</w:t>
      </w:r>
      <w:r w:rsidR="00A10694">
        <w:t xml:space="preserve"> </w:t>
      </w:r>
      <w:r w:rsidRPr="00682455">
        <w:t>está llevando a cabo una investigación para informar este debate mediante el</w:t>
      </w:r>
      <w:r w:rsidR="00A10694">
        <w:t xml:space="preserve"> </w:t>
      </w:r>
      <w:r w:rsidRPr="00682455">
        <w:t>análisis de una serie de políticas relevantes y preguntas de investigación. Un proyecto, en marcha, examina si se produce una mayor fragmentación de los mercados bancarios cuando se perturban las pautas comerciales y aumenta la incertidumbre en materia de política comercial. Otro proyecto, que se está iniciando actualmente, se centra en comprender las consecuencias a corto y mediano plazo de las garantías gubernamentales de préstamos bancarios, como las que ocurrieron durante el período de pandemia de COVID-19.</w:t>
      </w:r>
    </w:p>
    <w:p w14:paraId="39E4337B" w14:textId="275831EC" w:rsidR="00682455" w:rsidRPr="00682455" w:rsidRDefault="00682455" w:rsidP="00682455">
      <w:pPr>
        <w:jc w:val="both"/>
      </w:pPr>
      <w:r w:rsidRPr="00682455">
        <w:t>El cambio climático está siendo considerado para el trabajo futuro</w:t>
      </w:r>
      <w:r w:rsidR="00A10694">
        <w:t xml:space="preserve"> </w:t>
      </w:r>
      <w:r w:rsidRPr="00682455">
        <w:t>de IBRN. El cambio climático y las medidas políticas que se toman para lograr la transformación a cero emisiones netas pueden tener implicaciones importantes para el sistema bancario. Los bancos activos a nivel mundial están expuestos a riesgos relacionados con el clima y deben hacer frente a esos riesgos. Los flujos bancarios mundiales pueden ser un canal a través del cual los fondos necesarios para financiar la transformación económica pueden dirigirse a los sectores y regiones donde más se necesitan esas inversiones. El</w:t>
      </w:r>
      <w:r w:rsidR="00A10694">
        <w:t xml:space="preserve"> </w:t>
      </w:r>
      <w:r w:rsidRPr="00682455">
        <w:t>IBRN</w:t>
      </w:r>
      <w:r w:rsidR="00A10694">
        <w:t xml:space="preserve"> </w:t>
      </w:r>
      <w:r w:rsidRPr="00682455">
        <w:t>podría cooperar potencialmente con la Red para la Ecologización del Sistema Financiero (NGFS)</w:t>
      </w:r>
      <w:hyperlink r:id="rId13" w:anchor="fn6" w:history="1">
        <w:r w:rsidRPr="00682455">
          <w:rPr>
            <w:rStyle w:val="Hipervnculo"/>
            <w:vertAlign w:val="superscript"/>
          </w:rPr>
          <w:t>6</w:t>
        </w:r>
      </w:hyperlink>
      <w:r w:rsidRPr="00682455">
        <w:t> generar los datos necesarios y formular hipótesis relevantes.</w:t>
      </w:r>
    </w:p>
    <w:p w14:paraId="0297D97E" w14:textId="332C051F" w:rsidR="00682455" w:rsidRPr="00682455" w:rsidRDefault="00682455" w:rsidP="00682455">
      <w:pPr>
        <w:jc w:val="both"/>
      </w:pPr>
      <w:r w:rsidRPr="00682455">
        <w:t xml:space="preserve">Por lo tanto, ciertamente no hay escasez de temas, dada la importancia de los bancos para las reformas posteriores a la crisis del sistema financiero y los cambios en el entorno. Además de comprender cómo funcionan los programas de garantía de préstamos y el cambio climático a través </w:t>
      </w:r>
      <w:r w:rsidRPr="00682455">
        <w:lastRenderedPageBreak/>
        <w:t>de los bancos globales y locales, las implicaciones de aspectos de digitalización, BigTech y</w:t>
      </w:r>
      <w:r w:rsidR="00996199">
        <w:t xml:space="preserve"> </w:t>
      </w:r>
      <w:r w:rsidRPr="00682455">
        <w:t>FinTech, o la normalización de la política monetaria son temas potenciales para</w:t>
      </w:r>
      <w:r w:rsidR="00996199">
        <w:t xml:space="preserve"> </w:t>
      </w:r>
      <w:r w:rsidRPr="00682455">
        <w:t>el desarrollo de IBRN.</w:t>
      </w:r>
    </w:p>
    <w:p w14:paraId="167F6827" w14:textId="5BEAB9C2" w:rsidR="00682455" w:rsidRPr="00682455" w:rsidRDefault="00682455" w:rsidP="00682455">
      <w:pPr>
        <w:jc w:val="both"/>
      </w:pPr>
      <w:r w:rsidRPr="00682455">
        <w:t>En el futuro, el</w:t>
      </w:r>
      <w:r w:rsidR="00A10694">
        <w:t xml:space="preserve"> </w:t>
      </w:r>
      <w:r w:rsidRPr="00682455">
        <w:t>IBRN</w:t>
      </w:r>
      <w:r w:rsidR="00A10694">
        <w:t xml:space="preserve"> </w:t>
      </w:r>
      <w:r w:rsidRPr="00682455">
        <w:t>podría hacer contribuciones al trabajo relevante del</w:t>
      </w:r>
      <w:r w:rsidR="00A10694">
        <w:t xml:space="preserve"> </w:t>
      </w:r>
      <w:r w:rsidRPr="00682455">
        <w:t>FSB, los comités del</w:t>
      </w:r>
      <w:r w:rsidR="00A10694">
        <w:t xml:space="preserve"> </w:t>
      </w:r>
      <w:r w:rsidRPr="00682455">
        <w:t>BIS</w:t>
      </w:r>
      <w:r w:rsidR="00A10694">
        <w:t xml:space="preserve"> </w:t>
      </w:r>
      <w:r w:rsidRPr="00682455">
        <w:t>o la Junta Europea de Riesgo Sistémico (JERS). Hacer de los estudios a nivel de los países basados en microdatos un instrumento rutinario en la labor normativa sigue exigiendo inversiones adicionales en una "infraestructura de evaluación".</w:t>
      </w:r>
    </w:p>
    <w:p w14:paraId="30CB6E8C" w14:textId="278E6F11" w:rsidR="00682455" w:rsidRPr="00682455" w:rsidRDefault="00682455" w:rsidP="00682455">
      <w:pPr>
        <w:jc w:val="both"/>
      </w:pPr>
      <w:r w:rsidRPr="00682455">
        <w:t>Finalmente, se avecinan varias oportunidades para el</w:t>
      </w:r>
      <w:r w:rsidR="00A10694">
        <w:t xml:space="preserve"> </w:t>
      </w:r>
      <w:r w:rsidRPr="00682455">
        <w:t>IBRN. Las mejoras tecnológicas y la mejor disponibilidad de microdatos pueden ayudar a relajar las limitaciones a las que se enfrentó inicialmente el</w:t>
      </w:r>
      <w:r w:rsidR="00A10694">
        <w:t xml:space="preserve"> </w:t>
      </w:r>
      <w:r w:rsidRPr="00682455">
        <w:t>BIBN. Se está realizando una gran cantidad de trabajo innovador en bancos centrales y organizaciones como el</w:t>
      </w:r>
      <w:r w:rsidR="00A10694">
        <w:t xml:space="preserve"> </w:t>
      </w:r>
      <w:r w:rsidRPr="00682455">
        <w:t>BIS. Esta podría ser una oportunidad para mejorar la infraestructura de microdatos tanto para políticas como para investigación. Un avance en la literatura es a través del uso de datos de registro de crédito. Varios miembros del</w:t>
      </w:r>
      <w:r w:rsidR="00A10694">
        <w:t xml:space="preserve"> </w:t>
      </w:r>
      <w:r w:rsidRPr="00682455">
        <w:t>IBRN</w:t>
      </w:r>
      <w:r w:rsidR="00A10694">
        <w:t xml:space="preserve"> </w:t>
      </w:r>
      <w:r w:rsidRPr="00682455">
        <w:t>ya tienen acceso a datos de registro de crédito de alta calidad, que podrían explorarse en entornos multinacionales y contribuir significativamente a la identificación causal de los efectos de las políticas. Una vez que se realizan inversiones para utilizar este tipo de datos, y potencialmente vincular los datos del registro de crédito con otra información sobre empresas específicas, se puede explorar un conjunto aún más amplio de cuestiones sobre las consecuencias de los shocks para la economía real.</w:t>
      </w:r>
    </w:p>
    <w:p w14:paraId="075CBB31" w14:textId="3E137CD6" w:rsidR="00682455" w:rsidRPr="00682455" w:rsidRDefault="00682455" w:rsidP="00682455">
      <w:pPr>
        <w:jc w:val="both"/>
      </w:pPr>
      <w:r w:rsidRPr="00682455">
        <w:t>Se han puesto en marcha nuevas iniciativas que están vinculadas a la</w:t>
      </w:r>
      <w:r w:rsidR="00A10694">
        <w:t xml:space="preserve"> </w:t>
      </w:r>
      <w:r w:rsidRPr="00682455">
        <w:t>BIBN</w:t>
      </w:r>
      <w:r w:rsidR="00A10694">
        <w:t xml:space="preserve"> </w:t>
      </w:r>
      <w:r w:rsidRPr="00682455">
        <w:t>y que podrían dar lugar a sinergias. INEXDA, que es la abreviatura de la Red Internacional para el Intercambio de Experiencias sobre el Manejo Estadístico de Datos Granulares, es uno de ellos. Es un proyecto de cooperación internacional que permite el intercambio de experiencias en el manejo estadístico de datos granulares con fines de investigación. Abarca cuestiones como la accesibilidad de los datos y metadatos, las técnicas para el análisis estadístico de datos granulares, los procedimientos para la confidencialidad y seguridad de los datos y los métodos de control de la producción.</w:t>
      </w:r>
    </w:p>
    <w:p w14:paraId="0B860179" w14:textId="0DAB287B" w:rsidR="00682455" w:rsidRPr="00682455" w:rsidRDefault="00682455" w:rsidP="00682455">
      <w:pPr>
        <w:jc w:val="both"/>
      </w:pPr>
      <w:r w:rsidRPr="00682455">
        <w:t>El</w:t>
      </w:r>
      <w:r w:rsidR="00A10694">
        <w:t xml:space="preserve"> </w:t>
      </w:r>
      <w:r w:rsidRPr="00682455">
        <w:t>IBRN</w:t>
      </w:r>
      <w:r w:rsidR="00A10694">
        <w:t xml:space="preserve"> </w:t>
      </w:r>
      <w:r w:rsidRPr="00682455">
        <w:t>se compromete a cumplir sus objetivos centrales y aprovechar la solidez de sus logros durante la última década. La membresía es su mayor activo, y juntos el IBRN</w:t>
      </w:r>
      <w:r w:rsidR="00A10694">
        <w:t xml:space="preserve"> </w:t>
      </w:r>
      <w:r w:rsidRPr="00682455">
        <w:t>espera informar los muchos problemas que solo se pueden abordar combinando ideas de estudios realizados en todo el</w:t>
      </w:r>
      <w:r w:rsidR="00A10694">
        <w:t xml:space="preserve"> </w:t>
      </w:r>
      <w:r w:rsidRPr="00682455">
        <w:t>mundo.</w:t>
      </w:r>
    </w:p>
    <w:p w14:paraId="2EF33B0D" w14:textId="7A3CB758" w:rsidR="00682455" w:rsidRPr="00682455" w:rsidRDefault="00682455" w:rsidP="00682455">
      <w:pPr>
        <w:jc w:val="both"/>
        <w:rPr>
          <w:b/>
          <w:bCs/>
          <w:lang w:val="en-US"/>
        </w:rPr>
      </w:pPr>
      <w:r w:rsidRPr="00682455">
        <w:rPr>
          <w:b/>
          <w:bCs/>
          <w:lang w:val="en-US"/>
        </w:rPr>
        <w:t>4</w:t>
      </w:r>
      <w:r w:rsidR="00A10694">
        <w:rPr>
          <w:b/>
          <w:bCs/>
          <w:lang w:val="en-US"/>
        </w:rPr>
        <w:t>.</w:t>
      </w:r>
      <w:r w:rsidRPr="00682455">
        <w:rPr>
          <w:b/>
          <w:bCs/>
          <w:lang w:val="en-US"/>
        </w:rPr>
        <w:t xml:space="preserve"> Referencias</w:t>
      </w:r>
    </w:p>
    <w:p w14:paraId="442D2F20" w14:textId="77777777" w:rsidR="00682455" w:rsidRPr="00682455" w:rsidRDefault="00682455" w:rsidP="00682455">
      <w:pPr>
        <w:jc w:val="both"/>
        <w:rPr>
          <w:lang w:val="en-US"/>
        </w:rPr>
      </w:pPr>
      <w:r w:rsidRPr="00682455">
        <w:rPr>
          <w:lang w:val="en-US"/>
        </w:rPr>
        <w:t>Angeloni, Ignazio, Anil K. Kashyap, Benoît Mojon, y Daniele Terlizzese, 2003, "Monetary Transmission in the euro area: Does the interest rate channel explain all?", </w:t>
      </w:r>
      <w:r w:rsidRPr="00682455">
        <w:rPr>
          <w:i/>
          <w:iCs/>
          <w:lang w:val="en-US"/>
        </w:rPr>
        <w:t>NBERWorking Paper</w:t>
      </w:r>
      <w:r w:rsidRPr="00682455">
        <w:rPr>
          <w:lang w:val="en-US"/>
        </w:rPr>
        <w:t>No.9984.</w:t>
      </w:r>
    </w:p>
    <w:p w14:paraId="1475AA75" w14:textId="6DDF0362" w:rsidR="00682455" w:rsidRPr="00682455" w:rsidRDefault="00682455" w:rsidP="00682455">
      <w:pPr>
        <w:jc w:val="both"/>
        <w:rPr>
          <w:lang w:val="en-US"/>
        </w:rPr>
      </w:pPr>
      <w:r w:rsidRPr="00682455">
        <w:t xml:space="preserve">Buch, Claudia M. y Linda S. Goldberg, 2015. </w:t>
      </w:r>
      <w:r w:rsidRPr="00682455">
        <w:rPr>
          <w:lang w:val="en-US"/>
        </w:rPr>
        <w:t>"International Banking and Liquidity Risk Transmission: Lessons from Across Countries", </w:t>
      </w:r>
      <w:r w:rsidRPr="00682455">
        <w:rPr>
          <w:i/>
          <w:iCs/>
          <w:lang w:val="en-US"/>
        </w:rPr>
        <w:t>IMF</w:t>
      </w:r>
      <w:r w:rsidR="00996199">
        <w:rPr>
          <w:i/>
          <w:iCs/>
          <w:lang w:val="en-US"/>
        </w:rPr>
        <w:t xml:space="preserve"> </w:t>
      </w:r>
      <w:r w:rsidRPr="00682455">
        <w:rPr>
          <w:i/>
          <w:iCs/>
          <w:lang w:val="en-US"/>
        </w:rPr>
        <w:t>Economic Review</w:t>
      </w:r>
      <w:r w:rsidRPr="00682455">
        <w:rPr>
          <w:lang w:val="en-US"/>
        </w:rPr>
        <w:t>63: 377-410, noviembre.</w:t>
      </w:r>
    </w:p>
    <w:p w14:paraId="0118F717" w14:textId="77777777" w:rsidR="00682455" w:rsidRPr="00682455" w:rsidRDefault="00682455" w:rsidP="00682455">
      <w:pPr>
        <w:jc w:val="both"/>
        <w:rPr>
          <w:lang w:val="en-US"/>
        </w:rPr>
      </w:pPr>
      <w:r w:rsidRPr="00682455">
        <w:t xml:space="preserve">Buch, Claudia M. y Linda S. Goldberg, 2017. "Efectos indirectos transfronterizos de la política prudencial: ¿cuánto? </w:t>
      </w:r>
      <w:r w:rsidRPr="00682455">
        <w:rPr>
          <w:lang w:val="en-US"/>
        </w:rPr>
        <w:t>¿</w:t>
      </w:r>
      <w:proofErr w:type="spellStart"/>
      <w:r w:rsidRPr="00682455">
        <w:rPr>
          <w:lang w:val="en-US"/>
        </w:rPr>
        <w:t>Qué</w:t>
      </w:r>
      <w:proofErr w:type="spellEnd"/>
      <w:r w:rsidRPr="00682455">
        <w:rPr>
          <w:lang w:val="en-US"/>
        </w:rPr>
        <w:t xml:space="preserve"> tan </w:t>
      </w:r>
      <w:proofErr w:type="spellStart"/>
      <w:r w:rsidRPr="00682455">
        <w:rPr>
          <w:lang w:val="en-US"/>
        </w:rPr>
        <w:t>importante</w:t>
      </w:r>
      <w:proofErr w:type="spellEnd"/>
      <w:r w:rsidRPr="00682455">
        <w:rPr>
          <w:lang w:val="en-US"/>
        </w:rPr>
        <w:t>? Evidence from the International Banking Research Network", </w:t>
      </w:r>
      <w:r w:rsidRPr="00682455">
        <w:rPr>
          <w:i/>
          <w:iCs/>
          <w:lang w:val="en-US"/>
        </w:rPr>
        <w:t>International Journal of Central Banking</w:t>
      </w:r>
      <w:r w:rsidRPr="00682455">
        <w:rPr>
          <w:lang w:val="en-US"/>
        </w:rPr>
        <w:t>48: 505-558.</w:t>
      </w:r>
    </w:p>
    <w:p w14:paraId="35CBE3C1" w14:textId="77777777" w:rsidR="00682455" w:rsidRPr="00682455" w:rsidRDefault="00682455" w:rsidP="00682455">
      <w:pPr>
        <w:jc w:val="both"/>
        <w:rPr>
          <w:lang w:val="en-US"/>
        </w:rPr>
      </w:pPr>
      <w:r w:rsidRPr="00682455">
        <w:t xml:space="preserve">Buch, Claudia M. y Linda S. Goldberg, 2020. </w:t>
      </w:r>
      <w:r w:rsidRPr="00682455">
        <w:rPr>
          <w:lang w:val="en-US"/>
        </w:rPr>
        <w:t>"Global banking: Towards an Assessment of Benefits and Costs", </w:t>
      </w:r>
      <w:r w:rsidRPr="00682455">
        <w:rPr>
          <w:i/>
          <w:iCs/>
          <w:lang w:val="en-US"/>
        </w:rPr>
        <w:t>Annual Review of Financial Economics</w:t>
      </w:r>
      <w:r w:rsidRPr="00682455">
        <w:rPr>
          <w:lang w:val="en-US"/>
        </w:rPr>
        <w:t> 12: 141-175.</w:t>
      </w:r>
    </w:p>
    <w:p w14:paraId="69ED3802" w14:textId="77777777" w:rsidR="00682455" w:rsidRPr="00682455" w:rsidRDefault="00682455" w:rsidP="00682455">
      <w:pPr>
        <w:jc w:val="both"/>
        <w:rPr>
          <w:lang w:val="en-US"/>
        </w:rPr>
      </w:pPr>
      <w:r w:rsidRPr="00682455">
        <w:lastRenderedPageBreak/>
        <w:t xml:space="preserve">Buch, Claudia M. y Linda S. Goldberg, 2022. </w:t>
      </w:r>
      <w:r w:rsidRPr="00682455">
        <w:rPr>
          <w:lang w:val="en-US"/>
        </w:rPr>
        <w:t>"Complexity and Riskiness of Banking Organizations: Evidence from the International Banking Research Network", </w:t>
      </w:r>
      <w:r w:rsidRPr="00682455">
        <w:rPr>
          <w:i/>
          <w:iCs/>
          <w:lang w:val="en-US"/>
        </w:rPr>
        <w:t>Journal of Banking &amp; Finance</w:t>
      </w:r>
      <w:r w:rsidRPr="00682455">
        <w:rPr>
          <w:lang w:val="en-US"/>
        </w:rPr>
        <w:t xml:space="preserve">, 134, </w:t>
      </w:r>
      <w:proofErr w:type="spellStart"/>
      <w:r w:rsidRPr="00682455">
        <w:rPr>
          <w:lang w:val="en-US"/>
        </w:rPr>
        <w:t>artículo</w:t>
      </w:r>
      <w:proofErr w:type="spellEnd"/>
      <w:r w:rsidRPr="00682455">
        <w:rPr>
          <w:lang w:val="en-US"/>
        </w:rPr>
        <w:t xml:space="preserve"> 106244, </w:t>
      </w:r>
      <w:proofErr w:type="spellStart"/>
      <w:r w:rsidRPr="00682455">
        <w:rPr>
          <w:lang w:val="en-US"/>
        </w:rPr>
        <w:t>enero</w:t>
      </w:r>
      <w:proofErr w:type="spellEnd"/>
      <w:r w:rsidRPr="00682455">
        <w:rPr>
          <w:lang w:val="en-US"/>
        </w:rPr>
        <w:t>.</w:t>
      </w:r>
    </w:p>
    <w:p w14:paraId="4C8A8250" w14:textId="77777777" w:rsidR="00682455" w:rsidRPr="00682455" w:rsidRDefault="00682455" w:rsidP="00682455">
      <w:pPr>
        <w:jc w:val="both"/>
      </w:pPr>
      <w:r w:rsidRPr="00682455">
        <w:t xml:space="preserve">Buch, Claudia M., </w:t>
      </w:r>
      <w:proofErr w:type="spellStart"/>
      <w:r w:rsidRPr="00682455">
        <w:t>Matthieu</w:t>
      </w:r>
      <w:proofErr w:type="spellEnd"/>
      <w:r w:rsidRPr="00682455">
        <w:t xml:space="preserve"> </w:t>
      </w:r>
      <w:proofErr w:type="spellStart"/>
      <w:r w:rsidRPr="00682455">
        <w:t>Bussière</w:t>
      </w:r>
      <w:proofErr w:type="spellEnd"/>
      <w:r w:rsidRPr="00682455">
        <w:t xml:space="preserve"> y Linda S. Goldberg, 2021, "¿Los flujos de capital a través de los bancos globales apoyarán la recuperación económica?", </w:t>
      </w:r>
      <w:r w:rsidRPr="00682455">
        <w:rPr>
          <w:i/>
          <w:iCs/>
        </w:rPr>
        <w:t xml:space="preserve">Liberty Street </w:t>
      </w:r>
      <w:proofErr w:type="spellStart"/>
      <w:r w:rsidRPr="00682455">
        <w:rPr>
          <w:i/>
          <w:iCs/>
        </w:rPr>
        <w:t>Economics</w:t>
      </w:r>
      <w:r w:rsidRPr="00682455">
        <w:t>Banco</w:t>
      </w:r>
      <w:proofErr w:type="spellEnd"/>
      <w:r w:rsidRPr="00682455">
        <w:t xml:space="preserve"> de la Reserva Federal de Nueva York.</w:t>
      </w:r>
    </w:p>
    <w:p w14:paraId="78B60BE1" w14:textId="77777777" w:rsidR="00682455" w:rsidRPr="00682455" w:rsidRDefault="00682455" w:rsidP="00682455">
      <w:pPr>
        <w:jc w:val="both"/>
        <w:rPr>
          <w:lang w:val="en-US"/>
        </w:rPr>
      </w:pPr>
      <w:r w:rsidRPr="00682455">
        <w:rPr>
          <w:lang w:val="en-US"/>
        </w:rPr>
        <w:t xml:space="preserve">Buch, Claudia M., Matthieu </w:t>
      </w:r>
      <w:proofErr w:type="spellStart"/>
      <w:r w:rsidRPr="00682455">
        <w:rPr>
          <w:lang w:val="en-US"/>
        </w:rPr>
        <w:t>Bussière</w:t>
      </w:r>
      <w:proofErr w:type="spellEnd"/>
      <w:r w:rsidRPr="00682455">
        <w:rPr>
          <w:lang w:val="en-US"/>
        </w:rPr>
        <w:t>, Linda S. Goldberg y Robert Hills, 2019. "The international transmission of monetary policy" </w:t>
      </w:r>
      <w:r w:rsidRPr="00682455">
        <w:rPr>
          <w:i/>
          <w:iCs/>
          <w:lang w:val="en-US"/>
        </w:rPr>
        <w:t>Journal of International Money and Finance</w:t>
      </w:r>
      <w:r w:rsidRPr="00682455">
        <w:rPr>
          <w:lang w:val="en-US"/>
        </w:rPr>
        <w:t>91: 29-48, </w:t>
      </w:r>
      <w:proofErr w:type="spellStart"/>
      <w:r w:rsidRPr="00682455">
        <w:rPr>
          <w:lang w:val="en-US"/>
        </w:rPr>
        <w:t>marzo</w:t>
      </w:r>
      <w:proofErr w:type="spellEnd"/>
      <w:r w:rsidRPr="00682455">
        <w:rPr>
          <w:lang w:val="en-US"/>
        </w:rPr>
        <w:t>.</w:t>
      </w:r>
    </w:p>
    <w:p w14:paraId="7AF2A840" w14:textId="77777777" w:rsidR="00682455" w:rsidRPr="00682455" w:rsidRDefault="00682455" w:rsidP="00682455">
      <w:pPr>
        <w:jc w:val="both"/>
      </w:pPr>
      <w:r w:rsidRPr="00682455">
        <w:t xml:space="preserve">Buch, Claudia M., </w:t>
      </w:r>
      <w:proofErr w:type="spellStart"/>
      <w:r w:rsidRPr="00682455">
        <w:t>Matthieu</w:t>
      </w:r>
      <w:proofErr w:type="spellEnd"/>
      <w:r w:rsidRPr="00682455">
        <w:t xml:space="preserve"> </w:t>
      </w:r>
      <w:proofErr w:type="spellStart"/>
      <w:r w:rsidRPr="00682455">
        <w:t>Bussière</w:t>
      </w:r>
      <w:proofErr w:type="spellEnd"/>
      <w:r w:rsidRPr="00682455">
        <w:t xml:space="preserve"> y Linda S. Goldberg, 2021, «Política </w:t>
      </w:r>
      <w:proofErr w:type="spellStart"/>
      <w:r w:rsidRPr="00682455">
        <w:t>macroprudencial</w:t>
      </w:r>
      <w:proofErr w:type="spellEnd"/>
      <w:r w:rsidRPr="00682455">
        <w:t xml:space="preserve"> a raíz de la crisis de la COVID 19: efectos de contagio internacionales y cuestiones de coordinación» </w:t>
      </w:r>
      <w:proofErr w:type="spellStart"/>
      <w:r w:rsidRPr="00682455">
        <w:t>en</w:t>
      </w:r>
      <w:r w:rsidRPr="00682455">
        <w:rPr>
          <w:i/>
          <w:iCs/>
        </w:rPr>
        <w:t>Financial</w:t>
      </w:r>
      <w:proofErr w:type="spellEnd"/>
      <w:r w:rsidRPr="00682455">
        <w:rPr>
          <w:i/>
          <w:iCs/>
        </w:rPr>
        <w:t xml:space="preserve"> Stability Review 2021,</w:t>
      </w:r>
      <w:r w:rsidRPr="00682455">
        <w:t> Banque de France.</w:t>
      </w:r>
    </w:p>
    <w:p w14:paraId="4A2DA6A5" w14:textId="77777777" w:rsidR="00682455" w:rsidRPr="00682455" w:rsidRDefault="00682455" w:rsidP="00682455">
      <w:pPr>
        <w:jc w:val="both"/>
        <w:rPr>
          <w:lang w:val="en-US"/>
        </w:rPr>
      </w:pPr>
      <w:proofErr w:type="spellStart"/>
      <w:r w:rsidRPr="00682455">
        <w:t>Bussière</w:t>
      </w:r>
      <w:proofErr w:type="spellEnd"/>
      <w:r w:rsidRPr="00682455">
        <w:t xml:space="preserve">, </w:t>
      </w:r>
      <w:proofErr w:type="spellStart"/>
      <w:r w:rsidRPr="00682455">
        <w:t>Matthieu</w:t>
      </w:r>
      <w:proofErr w:type="spellEnd"/>
      <w:r w:rsidRPr="00682455">
        <w:t xml:space="preserve">, Jin Cao, Jakob de Haan, Robert </w:t>
      </w:r>
      <w:proofErr w:type="spellStart"/>
      <w:r w:rsidRPr="00682455">
        <w:t>Hills</w:t>
      </w:r>
      <w:proofErr w:type="spellEnd"/>
      <w:r w:rsidRPr="00682455">
        <w:t xml:space="preserve">, Simon Lloyd, </w:t>
      </w:r>
      <w:proofErr w:type="spellStart"/>
      <w:r w:rsidRPr="00682455">
        <w:t>Baptiste</w:t>
      </w:r>
      <w:proofErr w:type="spellEnd"/>
      <w:r w:rsidRPr="00682455">
        <w:t xml:space="preserve"> Meunier, Justine </w:t>
      </w:r>
      <w:proofErr w:type="spellStart"/>
      <w:r w:rsidRPr="00682455">
        <w:t>Pedrono</w:t>
      </w:r>
      <w:proofErr w:type="spellEnd"/>
      <w:r w:rsidRPr="00682455">
        <w:t xml:space="preserve">, Dennis Reinhardt, </w:t>
      </w:r>
      <w:proofErr w:type="spellStart"/>
      <w:r w:rsidRPr="00682455">
        <w:t>Sonalika</w:t>
      </w:r>
      <w:proofErr w:type="spellEnd"/>
      <w:r w:rsidRPr="00682455">
        <w:t xml:space="preserve"> Sinha, </w:t>
      </w:r>
      <w:proofErr w:type="spellStart"/>
      <w:r w:rsidRPr="00682455">
        <w:t>Rhiannon</w:t>
      </w:r>
      <w:proofErr w:type="spellEnd"/>
      <w:r w:rsidRPr="00682455">
        <w:t xml:space="preserve"> </w:t>
      </w:r>
      <w:proofErr w:type="spellStart"/>
      <w:r w:rsidRPr="00682455">
        <w:t>Sowerbutts</w:t>
      </w:r>
      <w:proofErr w:type="spellEnd"/>
      <w:r w:rsidRPr="00682455">
        <w:t xml:space="preserve"> y </w:t>
      </w:r>
      <w:proofErr w:type="spellStart"/>
      <w:r w:rsidRPr="00682455">
        <w:t>Konstantin</w:t>
      </w:r>
      <w:proofErr w:type="spellEnd"/>
      <w:r w:rsidRPr="00682455">
        <w:t xml:space="preserve"> </w:t>
      </w:r>
      <w:proofErr w:type="spellStart"/>
      <w:r w:rsidRPr="00682455">
        <w:t>Styrin</w:t>
      </w:r>
      <w:proofErr w:type="spellEnd"/>
      <w:r w:rsidRPr="00682455">
        <w:t xml:space="preserve">, 2021. </w:t>
      </w:r>
      <w:r w:rsidRPr="00682455">
        <w:rPr>
          <w:lang w:val="en-US"/>
        </w:rPr>
        <w:t xml:space="preserve">"The Interaction between Macroprudential Policy and Monetary Policy: </w:t>
      </w:r>
      <w:proofErr w:type="spellStart"/>
      <w:r w:rsidRPr="00682455">
        <w:rPr>
          <w:lang w:val="en-US"/>
        </w:rPr>
        <w:t>Overview"</w:t>
      </w:r>
      <w:r w:rsidRPr="00682455">
        <w:rPr>
          <w:i/>
          <w:iCs/>
          <w:lang w:val="en-US"/>
        </w:rPr>
        <w:t>Review</w:t>
      </w:r>
      <w:proofErr w:type="spellEnd"/>
      <w:r w:rsidRPr="00682455">
        <w:rPr>
          <w:i/>
          <w:iCs/>
          <w:lang w:val="en-US"/>
        </w:rPr>
        <w:t xml:space="preserve"> of International Economics</w:t>
      </w:r>
      <w:r w:rsidRPr="00682455">
        <w:rPr>
          <w:lang w:val="en-US"/>
        </w:rPr>
        <w:t xml:space="preserve">29: 1-19, </w:t>
      </w:r>
      <w:proofErr w:type="spellStart"/>
      <w:r w:rsidRPr="00682455">
        <w:rPr>
          <w:lang w:val="en-US"/>
        </w:rPr>
        <w:t>febrero</w:t>
      </w:r>
      <w:proofErr w:type="spellEnd"/>
      <w:r w:rsidRPr="00682455">
        <w:rPr>
          <w:lang w:val="en-US"/>
        </w:rPr>
        <w:t>.</w:t>
      </w:r>
    </w:p>
    <w:p w14:paraId="545EEA79" w14:textId="77777777" w:rsidR="00682455" w:rsidRPr="00682455" w:rsidRDefault="00682455" w:rsidP="00682455">
      <w:pPr>
        <w:jc w:val="both"/>
        <w:rPr>
          <w:lang w:val="en-US"/>
        </w:rPr>
      </w:pPr>
      <w:r w:rsidRPr="00682455">
        <w:t xml:space="preserve">Cerutti, Eugenio, Ricardo Correa, </w:t>
      </w:r>
      <w:proofErr w:type="spellStart"/>
      <w:r w:rsidRPr="00682455">
        <w:t>Elisabetta</w:t>
      </w:r>
      <w:proofErr w:type="spellEnd"/>
      <w:r w:rsidRPr="00682455">
        <w:t xml:space="preserve"> Fiorentino y Esther Segalla, 2017. </w:t>
      </w:r>
      <w:r w:rsidRPr="00682455">
        <w:rPr>
          <w:lang w:val="en-US"/>
        </w:rPr>
        <w:t>"Changes in Prudential Policy Instruments - A New Cross-Country Database", </w:t>
      </w:r>
      <w:r w:rsidRPr="00682455">
        <w:rPr>
          <w:i/>
          <w:iCs/>
          <w:lang w:val="en-US"/>
        </w:rPr>
        <w:t>International Journal of Central Banking</w:t>
      </w:r>
      <w:r w:rsidRPr="00682455">
        <w:rPr>
          <w:lang w:val="en-US"/>
        </w:rPr>
        <w:t>48: 477-503, </w:t>
      </w:r>
      <w:proofErr w:type="spellStart"/>
      <w:r w:rsidRPr="00682455">
        <w:rPr>
          <w:lang w:val="en-US"/>
        </w:rPr>
        <w:t>marzo</w:t>
      </w:r>
      <w:proofErr w:type="spellEnd"/>
      <w:r w:rsidRPr="00682455">
        <w:rPr>
          <w:lang w:val="en-US"/>
        </w:rPr>
        <w:t>.</w:t>
      </w:r>
    </w:p>
    <w:p w14:paraId="5855F853" w14:textId="2314BE8E" w:rsidR="00682455" w:rsidRPr="00682455" w:rsidRDefault="00682455" w:rsidP="00682455">
      <w:pPr>
        <w:jc w:val="both"/>
      </w:pPr>
      <w:r w:rsidRPr="00682455">
        <w:t xml:space="preserve">Cantú, Carlos, Leonardo Gambacorta e </w:t>
      </w:r>
      <w:proofErr w:type="spellStart"/>
      <w:r w:rsidRPr="00682455">
        <w:t>Ilhyock</w:t>
      </w:r>
      <w:proofErr w:type="spellEnd"/>
      <w:r w:rsidRPr="00682455">
        <w:t xml:space="preserve"> </w:t>
      </w:r>
      <w:proofErr w:type="spellStart"/>
      <w:r w:rsidRPr="00682455">
        <w:t>Shim</w:t>
      </w:r>
      <w:proofErr w:type="spellEnd"/>
      <w:r w:rsidRPr="00682455">
        <w:t>, 2020, "¿Qué tan efectivas son las políticas macro</w:t>
      </w:r>
      <w:r w:rsidR="00D36A7F">
        <w:t xml:space="preserve"> </w:t>
      </w:r>
      <w:r w:rsidRPr="00682455">
        <w:t xml:space="preserve">prudenciales en Asia Pacífico? </w:t>
      </w:r>
      <w:proofErr w:type="spellStart"/>
      <w:r w:rsidRPr="00682455">
        <w:t>Evidence</w:t>
      </w:r>
      <w:proofErr w:type="spellEnd"/>
      <w:r w:rsidRPr="00682455">
        <w:t xml:space="preserve"> from a Meta-Analysis</w:t>
      </w:r>
      <w:r w:rsidR="00996199" w:rsidRPr="00682455">
        <w:t>”, BISPaperNo</w:t>
      </w:r>
      <w:r w:rsidRPr="00682455">
        <w:rPr>
          <w:i/>
          <w:iCs/>
        </w:rPr>
        <w:t>.110b</w:t>
      </w:r>
    </w:p>
    <w:p w14:paraId="75247638" w14:textId="77777777" w:rsidR="00682455" w:rsidRPr="00682455" w:rsidRDefault="00682455" w:rsidP="00682455">
      <w:pPr>
        <w:jc w:val="both"/>
      </w:pPr>
      <w:r w:rsidRPr="00682455">
        <w:t>Cantú, Carlos, Stijn Claessens y Leonardo Gambacorta, 2022, "¿Cómo afectan las características específicas de los bancos a los préstamos? Nueva evidencia basada en datos de registro de crédito de América Latina", </w:t>
      </w:r>
      <w:r w:rsidRPr="00682455">
        <w:rPr>
          <w:i/>
          <w:iCs/>
        </w:rPr>
        <w:t>Journal of Banking &amp; Finance</w:t>
      </w:r>
      <w:r w:rsidRPr="00682455">
        <w:t>, 135, Artículo 105818, febrero.</w:t>
      </w:r>
    </w:p>
    <w:p w14:paraId="12D83C08" w14:textId="77777777" w:rsidR="00682455" w:rsidRPr="00682455" w:rsidRDefault="00682455" w:rsidP="00682455">
      <w:pPr>
        <w:jc w:val="both"/>
        <w:rPr>
          <w:lang w:val="en-US"/>
        </w:rPr>
      </w:pPr>
      <w:r w:rsidRPr="00682455">
        <w:rPr>
          <w:lang w:val="en-US"/>
        </w:rPr>
        <w:t>Gambacorta, Leonardo y Andrés Murcia, 2020, "The impact of macroprudential policies in Latin America: An empirical analysis using credit registry data", </w:t>
      </w:r>
      <w:r w:rsidRPr="00682455">
        <w:rPr>
          <w:i/>
          <w:iCs/>
          <w:lang w:val="en-US"/>
        </w:rPr>
        <w:t>Journal of Financial Intermediation</w:t>
      </w:r>
      <w:r w:rsidRPr="00682455">
        <w:rPr>
          <w:lang w:val="en-US"/>
        </w:rPr>
        <w:t xml:space="preserve">42, Article 100828, </w:t>
      </w:r>
      <w:proofErr w:type="spellStart"/>
      <w:r w:rsidRPr="00682455">
        <w:rPr>
          <w:lang w:val="en-US"/>
        </w:rPr>
        <w:t>abril</w:t>
      </w:r>
      <w:proofErr w:type="spellEnd"/>
      <w:r w:rsidRPr="00682455">
        <w:rPr>
          <w:lang w:val="en-US"/>
        </w:rPr>
        <w:t>.</w:t>
      </w:r>
    </w:p>
    <w:p w14:paraId="0C83B1C9" w14:textId="77777777" w:rsidR="00682455" w:rsidRPr="00682455" w:rsidRDefault="00882DD9" w:rsidP="00682455">
      <w:pPr>
        <w:jc w:val="both"/>
      </w:pPr>
      <w:r>
        <w:pict w14:anchorId="61C6EBE9">
          <v:rect id="_x0000_i1025" style="width:655.45pt;height:0" o:hrpct="0" o:hralign="center" o:hrstd="t" o:hr="t" fillcolor="#a0a0a0" stroked="f"/>
        </w:pict>
      </w:r>
    </w:p>
    <w:bookmarkStart w:id="1" w:name="fn1"/>
    <w:p w14:paraId="33482C4F" w14:textId="2DC55678" w:rsidR="00682455" w:rsidRPr="00682455" w:rsidRDefault="00682455" w:rsidP="00682455">
      <w:pPr>
        <w:jc w:val="both"/>
      </w:pPr>
      <w:r w:rsidRPr="00682455">
        <w:fldChar w:fldCharType="begin"/>
      </w:r>
      <w:r w:rsidRPr="00682455">
        <w:instrText xml:space="preserve"> HYPERLINK "https://www.bis.org/review/r221111c.htm" \l "fn_1" </w:instrText>
      </w:r>
      <w:r w:rsidRPr="00682455">
        <w:fldChar w:fldCharType="separate"/>
      </w:r>
      <w:r w:rsidRPr="00682455">
        <w:rPr>
          <w:rStyle w:val="Hipervnculo"/>
          <w:vertAlign w:val="superscript"/>
        </w:rPr>
        <w:t>1</w:t>
      </w:r>
      <w:r w:rsidRPr="00682455">
        <w:fldChar w:fldCharType="end"/>
      </w:r>
      <w:bookmarkEnd w:id="1"/>
      <w:r w:rsidRPr="00682455">
        <w:t> Nos gustaría agradecer a Tim Oliver Berg por sus comentarios más útiles sobre una versión anterior. Las opiniones son las de los autores y no necesitan reflejar las opiniones del Deutsche Bundesbank, el Banco de la Reserva Federal o el Sistema de la Reserva Federal. Este documento se basa en parte en el trabajo anterior del Comité Directivo de la BIBQ</w:t>
      </w:r>
      <w:r w:rsidR="00D36A7F">
        <w:t xml:space="preserve"> </w:t>
      </w:r>
      <w:r w:rsidRPr="00682455">
        <w:t>sobre las lecciones de la</w:t>
      </w:r>
      <w:r w:rsidR="00D36A7F">
        <w:t xml:space="preserve"> </w:t>
      </w:r>
      <w:r w:rsidRPr="00682455">
        <w:t>IBRN</w:t>
      </w:r>
      <w:r w:rsidR="00D36A7F">
        <w:t xml:space="preserve"> </w:t>
      </w:r>
      <w:r w:rsidRPr="00682455">
        <w:t>para proyectos multinacionales y evaluación de</w:t>
      </w:r>
      <w:r w:rsidR="00D36A7F">
        <w:t xml:space="preserve"> </w:t>
      </w:r>
      <w:r w:rsidRPr="00682455">
        <w:t>políticas. Todos los errores e inconsistencias restantes son nuestros.</w:t>
      </w:r>
    </w:p>
    <w:bookmarkStart w:id="2" w:name="fn2"/>
    <w:p w14:paraId="72D8A6B1" w14:textId="1DCB1A1B" w:rsidR="00682455" w:rsidRPr="00682455" w:rsidRDefault="00682455" w:rsidP="00682455">
      <w:pPr>
        <w:jc w:val="both"/>
      </w:pPr>
      <w:r w:rsidRPr="00682455">
        <w:fldChar w:fldCharType="begin"/>
      </w:r>
      <w:r w:rsidRPr="00682455">
        <w:instrText xml:space="preserve"> HYPERLINK "https://www.bis.org/review/r221111c.htm" \l "fn_2" </w:instrText>
      </w:r>
      <w:r w:rsidRPr="00682455">
        <w:fldChar w:fldCharType="separate"/>
      </w:r>
      <w:r w:rsidRPr="00682455">
        <w:rPr>
          <w:rStyle w:val="Hipervnculo"/>
          <w:vertAlign w:val="superscript"/>
        </w:rPr>
        <w:t>2</w:t>
      </w:r>
      <w:r w:rsidRPr="00682455">
        <w:fldChar w:fldCharType="end"/>
      </w:r>
      <w:bookmarkEnd w:id="2"/>
      <w:r w:rsidRPr="00682455">
        <w:t>Ejemplos de</w:t>
      </w:r>
      <w:r w:rsidR="00D36A7F">
        <w:t xml:space="preserve"> </w:t>
      </w:r>
      <w:r w:rsidRPr="00682455">
        <w:t>las</w:t>
      </w:r>
      <w:r w:rsidR="00D36A7F">
        <w:t xml:space="preserve"> </w:t>
      </w:r>
      <w:r w:rsidRPr="00682455">
        <w:t xml:space="preserve">iniciativas IBRN incluyen: Buch y Goldberg (2015), Buch y Goldberg (2017), Buch, </w:t>
      </w:r>
      <w:proofErr w:type="spellStart"/>
      <w:r w:rsidRPr="00682455">
        <w:t>Bussière</w:t>
      </w:r>
      <w:proofErr w:type="spellEnd"/>
      <w:r w:rsidRPr="00682455">
        <w:t xml:space="preserve">, Goldberg y </w:t>
      </w:r>
      <w:proofErr w:type="spellStart"/>
      <w:r w:rsidRPr="00682455">
        <w:t>Hills</w:t>
      </w:r>
      <w:proofErr w:type="spellEnd"/>
      <w:r w:rsidRPr="00682455">
        <w:t xml:space="preserve"> (2019), </w:t>
      </w:r>
      <w:proofErr w:type="spellStart"/>
      <w:r w:rsidRPr="00682455">
        <w:t>Bussière</w:t>
      </w:r>
      <w:proofErr w:type="spellEnd"/>
      <w:r w:rsidRPr="00682455">
        <w:t xml:space="preserve"> et al (2021) y Buch y Goldberg (2022). Los ejemplos que utilizan</w:t>
      </w:r>
      <w:r w:rsidR="00A10694">
        <w:t xml:space="preserve"> </w:t>
      </w:r>
      <w:r w:rsidRPr="00682455">
        <w:t xml:space="preserve">la metodología de estilo IBRN incluyen Cantú, Gambacorta y </w:t>
      </w:r>
      <w:proofErr w:type="spellStart"/>
      <w:r w:rsidRPr="00682455">
        <w:t>Shim</w:t>
      </w:r>
      <w:proofErr w:type="spellEnd"/>
      <w:r w:rsidRPr="00682455">
        <w:t xml:space="preserve"> (2020), Cantú, Claessens y Gambacorta (2022), y Gambacorta y Murcia (2020). Un </w:t>
      </w:r>
      <w:proofErr w:type="spellStart"/>
      <w:r w:rsidRPr="00682455">
        <w:t>metanálisis</w:t>
      </w:r>
      <w:proofErr w:type="spellEnd"/>
      <w:r w:rsidRPr="00682455">
        <w:t xml:space="preserve"> resume los resultados de estudios previos (empíricos) e identifica patrones comunes en forma de análisis de regresión o </w:t>
      </w:r>
      <w:r w:rsidRPr="00682455">
        <w:lastRenderedPageBreak/>
        <w:t xml:space="preserve">estadísticas descriptivas. Los </w:t>
      </w:r>
      <w:proofErr w:type="spellStart"/>
      <w:r w:rsidRPr="00682455">
        <w:t>metanálisis</w:t>
      </w:r>
      <w:proofErr w:type="spellEnd"/>
      <w:r w:rsidRPr="00682455">
        <w:t xml:space="preserve"> funcionan en contra del sesgo de publicación que existe en la literatura disponible, ya que los resultados que no son estadísticamente significativos se consideran informativos junto con los resultados que son estadísticamente significativos.</w:t>
      </w:r>
    </w:p>
    <w:bookmarkStart w:id="3" w:name="fn3"/>
    <w:p w14:paraId="7C7FC5E4" w14:textId="3D7C5B8D" w:rsidR="00682455" w:rsidRPr="00682455" w:rsidRDefault="00682455" w:rsidP="00682455">
      <w:pPr>
        <w:jc w:val="both"/>
      </w:pPr>
      <w:r w:rsidRPr="00682455">
        <w:fldChar w:fldCharType="begin"/>
      </w:r>
      <w:r w:rsidRPr="00682455">
        <w:instrText xml:space="preserve"> HYPERLINK "https://www.bis.org/review/r221111c.htm" \l "fn_3" </w:instrText>
      </w:r>
      <w:r w:rsidRPr="00682455">
        <w:fldChar w:fldCharType="separate"/>
      </w:r>
      <w:r w:rsidRPr="00682455">
        <w:rPr>
          <w:rStyle w:val="Hipervnculo"/>
          <w:vertAlign w:val="superscript"/>
        </w:rPr>
        <w:t>3</w:t>
      </w:r>
      <w:r w:rsidRPr="00682455">
        <w:fldChar w:fldCharType="end"/>
      </w:r>
      <w:bookmarkEnd w:id="3"/>
      <w:r w:rsidRPr="00682455">
        <w:t>Véanse, por ejemplo, las redes de investigación del Eurosistema, como la Red de Dinámica Salarial (</w:t>
      </w:r>
      <w:hyperlink r:id="rId14" w:history="1">
        <w:r w:rsidRPr="00682455">
          <w:rPr>
            <w:rStyle w:val="Hipervnculo"/>
          </w:rPr>
          <w:t>https://www.ecb.europa.eu/pub/economic-research/research-networks/html/index.en.html</w:t>
        </w:r>
      </w:hyperlink>
      <w:r w:rsidRPr="00682455">
        <w:t>),</w:t>
      </w:r>
      <w:r w:rsidR="00882DD9">
        <w:t xml:space="preserve"> </w:t>
      </w:r>
      <w:r w:rsidRPr="00682455">
        <w:t>la</w:t>
      </w:r>
      <w:r w:rsidR="00A10694">
        <w:t xml:space="preserve"> </w:t>
      </w:r>
      <w:r w:rsidRPr="00682455">
        <w:t>Red de Transmisión Monetaria del BCE descrita en el documento de</w:t>
      </w:r>
      <w:r w:rsidR="00A10694">
        <w:t xml:space="preserve"> </w:t>
      </w:r>
      <w:r w:rsidRPr="00682455">
        <w:t xml:space="preserve">trabajo del </w:t>
      </w:r>
      <w:proofErr w:type="spellStart"/>
      <w:r w:rsidRPr="00682455">
        <w:t>NBER«Monetary</w:t>
      </w:r>
      <w:proofErr w:type="spellEnd"/>
      <w:r w:rsidRPr="00682455">
        <w:t xml:space="preserve"> Transmission in the Euro </w:t>
      </w:r>
      <w:proofErr w:type="spellStart"/>
      <w:r w:rsidRPr="00682455">
        <w:t>Area</w:t>
      </w:r>
      <w:proofErr w:type="spellEnd"/>
      <w:r w:rsidRPr="00682455">
        <w:t xml:space="preserve">: </w:t>
      </w:r>
      <w:proofErr w:type="spellStart"/>
      <w:r w:rsidRPr="00682455">
        <w:t>Does</w:t>
      </w:r>
      <w:proofErr w:type="spellEnd"/>
      <w:r w:rsidRPr="00682455">
        <w:t xml:space="preserve"> the </w:t>
      </w:r>
      <w:proofErr w:type="spellStart"/>
      <w:r w:rsidRPr="00682455">
        <w:t>Interest</w:t>
      </w:r>
      <w:proofErr w:type="spellEnd"/>
      <w:r w:rsidRPr="00682455">
        <w:t xml:space="preserve"> Rates </w:t>
      </w:r>
      <w:proofErr w:type="spellStart"/>
      <w:r w:rsidRPr="00682455">
        <w:t>Channel</w:t>
      </w:r>
      <w:proofErr w:type="spellEnd"/>
      <w:r w:rsidRPr="00682455">
        <w:t xml:space="preserve"> </w:t>
      </w:r>
      <w:proofErr w:type="spellStart"/>
      <w:r w:rsidRPr="00682455">
        <w:t>Explain</w:t>
      </w:r>
      <w:proofErr w:type="spellEnd"/>
      <w:r w:rsidRPr="00682455">
        <w:t xml:space="preserve"> All? Por Ignazio Angeloni, Anil K. </w:t>
      </w:r>
      <w:proofErr w:type="spellStart"/>
      <w:r w:rsidRPr="00682455">
        <w:t>Kashyap</w:t>
      </w:r>
      <w:proofErr w:type="spellEnd"/>
      <w:r w:rsidRPr="00682455">
        <w:t>, Benoît Mojon y Daniele Terlizzese.</w:t>
      </w:r>
    </w:p>
    <w:bookmarkStart w:id="4" w:name="fn4"/>
    <w:p w14:paraId="4CD7A3C1" w14:textId="77777777" w:rsidR="00682455" w:rsidRPr="00682455" w:rsidRDefault="00682455" w:rsidP="00682455">
      <w:pPr>
        <w:jc w:val="both"/>
      </w:pPr>
      <w:r w:rsidRPr="00682455">
        <w:fldChar w:fldCharType="begin"/>
      </w:r>
      <w:r w:rsidRPr="00682455">
        <w:instrText xml:space="preserve"> HYPERLINK "https://www.bis.org/review/r221111c.htm" \l "fn_4" </w:instrText>
      </w:r>
      <w:r w:rsidRPr="00682455">
        <w:fldChar w:fldCharType="separate"/>
      </w:r>
      <w:r w:rsidRPr="00682455">
        <w:rPr>
          <w:rStyle w:val="Hipervnculo"/>
          <w:vertAlign w:val="superscript"/>
        </w:rPr>
        <w:t>4</w:t>
      </w:r>
      <w:r w:rsidRPr="00682455">
        <w:fldChar w:fldCharType="end"/>
      </w:r>
      <w:bookmarkEnd w:id="4"/>
      <w:r w:rsidRPr="00682455">
        <w:t>Ver</w:t>
      </w:r>
      <w:hyperlink r:id="rId15" w:history="1">
        <w:r w:rsidRPr="00682455">
          <w:rPr>
            <w:rStyle w:val="Hipervnculo"/>
          </w:rPr>
          <w:t>http://www.fsb.org/2017/07/framework-for-post-implementation-evaluation-of-the-effects-of-the-g20-financial-regulatory-reforms/</w:t>
        </w:r>
      </w:hyperlink>
    </w:p>
    <w:bookmarkStart w:id="5" w:name="fn5"/>
    <w:p w14:paraId="07B1FA8F" w14:textId="77777777" w:rsidR="00682455" w:rsidRPr="00682455" w:rsidRDefault="00682455" w:rsidP="00682455">
      <w:pPr>
        <w:jc w:val="both"/>
      </w:pPr>
      <w:r w:rsidRPr="00682455">
        <w:fldChar w:fldCharType="begin"/>
      </w:r>
      <w:r w:rsidRPr="00682455">
        <w:instrText xml:space="preserve"> HYPERLINK "https://www.bis.org/review/r221111c.htm" \l "fn_5" </w:instrText>
      </w:r>
      <w:r w:rsidRPr="00682455">
        <w:fldChar w:fldCharType="separate"/>
      </w:r>
      <w:r w:rsidRPr="00682455">
        <w:rPr>
          <w:rStyle w:val="Hipervnculo"/>
          <w:vertAlign w:val="superscript"/>
        </w:rPr>
        <w:t>5</w:t>
      </w:r>
      <w:r w:rsidRPr="00682455">
        <w:fldChar w:fldCharType="end"/>
      </w:r>
      <w:bookmarkEnd w:id="5"/>
      <w:r w:rsidRPr="00682455">
        <w:t>Para obtener más información, consulte</w:t>
      </w:r>
      <w:hyperlink r:id="rId16" w:history="1">
        <w:r w:rsidRPr="00682455">
          <w:rPr>
            <w:rStyle w:val="Hipervnculo"/>
          </w:rPr>
          <w:t>https://www.newyorkfed.org/ibrn</w:t>
        </w:r>
      </w:hyperlink>
      <w:r w:rsidRPr="00682455">
        <w:t>.</w:t>
      </w:r>
    </w:p>
    <w:bookmarkStart w:id="6" w:name="fn6"/>
    <w:p w14:paraId="51E5F273" w14:textId="77777777" w:rsidR="00682455" w:rsidRPr="00682455" w:rsidRDefault="00682455" w:rsidP="00682455">
      <w:pPr>
        <w:jc w:val="both"/>
      </w:pPr>
      <w:r w:rsidRPr="00682455">
        <w:fldChar w:fldCharType="begin"/>
      </w:r>
      <w:r w:rsidRPr="00682455">
        <w:instrText xml:space="preserve"> HYPERLINK "https://www.bis.org/review/r221111c.htm" \l "fn_6" </w:instrText>
      </w:r>
      <w:r w:rsidRPr="00682455">
        <w:fldChar w:fldCharType="separate"/>
      </w:r>
      <w:r w:rsidRPr="00682455">
        <w:rPr>
          <w:rStyle w:val="Hipervnculo"/>
          <w:vertAlign w:val="superscript"/>
        </w:rPr>
        <w:t>6</w:t>
      </w:r>
      <w:r w:rsidRPr="00682455">
        <w:fldChar w:fldCharType="end"/>
      </w:r>
      <w:bookmarkEnd w:id="6"/>
      <w:r w:rsidRPr="00682455">
        <w:t> </w:t>
      </w:r>
      <w:hyperlink r:id="rId17" w:history="1">
        <w:r w:rsidRPr="00682455">
          <w:rPr>
            <w:rStyle w:val="Hipervnculo"/>
          </w:rPr>
          <w:t>https://www.ngfs.net/en</w:t>
        </w:r>
      </w:hyperlink>
    </w:p>
    <w:p w14:paraId="7D930FF3" w14:textId="77777777" w:rsidR="00682455" w:rsidRPr="00682455" w:rsidRDefault="00682455" w:rsidP="00682455">
      <w:pPr>
        <w:jc w:val="both"/>
        <w:rPr>
          <w:b/>
          <w:bCs/>
        </w:rPr>
      </w:pPr>
      <w:r w:rsidRPr="00682455">
        <w:rPr>
          <w:b/>
          <w:bCs/>
        </w:rPr>
        <w:t>Sobre el autor</w:t>
      </w:r>
    </w:p>
    <w:p w14:paraId="0DD7C5E1" w14:textId="77777777" w:rsidR="00682455" w:rsidRPr="00682455" w:rsidRDefault="00682455" w:rsidP="00682455">
      <w:pPr>
        <w:jc w:val="both"/>
        <w:rPr>
          <w:rStyle w:val="Hipervnculo"/>
        </w:rPr>
      </w:pPr>
      <w:r w:rsidRPr="00682455">
        <w:fldChar w:fldCharType="begin"/>
      </w:r>
      <w:r w:rsidRPr="00682455">
        <w:instrText xml:space="preserve"> HYPERLINK "https://www.bis.org/author/claudia_buch.htm" </w:instrText>
      </w:r>
      <w:r w:rsidRPr="00682455">
        <w:fldChar w:fldCharType="separate"/>
      </w:r>
    </w:p>
    <w:p w14:paraId="29CF1218" w14:textId="77777777" w:rsidR="00682455" w:rsidRPr="00682455" w:rsidRDefault="00682455" w:rsidP="00682455">
      <w:pPr>
        <w:jc w:val="both"/>
        <w:rPr>
          <w:rStyle w:val="Hipervnculo"/>
          <w:b/>
          <w:bCs/>
        </w:rPr>
      </w:pPr>
      <w:r w:rsidRPr="00682455">
        <w:rPr>
          <w:rStyle w:val="Hipervnculo"/>
          <w:b/>
          <w:bCs/>
        </w:rPr>
        <w:t>Claudia Buch</w:t>
      </w:r>
    </w:p>
    <w:p w14:paraId="07F5F5E5" w14:textId="77777777" w:rsidR="00682455" w:rsidRPr="00682455" w:rsidRDefault="00682455" w:rsidP="00682455">
      <w:pPr>
        <w:jc w:val="both"/>
        <w:rPr>
          <w:rStyle w:val="Hipervnculo"/>
        </w:rPr>
      </w:pPr>
      <w:r w:rsidRPr="00682455">
        <w:rPr>
          <w:rStyle w:val="Hipervnculo"/>
        </w:rPr>
        <w:t>Más de este autor</w:t>
      </w:r>
    </w:p>
    <w:p w14:paraId="01E6F723" w14:textId="77777777" w:rsidR="00682455" w:rsidRPr="00682455" w:rsidRDefault="00682455" w:rsidP="00682455">
      <w:pPr>
        <w:jc w:val="both"/>
      </w:pPr>
      <w:r w:rsidRPr="00682455">
        <w:fldChar w:fldCharType="end"/>
      </w:r>
    </w:p>
    <w:p w14:paraId="14A39BE3" w14:textId="77777777" w:rsidR="00682455" w:rsidRPr="00682455" w:rsidRDefault="00682455" w:rsidP="00682455">
      <w:pPr>
        <w:jc w:val="both"/>
        <w:rPr>
          <w:b/>
          <w:bCs/>
        </w:rPr>
      </w:pPr>
      <w:r w:rsidRPr="00682455">
        <w:rPr>
          <w:b/>
          <w:bCs/>
        </w:rPr>
        <w:t>Información relacionada</w:t>
      </w:r>
    </w:p>
    <w:p w14:paraId="63A00059" w14:textId="3137B4ED" w:rsidR="00682455" w:rsidRPr="00682455" w:rsidRDefault="00882DD9" w:rsidP="00682455">
      <w:pPr>
        <w:numPr>
          <w:ilvl w:val="0"/>
          <w:numId w:val="7"/>
        </w:numPr>
        <w:jc w:val="both"/>
      </w:pPr>
      <w:hyperlink r:id="rId18" w:history="1">
        <w:r w:rsidR="00682455" w:rsidRPr="00682455">
          <w:rPr>
            <w:rStyle w:val="Hipervnculo"/>
          </w:rPr>
          <w:t>Más</w:t>
        </w:r>
        <w:r w:rsidR="00851DD8">
          <w:rPr>
            <w:rStyle w:val="Hipervnculo"/>
          </w:rPr>
          <w:t xml:space="preserve"> </w:t>
        </w:r>
        <w:r w:rsidR="00682455" w:rsidRPr="00682455">
          <w:rPr>
            <w:rStyle w:val="Hipervnculo"/>
          </w:rPr>
          <w:t>discursos del "De</w:t>
        </w:r>
        <w:r w:rsidR="00682455" w:rsidRPr="00682455">
          <w:rPr>
            <w:rStyle w:val="Hipervnculo"/>
          </w:rPr>
          <w:t>u</w:t>
        </w:r>
        <w:r w:rsidR="00682455" w:rsidRPr="00682455">
          <w:rPr>
            <w:rStyle w:val="Hipervnculo"/>
          </w:rPr>
          <w:t>tsche Bundesbank"</w:t>
        </w:r>
      </w:hyperlink>
    </w:p>
    <w:p w14:paraId="0C3A3F9C" w14:textId="77777777" w:rsidR="00682455" w:rsidRPr="00682455" w:rsidRDefault="00882DD9" w:rsidP="00682455">
      <w:pPr>
        <w:numPr>
          <w:ilvl w:val="0"/>
          <w:numId w:val="7"/>
        </w:numPr>
        <w:jc w:val="both"/>
      </w:pPr>
      <w:hyperlink r:id="rId19" w:history="1">
        <w:r w:rsidR="00682455" w:rsidRPr="00682455">
          <w:rPr>
            <w:rStyle w:val="Hipervnculo"/>
          </w:rPr>
          <w:t>Página del país: Alemania</w:t>
        </w:r>
      </w:hyperlink>
    </w:p>
    <w:p w14:paraId="13600C00" w14:textId="77777777" w:rsidR="00B57953" w:rsidRDefault="00B57953"/>
    <w:sectPr w:rsidR="00B579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4E02"/>
    <w:multiLevelType w:val="multilevel"/>
    <w:tmpl w:val="ED3C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24898"/>
    <w:multiLevelType w:val="multilevel"/>
    <w:tmpl w:val="7F0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B74E3"/>
    <w:multiLevelType w:val="multilevel"/>
    <w:tmpl w:val="0C72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C4D5E"/>
    <w:multiLevelType w:val="multilevel"/>
    <w:tmpl w:val="8A0E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C17C6"/>
    <w:multiLevelType w:val="hybridMultilevel"/>
    <w:tmpl w:val="DD828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381231"/>
    <w:multiLevelType w:val="multilevel"/>
    <w:tmpl w:val="1CBA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D8513C"/>
    <w:multiLevelType w:val="multilevel"/>
    <w:tmpl w:val="7CB8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086CA2"/>
    <w:multiLevelType w:val="multilevel"/>
    <w:tmpl w:val="97EA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55"/>
    <w:rsid w:val="00671302"/>
    <w:rsid w:val="00682455"/>
    <w:rsid w:val="00851DD8"/>
    <w:rsid w:val="00882DD9"/>
    <w:rsid w:val="00996199"/>
    <w:rsid w:val="00A10694"/>
    <w:rsid w:val="00B57953"/>
    <w:rsid w:val="00D1603A"/>
    <w:rsid w:val="00D36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620126"/>
  <w15:chartTrackingRefBased/>
  <w15:docId w15:val="{EE7338C3-A1D6-4F50-B4DA-020FEB41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455"/>
    <w:rPr>
      <w:color w:val="0563C1" w:themeColor="hyperlink"/>
      <w:u w:val="single"/>
    </w:rPr>
  </w:style>
  <w:style w:type="character" w:styleId="Mencinsinresolver">
    <w:name w:val="Unresolved Mention"/>
    <w:basedOn w:val="Fuentedeprrafopredeter"/>
    <w:uiPriority w:val="99"/>
    <w:semiHidden/>
    <w:unhideWhenUsed/>
    <w:rsid w:val="00682455"/>
    <w:rPr>
      <w:color w:val="605E5C"/>
      <w:shd w:val="clear" w:color="auto" w:fill="E1DFDD"/>
    </w:rPr>
  </w:style>
  <w:style w:type="paragraph" w:styleId="Prrafodelista">
    <w:name w:val="List Paragraph"/>
    <w:basedOn w:val="Normal"/>
    <w:uiPriority w:val="34"/>
    <w:qFormat/>
    <w:rsid w:val="00A10694"/>
    <w:pPr>
      <w:ind w:left="720"/>
      <w:contextualSpacing/>
    </w:pPr>
  </w:style>
  <w:style w:type="character" w:styleId="Hipervnculovisitado">
    <w:name w:val="FollowedHyperlink"/>
    <w:basedOn w:val="Fuentedeprrafopredeter"/>
    <w:uiPriority w:val="99"/>
    <w:semiHidden/>
    <w:unhideWhenUsed/>
    <w:rsid w:val="00882D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0918">
      <w:bodyDiv w:val="1"/>
      <w:marLeft w:val="0"/>
      <w:marRight w:val="0"/>
      <w:marTop w:val="0"/>
      <w:marBottom w:val="0"/>
      <w:divBdr>
        <w:top w:val="none" w:sz="0" w:space="0" w:color="auto"/>
        <w:left w:val="none" w:sz="0" w:space="0" w:color="auto"/>
        <w:bottom w:val="none" w:sz="0" w:space="0" w:color="auto"/>
        <w:right w:val="none" w:sz="0" w:space="0" w:color="auto"/>
      </w:divBdr>
      <w:divsChild>
        <w:div w:id="1330909095">
          <w:marLeft w:val="0"/>
          <w:marRight w:val="0"/>
          <w:marTop w:val="0"/>
          <w:marBottom w:val="0"/>
          <w:divBdr>
            <w:top w:val="none" w:sz="0" w:space="0" w:color="auto"/>
            <w:left w:val="none" w:sz="0" w:space="0" w:color="auto"/>
            <w:bottom w:val="none" w:sz="0" w:space="0" w:color="auto"/>
            <w:right w:val="none" w:sz="0" w:space="0" w:color="auto"/>
          </w:divBdr>
        </w:div>
        <w:div w:id="15474484">
          <w:marLeft w:val="0"/>
          <w:marRight w:val="0"/>
          <w:marTop w:val="0"/>
          <w:marBottom w:val="0"/>
          <w:divBdr>
            <w:top w:val="single" w:sz="18" w:space="15" w:color="AA332F"/>
            <w:left w:val="none" w:sz="0" w:space="0" w:color="auto"/>
            <w:bottom w:val="none" w:sz="0" w:space="0" w:color="auto"/>
            <w:right w:val="none" w:sz="0" w:space="0" w:color="auto"/>
          </w:divBdr>
          <w:divsChild>
            <w:div w:id="992872232">
              <w:marLeft w:val="0"/>
              <w:marRight w:val="0"/>
              <w:marTop w:val="0"/>
              <w:marBottom w:val="0"/>
              <w:divBdr>
                <w:top w:val="none" w:sz="0" w:space="0" w:color="auto"/>
                <w:left w:val="none" w:sz="0" w:space="0" w:color="auto"/>
                <w:bottom w:val="none" w:sz="0" w:space="0" w:color="auto"/>
                <w:right w:val="none" w:sz="0" w:space="0" w:color="auto"/>
              </w:divBdr>
              <w:divsChild>
                <w:div w:id="2007587748">
                  <w:marLeft w:val="0"/>
                  <w:marRight w:val="0"/>
                  <w:marTop w:val="0"/>
                  <w:marBottom w:val="0"/>
                  <w:divBdr>
                    <w:top w:val="none" w:sz="0" w:space="0" w:color="auto"/>
                    <w:left w:val="none" w:sz="0" w:space="0" w:color="auto"/>
                    <w:bottom w:val="none" w:sz="0" w:space="0" w:color="auto"/>
                    <w:right w:val="none" w:sz="0" w:space="0" w:color="auto"/>
                  </w:divBdr>
                  <w:divsChild>
                    <w:div w:id="401220473">
                      <w:marLeft w:val="0"/>
                      <w:marRight w:val="0"/>
                      <w:marTop w:val="0"/>
                      <w:marBottom w:val="0"/>
                      <w:divBdr>
                        <w:top w:val="none" w:sz="0" w:space="0" w:color="auto"/>
                        <w:left w:val="none" w:sz="0" w:space="0" w:color="auto"/>
                        <w:bottom w:val="none" w:sz="0" w:space="0" w:color="auto"/>
                        <w:right w:val="none" w:sz="0" w:space="0" w:color="auto"/>
                      </w:divBdr>
                    </w:div>
                  </w:divsChild>
                </w:div>
                <w:div w:id="2041472273">
                  <w:marLeft w:val="0"/>
                  <w:marRight w:val="0"/>
                  <w:marTop w:val="0"/>
                  <w:marBottom w:val="0"/>
                  <w:divBdr>
                    <w:top w:val="none" w:sz="0" w:space="0" w:color="auto"/>
                    <w:left w:val="none" w:sz="0" w:space="0" w:color="auto"/>
                    <w:bottom w:val="none" w:sz="0" w:space="0" w:color="auto"/>
                    <w:right w:val="none" w:sz="0" w:space="0" w:color="auto"/>
                  </w:divBdr>
                  <w:divsChild>
                    <w:div w:id="984972036">
                      <w:marLeft w:val="0"/>
                      <w:marRight w:val="0"/>
                      <w:marTop w:val="0"/>
                      <w:marBottom w:val="0"/>
                      <w:divBdr>
                        <w:top w:val="none" w:sz="0" w:space="0" w:color="auto"/>
                        <w:left w:val="none" w:sz="0" w:space="0" w:color="auto"/>
                        <w:bottom w:val="none" w:sz="0" w:space="0" w:color="auto"/>
                        <w:right w:val="none" w:sz="0" w:space="0" w:color="auto"/>
                      </w:divBdr>
                    </w:div>
                  </w:divsChild>
                </w:div>
                <w:div w:id="1881278930">
                  <w:marLeft w:val="0"/>
                  <w:marRight w:val="0"/>
                  <w:marTop w:val="0"/>
                  <w:marBottom w:val="0"/>
                  <w:divBdr>
                    <w:top w:val="none" w:sz="0" w:space="0" w:color="auto"/>
                    <w:left w:val="none" w:sz="0" w:space="0" w:color="auto"/>
                    <w:bottom w:val="none" w:sz="0" w:space="0" w:color="auto"/>
                    <w:right w:val="none" w:sz="0" w:space="0" w:color="auto"/>
                  </w:divBdr>
                  <w:divsChild>
                    <w:div w:id="7369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3542">
          <w:marLeft w:val="0"/>
          <w:marRight w:val="0"/>
          <w:marTop w:val="0"/>
          <w:marBottom w:val="0"/>
          <w:divBdr>
            <w:top w:val="none" w:sz="0" w:space="0" w:color="auto"/>
            <w:left w:val="none" w:sz="0" w:space="0" w:color="auto"/>
            <w:bottom w:val="none" w:sz="0" w:space="0" w:color="auto"/>
            <w:right w:val="none" w:sz="0" w:space="0" w:color="auto"/>
          </w:divBdr>
          <w:divsChild>
            <w:div w:id="2050490505">
              <w:marLeft w:val="0"/>
              <w:marRight w:val="0"/>
              <w:marTop w:val="0"/>
              <w:marBottom w:val="0"/>
              <w:divBdr>
                <w:top w:val="none" w:sz="0" w:space="0" w:color="auto"/>
                <w:left w:val="none" w:sz="0" w:space="0" w:color="auto"/>
                <w:bottom w:val="none" w:sz="0" w:space="0" w:color="auto"/>
                <w:right w:val="none" w:sz="0" w:space="0" w:color="auto"/>
              </w:divBdr>
            </w:div>
          </w:divsChild>
        </w:div>
        <w:div w:id="810634388">
          <w:marLeft w:val="0"/>
          <w:marRight w:val="0"/>
          <w:marTop w:val="600"/>
          <w:marBottom w:val="0"/>
          <w:divBdr>
            <w:top w:val="none" w:sz="0" w:space="0" w:color="auto"/>
            <w:left w:val="none" w:sz="0" w:space="0" w:color="auto"/>
            <w:bottom w:val="none" w:sz="0" w:space="0" w:color="auto"/>
            <w:right w:val="none" w:sz="0" w:space="0" w:color="auto"/>
          </w:divBdr>
          <w:divsChild>
            <w:div w:id="1804227870">
              <w:marLeft w:val="0"/>
              <w:marRight w:val="0"/>
              <w:marTop w:val="0"/>
              <w:marBottom w:val="0"/>
              <w:divBdr>
                <w:top w:val="none" w:sz="0" w:space="0" w:color="auto"/>
                <w:left w:val="none" w:sz="0" w:space="0" w:color="auto"/>
                <w:bottom w:val="none" w:sz="0" w:space="0" w:color="auto"/>
                <w:right w:val="none" w:sz="0" w:space="0" w:color="auto"/>
              </w:divBdr>
            </w:div>
            <w:div w:id="1391417852">
              <w:marLeft w:val="0"/>
              <w:marRight w:val="0"/>
              <w:marTop w:val="0"/>
              <w:marBottom w:val="0"/>
              <w:divBdr>
                <w:top w:val="none" w:sz="0" w:space="0" w:color="auto"/>
                <w:left w:val="none" w:sz="0" w:space="0" w:color="auto"/>
                <w:bottom w:val="none" w:sz="0" w:space="0" w:color="auto"/>
                <w:right w:val="none" w:sz="0" w:space="0" w:color="auto"/>
              </w:divBdr>
              <w:divsChild>
                <w:div w:id="568539849">
                  <w:marLeft w:val="-450"/>
                  <w:marRight w:val="0"/>
                  <w:marTop w:val="0"/>
                  <w:marBottom w:val="450"/>
                  <w:divBdr>
                    <w:top w:val="none" w:sz="0" w:space="0" w:color="auto"/>
                    <w:left w:val="none" w:sz="0" w:space="0" w:color="auto"/>
                    <w:bottom w:val="none" w:sz="0" w:space="0" w:color="auto"/>
                    <w:right w:val="none" w:sz="0" w:space="0" w:color="auto"/>
                  </w:divBdr>
                  <w:divsChild>
                    <w:div w:id="140198217">
                      <w:marLeft w:val="0"/>
                      <w:marRight w:val="0"/>
                      <w:marTop w:val="0"/>
                      <w:marBottom w:val="0"/>
                      <w:divBdr>
                        <w:top w:val="none" w:sz="0" w:space="0" w:color="auto"/>
                        <w:left w:val="none" w:sz="0" w:space="0" w:color="auto"/>
                        <w:bottom w:val="none" w:sz="0" w:space="0" w:color="auto"/>
                        <w:right w:val="none" w:sz="0" w:space="0" w:color="auto"/>
                      </w:divBdr>
                      <w:divsChild>
                        <w:div w:id="1966421002">
                          <w:marLeft w:val="0"/>
                          <w:marRight w:val="0"/>
                          <w:marTop w:val="0"/>
                          <w:marBottom w:val="0"/>
                          <w:divBdr>
                            <w:top w:val="none" w:sz="0" w:space="0" w:color="auto"/>
                            <w:left w:val="none" w:sz="0" w:space="0" w:color="auto"/>
                            <w:bottom w:val="none" w:sz="0" w:space="0" w:color="auto"/>
                            <w:right w:val="none" w:sz="0" w:space="0" w:color="auto"/>
                          </w:divBdr>
                          <w:divsChild>
                            <w:div w:id="867525870">
                              <w:marLeft w:val="0"/>
                              <w:marRight w:val="0"/>
                              <w:marTop w:val="0"/>
                              <w:marBottom w:val="0"/>
                              <w:divBdr>
                                <w:top w:val="none" w:sz="0" w:space="0" w:color="auto"/>
                                <w:left w:val="none" w:sz="0" w:space="0" w:color="auto"/>
                                <w:bottom w:val="none" w:sz="0" w:space="0" w:color="auto"/>
                                <w:right w:val="none" w:sz="0" w:space="0" w:color="auto"/>
                              </w:divBdr>
                            </w:div>
                            <w:div w:id="1115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90612">
          <w:marLeft w:val="0"/>
          <w:marRight w:val="0"/>
          <w:marTop w:val="750"/>
          <w:marBottom w:val="0"/>
          <w:divBdr>
            <w:top w:val="single" w:sz="12" w:space="30" w:color="AA332F"/>
            <w:left w:val="none" w:sz="0" w:space="0" w:color="auto"/>
            <w:bottom w:val="none" w:sz="0" w:space="0" w:color="auto"/>
            <w:right w:val="none" w:sz="0" w:space="0" w:color="auto"/>
          </w:divBdr>
          <w:divsChild>
            <w:div w:id="1517689893">
              <w:marLeft w:val="0"/>
              <w:marRight w:val="0"/>
              <w:marTop w:val="0"/>
              <w:marBottom w:val="0"/>
              <w:divBdr>
                <w:top w:val="none" w:sz="0" w:space="0" w:color="auto"/>
                <w:left w:val="none" w:sz="0" w:space="0" w:color="auto"/>
                <w:bottom w:val="none" w:sz="0" w:space="0" w:color="auto"/>
                <w:right w:val="none" w:sz="0" w:space="0" w:color="auto"/>
              </w:divBdr>
              <w:divsChild>
                <w:div w:id="15333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review/r221111c.htm" TargetMode="External"/><Relationship Id="rId13" Type="http://schemas.openxmlformats.org/officeDocument/2006/relationships/hyperlink" Target="https://www.bis.org/review/r221111c.htm" TargetMode="External"/><Relationship Id="rId18" Type="http://schemas.openxmlformats.org/officeDocument/2006/relationships/hyperlink" Target="https://www.bis.org/cbspeeches/index.htm?cbspeeches_institutions=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s.org/review/r221111c.pdf" TargetMode="External"/><Relationship Id="rId12" Type="http://schemas.openxmlformats.org/officeDocument/2006/relationships/hyperlink" Target="https://www.bis.org/review/r221111c.htm" TargetMode="External"/><Relationship Id="rId17" Type="http://schemas.openxmlformats.org/officeDocument/2006/relationships/hyperlink" Target="https://www.ngfs.net/en" TargetMode="External"/><Relationship Id="rId2" Type="http://schemas.openxmlformats.org/officeDocument/2006/relationships/styles" Target="styles.xml"/><Relationship Id="rId16" Type="http://schemas.openxmlformats.org/officeDocument/2006/relationships/hyperlink" Target="https://www.newyorkfed.org/ibr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s.org/author/claudia_buch.htm" TargetMode="External"/><Relationship Id="rId11" Type="http://schemas.openxmlformats.org/officeDocument/2006/relationships/hyperlink" Target="https://www.bis.org/review/r221111c.htm" TargetMode="External"/><Relationship Id="rId5" Type="http://schemas.openxmlformats.org/officeDocument/2006/relationships/hyperlink" Target="https://www.bis.org/author/claudia_buch.htm" TargetMode="External"/><Relationship Id="rId15" Type="http://schemas.openxmlformats.org/officeDocument/2006/relationships/hyperlink" Target="http://www.fsb.org/2017/07/framework-for-post-implementation-evaluation-of-the-effects-of-the-g20-financial-regulatory-reforms/" TargetMode="External"/><Relationship Id="rId10" Type="http://schemas.openxmlformats.org/officeDocument/2006/relationships/hyperlink" Target="https://www.bis.org/review/r221111c.htm" TargetMode="External"/><Relationship Id="rId19" Type="http://schemas.openxmlformats.org/officeDocument/2006/relationships/hyperlink" Target="https://www.bis.org/country/DE.htm" TargetMode="External"/><Relationship Id="rId4" Type="http://schemas.openxmlformats.org/officeDocument/2006/relationships/webSettings" Target="webSettings.xml"/><Relationship Id="rId9" Type="http://schemas.openxmlformats.org/officeDocument/2006/relationships/hyperlink" Target="https://www.bis.org/review/r221111c.htm" TargetMode="External"/><Relationship Id="rId14" Type="http://schemas.openxmlformats.org/officeDocument/2006/relationships/hyperlink" Target="https://www.ecb.europa.eu/pub/economic-research/research-networks/html/index.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5619</Words>
  <Characters>30906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2022-11-30T03:02:00Z</dcterms:created>
  <dcterms:modified xsi:type="dcterms:W3CDTF">2023-01-03T04:25:00Z</dcterms:modified>
</cp:coreProperties>
</file>