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67111" w14:textId="77777777" w:rsidR="003E4730" w:rsidRPr="003E4730" w:rsidRDefault="003E4730" w:rsidP="001A5E38">
      <w:pPr>
        <w:spacing w:after="0"/>
      </w:pPr>
      <w:bookmarkStart w:id="0" w:name="_Hlk123060956"/>
      <w:r w:rsidRPr="003E4730">
        <w:t>Divulgaciones de sostenibilidad digital</w:t>
      </w:r>
    </w:p>
    <w:bookmarkEnd w:id="0"/>
    <w:p w14:paraId="2BED8780" w14:textId="77777777" w:rsidR="003E4730" w:rsidRDefault="003E4730" w:rsidP="003E4730"/>
    <w:p w14:paraId="6D670CA1" w14:textId="31747F3E" w:rsidR="003E4730" w:rsidRPr="003E4730" w:rsidRDefault="003E4730" w:rsidP="003E4730">
      <w:r w:rsidRPr="003E4730">
        <w:rPr>
          <w:noProof/>
        </w:rPr>
        <w:drawing>
          <wp:inline distT="0" distB="0" distL="0" distR="0" wp14:anchorId="2039426F" wp14:editId="67A49EFF">
            <wp:extent cx="5612130" cy="36664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6DF0" w14:textId="0B93DB89" w:rsidR="003E4730" w:rsidRPr="003E4730" w:rsidRDefault="003E4730" w:rsidP="003E4730">
      <w:r w:rsidRPr="003E4730">
        <w:t>Publicado el 2 de diciembre de 2022 por</w:t>
      </w:r>
      <w:r>
        <w:t xml:space="preserve"> </w:t>
      </w:r>
      <w:hyperlink r:id="rId6" w:history="1">
        <w:r w:rsidRPr="003E4730">
          <w:rPr>
            <w:rStyle w:val="Hipervnculo"/>
            <w:b/>
            <w:bCs/>
          </w:rPr>
          <w:t>Editor</w:t>
        </w:r>
      </w:hyperlink>
    </w:p>
    <w:p w14:paraId="255C77E6" w14:textId="227EEB31" w:rsidR="003E4730" w:rsidRPr="003E4730" w:rsidRDefault="003E4730" w:rsidP="003E4730">
      <w:pPr>
        <w:jc w:val="both"/>
      </w:pPr>
      <w:r w:rsidRPr="003E4730">
        <w:t>Los reguladores de valores y los responsables políticos de todo el mundo están impulsando nuevos ESG obligatorios (o divulgaciones de sostenibilidad) para empresas en mercados grandes y pequeños. La mayoría tiene la firme intención de que estos nuevos tipos más amplios de informes corporativos sean digitales.</w:t>
      </w:r>
      <w:r>
        <w:t xml:space="preserve"> </w:t>
      </w:r>
      <w:r w:rsidRPr="003E4730">
        <w:t>Generalmente esto significa formateado en Inline XBRL y disponible para consumo, comparación y</w:t>
      </w:r>
      <w:r>
        <w:t xml:space="preserve"> </w:t>
      </w:r>
      <w:hyperlink r:id="rId7" w:tgtFrame="_blank" w:history="1">
        <w:r w:rsidRPr="003E4730">
          <w:rPr>
            <w:rStyle w:val="Hipervnculo"/>
          </w:rPr>
          <w:t>análisis</w:t>
        </w:r>
      </w:hyperlink>
      <w:r>
        <w:t xml:space="preserve"> </w:t>
      </w:r>
      <w:r w:rsidRPr="003E4730">
        <w:t>por parte de usuarios de todo tipo.</w:t>
      </w:r>
      <w:r>
        <w:t xml:space="preserve"> </w:t>
      </w:r>
      <w:r w:rsidRPr="003E4730">
        <w:t>Todo esto representa una gran expansión para los informes basados en XBRL, pero también plantea una serie de preguntas.</w:t>
      </w:r>
    </w:p>
    <w:p w14:paraId="67706C53" w14:textId="3825A111" w:rsidR="003E4730" w:rsidRPr="003E4730" w:rsidRDefault="003E4730" w:rsidP="003E4730">
      <w:pPr>
        <w:jc w:val="both"/>
      </w:pPr>
      <w:r w:rsidRPr="003E4730">
        <w:t>Para ayudar a llegar a algunas conclusiones iniciales sobre algunos de esos problemas, XBRL International ha estado trabajando con los principales emisores de estándares y reguladores de sostenibilidad en esta área durante los últimos 12 meses, amablemente financiado por</w:t>
      </w:r>
      <w:r>
        <w:t xml:space="preserve"> </w:t>
      </w:r>
      <w:hyperlink r:id="rId8" w:tgtFrame="_blank" w:history="1">
        <w:r w:rsidRPr="003E4730">
          <w:rPr>
            <w:rStyle w:val="Hipervnculo"/>
          </w:rPr>
          <w:t>Tipping Point Fund on Impact Investment</w:t>
        </w:r>
      </w:hyperlink>
      <w:r w:rsidRPr="003E4730">
        <w:t>,</w:t>
      </w:r>
      <w:r>
        <w:t xml:space="preserve"> </w:t>
      </w:r>
      <w:hyperlink r:id="rId9" w:tgtFrame="_blank" w:history="1">
        <w:r w:rsidRPr="003E4730">
          <w:rPr>
            <w:rStyle w:val="Hipervnculo"/>
          </w:rPr>
          <w:t>Impact Management Project.</w:t>
        </w:r>
      </w:hyperlink>
      <w:r>
        <w:t xml:space="preserve"> </w:t>
      </w:r>
      <w:r w:rsidRPr="003E4730">
        <w:t>(ahora Plataforma),</w:t>
      </w:r>
      <w:r>
        <w:t xml:space="preserve"> </w:t>
      </w:r>
      <w:hyperlink r:id="rId10" w:tgtFrame="_blank" w:history="1">
        <w:r w:rsidRPr="003E4730">
          <w:rPr>
            <w:rStyle w:val="Hipervnculo"/>
          </w:rPr>
          <w:t>Workiva</w:t>
        </w:r>
      </w:hyperlink>
      <w:r>
        <w:t xml:space="preserve"> </w:t>
      </w:r>
      <w:r w:rsidRPr="003E4730">
        <w:t>y</w:t>
      </w:r>
      <w:r>
        <w:t xml:space="preserve"> </w:t>
      </w:r>
      <w:hyperlink r:id="rId11" w:tgtFrame="_blank" w:history="1">
        <w:r w:rsidRPr="003E4730">
          <w:rPr>
            <w:rStyle w:val="Hipervnculo"/>
          </w:rPr>
          <w:t>PwC</w:t>
        </w:r>
      </w:hyperlink>
      <w:r w:rsidRPr="003E4730">
        <w:t>.</w:t>
      </w:r>
    </w:p>
    <w:p w14:paraId="5EF887B7" w14:textId="77777777" w:rsidR="003E4730" w:rsidRPr="003E4730" w:rsidRDefault="003E4730" w:rsidP="003E4730">
      <w:pPr>
        <w:jc w:val="both"/>
      </w:pPr>
      <w:r w:rsidRPr="003E4730">
        <w:t>El trabajo inicial que se ha llevado a cabo dentro de este "Divulgaciones de sostenibilidad digital - Grupo de interés especial" o "SIG" ahora se ha publicado. El SIG se ha estado sumergiendo en aquellos aspectos de la divulgación de la sostenibilidad que son algo diferentes a los informes quizás más familiares y ha trabajado para acordar algunas mejores prácticas propuestas o enfoques acordados para algunos de estos desafíos.</w:t>
      </w:r>
    </w:p>
    <w:p w14:paraId="7F7B4FF8" w14:textId="77777777" w:rsidR="003E4730" w:rsidRPr="003E4730" w:rsidRDefault="003E4730" w:rsidP="003E4730">
      <w:pPr>
        <w:jc w:val="both"/>
      </w:pPr>
      <w:r w:rsidRPr="003E4730">
        <w:t xml:space="preserve">Tendremos más información sobre este trabajo (y nuestra Junta de Mejores Prácticas y la Junta de Normas XBRL se involucrarán en aspectos específicos) en el futuro, pero para introducir el tema, </w:t>
      </w:r>
      <w:r w:rsidRPr="003E4730">
        <w:lastRenderedPageBreak/>
        <w:t>nuestro CEO John Turner ha estado hablando con el facilitador del grupo, Stuart Rowan, en un Podcast, ya disponible en nuestra web.</w:t>
      </w:r>
    </w:p>
    <w:p w14:paraId="38B7CACA" w14:textId="72F72276" w:rsidR="003E4730" w:rsidRPr="003E4730" w:rsidRDefault="003E4730" w:rsidP="003E4730">
      <w:pPr>
        <w:jc w:val="both"/>
      </w:pPr>
      <w:r w:rsidRPr="003E4730">
        <w:t>Escuche (y vea algunos de los problemas examinados)</w:t>
      </w:r>
      <w:r>
        <w:t xml:space="preserve"> </w:t>
      </w:r>
      <w:hyperlink r:id="rId12" w:tgtFrame="_blank" w:history="1">
        <w:r w:rsidRPr="003E4730">
          <w:rPr>
            <w:rStyle w:val="Hipervnculo"/>
          </w:rPr>
          <w:t>aquí</w:t>
        </w:r>
      </w:hyperlink>
      <w:r w:rsidRPr="003E4730">
        <w:t>.</w:t>
      </w:r>
      <w:r>
        <w:t xml:space="preserve"> </w:t>
      </w:r>
      <w:r w:rsidRPr="003E4730">
        <w:t>Obtenga más información sobre algunos de los desafíos que se han analizado en el micrositio</w:t>
      </w:r>
      <w:r>
        <w:t xml:space="preserve"> </w:t>
      </w:r>
      <w:hyperlink r:id="rId13" w:tgtFrame="_blank" w:history="1">
        <w:r w:rsidRPr="003E4730">
          <w:rPr>
            <w:rStyle w:val="Hipervnculo"/>
          </w:rPr>
          <w:t>aquí</w:t>
        </w:r>
      </w:hyperlink>
      <w:r w:rsidRPr="003E4730">
        <w:t>.</w:t>
      </w:r>
    </w:p>
    <w:p w14:paraId="7DEB7E39" w14:textId="77777777" w:rsidR="003E4730" w:rsidRPr="003E4730" w:rsidRDefault="00D4794F" w:rsidP="003E4730">
      <w:hyperlink r:id="rId14" w:history="1">
        <w:r w:rsidR="003E4730" w:rsidRPr="003E4730">
          <w:rPr>
            <w:rStyle w:val="Hipervnculo"/>
          </w:rPr>
          <w:t>PODCAST </w:t>
        </w:r>
      </w:hyperlink>
      <w:hyperlink r:id="rId15" w:history="1">
        <w:r w:rsidR="003E4730" w:rsidRPr="003E4730">
          <w:rPr>
            <w:rStyle w:val="Hipervnculo"/>
          </w:rPr>
          <w:t>ESG </w:t>
        </w:r>
      </w:hyperlink>
      <w:hyperlink r:id="rId16" w:history="1">
        <w:r w:rsidR="003E4730" w:rsidRPr="003E4730">
          <w:rPr>
            <w:rStyle w:val="Hipervnculo"/>
          </w:rPr>
          <w:t>SOSTENIBILIDAD </w:t>
        </w:r>
      </w:hyperlink>
      <w:hyperlink r:id="rId17" w:history="1">
        <w:r w:rsidR="003E4730" w:rsidRPr="003E4730">
          <w:rPr>
            <w:rStyle w:val="Hipervnculo"/>
          </w:rPr>
          <w:t>XBRL INTERNACIONAL</w:t>
        </w:r>
      </w:hyperlink>
    </w:p>
    <w:p w14:paraId="4E563E8D" w14:textId="1446CDB9" w:rsidR="003E4730" w:rsidRPr="003E4730" w:rsidRDefault="003E4730" w:rsidP="003E4730"/>
    <w:p w14:paraId="52FA6EA1" w14:textId="6C72FE56" w:rsidR="003E4730" w:rsidRDefault="003E4730"/>
    <w:p w14:paraId="12942002" w14:textId="579C9C74" w:rsidR="003E4730" w:rsidRDefault="003E4730"/>
    <w:p w14:paraId="2E2B0308" w14:textId="43200B2B" w:rsidR="003E4730" w:rsidRDefault="003E4730"/>
    <w:p w14:paraId="3F59527A" w14:textId="60BDF4B3" w:rsidR="003E4730" w:rsidRDefault="003E4730"/>
    <w:p w14:paraId="726163D2" w14:textId="6BD87239" w:rsidR="003E4730" w:rsidRDefault="003E4730"/>
    <w:p w14:paraId="69A2E240" w14:textId="28CEA0AC" w:rsidR="003E4730" w:rsidRDefault="003E4730"/>
    <w:p w14:paraId="6CAF2572" w14:textId="163C67C0" w:rsidR="003E4730" w:rsidRDefault="003E4730"/>
    <w:p w14:paraId="2664E26E" w14:textId="0B1F3BF6" w:rsidR="003E4730" w:rsidRDefault="003E4730">
      <w:r w:rsidRPr="003E4730">
        <w:rPr>
          <w:noProof/>
        </w:rPr>
        <w:drawing>
          <wp:inline distT="0" distB="0" distL="0" distR="0" wp14:anchorId="62E7E0F4" wp14:editId="23519072">
            <wp:extent cx="5612130" cy="2685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9307" w14:textId="77777777" w:rsidR="003E4730" w:rsidRPr="003E4730" w:rsidRDefault="003E4730" w:rsidP="003E4730">
      <w:pPr>
        <w:rPr>
          <w:b/>
          <w:bCs/>
        </w:rPr>
      </w:pPr>
      <w:r w:rsidRPr="003E4730">
        <w:rPr>
          <w:b/>
          <w:bCs/>
        </w:rPr>
        <w:t>INTRODUCCIÓN</w:t>
      </w:r>
    </w:p>
    <w:p w14:paraId="66B83D58" w14:textId="0CA001A0" w:rsidR="003E4730" w:rsidRPr="003E4730" w:rsidRDefault="003E4730" w:rsidP="003E4730">
      <w:pPr>
        <w:jc w:val="both"/>
      </w:pPr>
      <w:r w:rsidRPr="003E4730">
        <w:t>El mundo se está moviendo rápidamente hacia los informes de sostenibilidad obligatorios.</w:t>
      </w:r>
      <w:r>
        <w:t xml:space="preserve"> </w:t>
      </w:r>
      <w:r w:rsidRPr="003E4730">
        <w:t>Esto marca un cambio significativo para las empresas y proporcionará un nuevo conjunto de información para inversores de todo tipo, así como para reguladores, legisladores y partes interesadas de la comunidad en general. Se continúa realizando un esfuerzo muy significativo en la alineación y comparabilidad de los estándares de sostenibilidad y las reglas de divulgación que se promulgarán en todo el mundo.</w:t>
      </w:r>
    </w:p>
    <w:p w14:paraId="451655F3" w14:textId="77777777" w:rsidR="003E4730" w:rsidRPr="003E4730" w:rsidRDefault="003E4730" w:rsidP="003E4730">
      <w:pPr>
        <w:jc w:val="both"/>
      </w:pPr>
      <w:r w:rsidRPr="003E4730">
        <w:t xml:space="preserve">En muchos mercados, estas divulgaciones serán digitales, lo que significa que se prepararán en el formato Inline XBRL. Así como es importante que las reglas y estándares que sustentan este </w:t>
      </w:r>
      <w:r w:rsidRPr="003E4730">
        <w:lastRenderedPageBreak/>
        <w:t>esfuerzo sean comparables, es vital que los enfoques técnicos para estas próximas divulgaciones digitales sean lo más consistentes posible. A modo de analogía, si los estándares de sustentabilidad están configurando los ferrocarriles, decidiendo qué estaciones visitarán y a qué velocidad viajarán, los aspectos de diseño digital de este proceso están trabajando juntos para garantizar que todos usen el mismo ancho de vía y que Los boletos están en línea y se aceptan en todas partes.</w:t>
      </w:r>
    </w:p>
    <w:p w14:paraId="04EC2439" w14:textId="18477564" w:rsidR="003E4730" w:rsidRPr="003E4730" w:rsidRDefault="003E4730" w:rsidP="003E4730">
      <w:pPr>
        <w:jc w:val="both"/>
      </w:pPr>
      <w:r w:rsidRPr="003E4730">
        <w:t>Desde diciembre de 2021, XBRL International ha organizado reuniones periódicas entre el personal técnico de los principales emisores de estándares y algunos de los reguladores que trabajan en los aspectos digitales de las divulgaciones de sostenibilidad.</w:t>
      </w:r>
      <w:r>
        <w:t xml:space="preserve"> </w:t>
      </w:r>
      <w:r w:rsidRPr="003E4730">
        <w:t>Denominado "Grupo de interés especial de divulgación de sostenibilidad digital" (o "SIG" para abreviar), el grupo ha estado identificando desafíos o preguntas potenciales específicos asociados con la digitalización y acordando las mejores prácticas propuestas iniciales, aún tentativas, para ayudar a garantizar la coherencia en este campo en todo el mundo. mundo.</w:t>
      </w:r>
    </w:p>
    <w:p w14:paraId="7236431F" w14:textId="77777777" w:rsidR="003E4730" w:rsidRPr="003E4730" w:rsidRDefault="003E4730" w:rsidP="003E4730">
      <w:pPr>
        <w:jc w:val="both"/>
      </w:pPr>
      <w:r w:rsidRPr="003E4730">
        <w:t>El SIG publica este micrositio de forma continua para compartir sus hallazgos y ayudar a fomentar la discusión y el debate a medida que estos temas se aclaran y acuerdan.</w:t>
      </w:r>
    </w:p>
    <w:p w14:paraId="26B9E0BE" w14:textId="77777777" w:rsidR="003E4730" w:rsidRPr="003E4730" w:rsidRDefault="003E4730" w:rsidP="003E4730">
      <w:pPr>
        <w:jc w:val="both"/>
      </w:pPr>
      <w:r w:rsidRPr="003E4730">
        <w:t>Hemos esbozado una serie de desafíos inherentes a las divulgaciones de sostenibilidad junto con soluciones viables para esos desafíos. El sitio atiende en este punto a tres audiencias diferentes:</w:t>
      </w:r>
    </w:p>
    <w:p w14:paraId="43EFA2D4" w14:textId="77777777" w:rsidR="003E4730" w:rsidRPr="003E4730" w:rsidRDefault="003E4730" w:rsidP="003E4730">
      <w:pPr>
        <w:numPr>
          <w:ilvl w:val="0"/>
          <w:numId w:val="1"/>
        </w:numPr>
        <w:jc w:val="both"/>
      </w:pPr>
      <w:r w:rsidRPr="003E4730">
        <w:t>Ejecutivo: la audiencia predeterminada, destinada a ser el punto de partida para cada desafío</w:t>
      </w:r>
    </w:p>
    <w:p w14:paraId="5B4675A2" w14:textId="77777777" w:rsidR="003E4730" w:rsidRPr="003E4730" w:rsidRDefault="003E4730" w:rsidP="003E4730">
      <w:pPr>
        <w:numPr>
          <w:ilvl w:val="0"/>
          <w:numId w:val="1"/>
        </w:numPr>
        <w:jc w:val="both"/>
      </w:pPr>
      <w:r w:rsidRPr="003E4730">
        <w:t>Establecedor de estándares: información más relevante para quienes participan en el establecimiento de estándares</w:t>
      </w:r>
    </w:p>
    <w:p w14:paraId="391BA0CB" w14:textId="77777777" w:rsidR="003E4730" w:rsidRPr="003E4730" w:rsidRDefault="003E4730" w:rsidP="003E4730">
      <w:pPr>
        <w:numPr>
          <w:ilvl w:val="0"/>
          <w:numId w:val="1"/>
        </w:numPr>
        <w:jc w:val="both"/>
      </w:pPr>
      <w:r w:rsidRPr="003E4730">
        <w:t>Técnico: información más relevante para aquellos que implementan estándares técnicos relacionados con el desafío</w:t>
      </w:r>
    </w:p>
    <w:p w14:paraId="73F45686" w14:textId="77777777" w:rsidR="003E4730" w:rsidRPr="003E4730" w:rsidRDefault="003E4730" w:rsidP="003E4730">
      <w:pPr>
        <w:jc w:val="both"/>
      </w:pPr>
      <w:r w:rsidRPr="003E4730">
        <w:t>A raíz de los desafíos, hay una colección de mejores prácticas propuestas que ayudarán a las partes a enfrentar esos desafíos.</w:t>
      </w:r>
    </w:p>
    <w:p w14:paraId="7FA83728" w14:textId="77777777" w:rsidR="003E4730" w:rsidRPr="003E4730" w:rsidRDefault="003E4730" w:rsidP="003E4730">
      <w:pPr>
        <w:jc w:val="both"/>
      </w:pPr>
      <w:r w:rsidRPr="003E4730">
        <w:t>Comience explorando los desafíos del menú de arriba.</w:t>
      </w:r>
    </w:p>
    <w:p w14:paraId="7358E9B2" w14:textId="77777777" w:rsidR="003E4730" w:rsidRPr="003E4730" w:rsidRDefault="003E4730" w:rsidP="003E4730">
      <w:pPr>
        <w:jc w:val="both"/>
      </w:pPr>
      <w:r w:rsidRPr="003E4730">
        <w:t>Las propuestas SIG no forman parte de las actividades de mejores prácticas o elaboración de normas de XBRL International, aunque esperamos que estos resultados se integren en ese trabajo.</w:t>
      </w:r>
    </w:p>
    <w:p w14:paraId="350A4EB8" w14:textId="77777777" w:rsidR="003E4730" w:rsidRPr="003E4730" w:rsidRDefault="003E4730" w:rsidP="003E4730">
      <w:pPr>
        <w:jc w:val="both"/>
      </w:pPr>
      <w:r w:rsidRPr="003E4730">
        <w:t>El Grupo de Interés Especial ha sido integrado por XBRL International con fondos dedicados proporcionados amablemente por Impact Management Project, incluso para la publicación inicial de este micrositio.</w:t>
      </w:r>
    </w:p>
    <w:p w14:paraId="484BF7FA" w14:textId="62FFAFBE" w:rsidR="003E4730" w:rsidRDefault="003E4730" w:rsidP="003E4730">
      <w:pPr>
        <w:jc w:val="both"/>
      </w:pPr>
    </w:p>
    <w:p w14:paraId="32B5C74E" w14:textId="77777777" w:rsidR="003E4730" w:rsidRPr="003E4730" w:rsidRDefault="003E4730" w:rsidP="003E4730">
      <w:pPr>
        <w:rPr>
          <w:b/>
          <w:bCs/>
        </w:rPr>
      </w:pPr>
      <w:r w:rsidRPr="003E4730">
        <w:rPr>
          <w:b/>
          <w:bCs/>
        </w:rPr>
        <w:t>DESAFÍOS</w:t>
      </w:r>
    </w:p>
    <w:p w14:paraId="02ABD900" w14:textId="77777777" w:rsidR="003E4730" w:rsidRPr="003E4730" w:rsidRDefault="003E4730" w:rsidP="003E4730">
      <w:pPr>
        <w:jc w:val="both"/>
      </w:pPr>
      <w:r w:rsidRPr="003E4730">
        <w:t>Navega a un desafío específico:</w:t>
      </w:r>
    </w:p>
    <w:p w14:paraId="15B08A6D" w14:textId="77777777" w:rsidR="003E4730" w:rsidRPr="003E4730" w:rsidRDefault="003E4730" w:rsidP="003E4730">
      <w:pPr>
        <w:numPr>
          <w:ilvl w:val="0"/>
          <w:numId w:val="2"/>
        </w:numPr>
        <w:jc w:val="both"/>
      </w:pPr>
      <w:r w:rsidRPr="003E4730">
        <w:t>Reporte de datos de sustentabilidad usando XBRL en línea</w:t>
      </w:r>
    </w:p>
    <w:p w14:paraId="30BB3EA2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19" w:history="1">
        <w:r w:rsidR="003E4730" w:rsidRPr="003E4730">
          <w:rPr>
            <w:rStyle w:val="Hipervnculo"/>
          </w:rPr>
          <w:t>Múltiples empresas reportan los mismos conceptos</w:t>
        </w:r>
      </w:hyperlink>
    </w:p>
    <w:p w14:paraId="1A5E9ED3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0" w:history="1">
        <w:r w:rsidR="003E4730" w:rsidRPr="003E4730">
          <w:rPr>
            <w:rStyle w:val="Hipervnculo"/>
          </w:rPr>
          <w:t>Granularidad y etiquetado de datos narrativos</w:t>
        </w:r>
      </w:hyperlink>
    </w:p>
    <w:p w14:paraId="3AFFD38D" w14:textId="77777777" w:rsidR="003E4730" w:rsidRPr="003E4730" w:rsidRDefault="00D4794F" w:rsidP="003E4730">
      <w:pPr>
        <w:numPr>
          <w:ilvl w:val="1"/>
          <w:numId w:val="2"/>
        </w:numPr>
        <w:jc w:val="both"/>
      </w:pPr>
      <w:hyperlink r:id="rId21" w:history="1">
        <w:r w:rsidR="003E4730" w:rsidRPr="003E4730">
          <w:rPr>
            <w:rStyle w:val="Hipervnculo"/>
          </w:rPr>
          <w:t>xBRL-JSON para análisis de informes</w:t>
        </w:r>
      </w:hyperlink>
    </w:p>
    <w:p w14:paraId="0363AC55" w14:textId="77777777" w:rsidR="003E4730" w:rsidRPr="003E4730" w:rsidRDefault="003E4730" w:rsidP="003E4730">
      <w:pPr>
        <w:numPr>
          <w:ilvl w:val="0"/>
          <w:numId w:val="2"/>
        </w:numPr>
        <w:jc w:val="both"/>
      </w:pPr>
      <w:r w:rsidRPr="003E4730">
        <w:t>Proporcionar información de sostenibilidad más rica</w:t>
      </w:r>
    </w:p>
    <w:p w14:paraId="21D6DFC5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2" w:history="1">
        <w:r w:rsidR="003E4730" w:rsidRPr="003E4730">
          <w:rPr>
            <w:rStyle w:val="Hipervnculo"/>
          </w:rPr>
          <w:t>Vinculación entre dos informes</w:t>
        </w:r>
      </w:hyperlink>
    </w:p>
    <w:p w14:paraId="4B534675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3" w:history="1">
        <w:r w:rsidR="003E4730" w:rsidRPr="003E4730">
          <w:rPr>
            <w:rStyle w:val="Hipervnculo"/>
          </w:rPr>
          <w:t>Uso de datos de otros estándares</w:t>
        </w:r>
      </w:hyperlink>
    </w:p>
    <w:p w14:paraId="54C2D1B1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4" w:history="1">
        <w:r w:rsidR="003E4730" w:rsidRPr="003E4730">
          <w:rPr>
            <w:rStyle w:val="Hipervnculo"/>
          </w:rPr>
          <w:t>Proporcionar metadatos adicionales</w:t>
        </w:r>
      </w:hyperlink>
    </w:p>
    <w:p w14:paraId="50F34F50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5" w:history="1">
        <w:r w:rsidR="003E4730" w:rsidRPr="003E4730">
          <w:rPr>
            <w:rStyle w:val="Hipervnculo"/>
          </w:rPr>
          <w:t>Marcar datos como auditados o no auditados</w:t>
        </w:r>
      </w:hyperlink>
    </w:p>
    <w:p w14:paraId="21368C00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6" w:history="1">
        <w:r w:rsidR="003E4730" w:rsidRPr="003E4730">
          <w:rPr>
            <w:rStyle w:val="Hipervnculo"/>
          </w:rPr>
          <w:t>Listas de códigos para compartir entre taxonomías</w:t>
        </w:r>
      </w:hyperlink>
    </w:p>
    <w:p w14:paraId="44A5B0F8" w14:textId="77777777" w:rsidR="003E4730" w:rsidRPr="003E4730" w:rsidRDefault="00D4794F" w:rsidP="003E4730">
      <w:pPr>
        <w:numPr>
          <w:ilvl w:val="1"/>
          <w:numId w:val="2"/>
        </w:numPr>
        <w:jc w:val="both"/>
      </w:pPr>
      <w:hyperlink r:id="rId27" w:history="1">
        <w:r w:rsidR="003E4730" w:rsidRPr="003E4730">
          <w:rPr>
            <w:rStyle w:val="Hipervnculo"/>
          </w:rPr>
          <w:t>Vinculación dentro de un informe</w:t>
        </w:r>
      </w:hyperlink>
    </w:p>
    <w:p w14:paraId="2382F330" w14:textId="77777777" w:rsidR="003E4730" w:rsidRPr="003E4730" w:rsidRDefault="003E4730" w:rsidP="003E4730">
      <w:pPr>
        <w:numPr>
          <w:ilvl w:val="0"/>
          <w:numId w:val="2"/>
        </w:numPr>
        <w:jc w:val="both"/>
      </w:pPr>
      <w:r w:rsidRPr="003E4730">
        <w:t>Trabajar con múltiples estándares de sostenibilidad</w:t>
      </w:r>
    </w:p>
    <w:p w14:paraId="71B82AC9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8" w:history="1">
        <w:r w:rsidR="003E4730" w:rsidRPr="003E4730">
          <w:rPr>
            <w:rStyle w:val="Hipervnculo"/>
          </w:rPr>
          <w:t>Conversión de unidades/derivación de datos</w:t>
        </w:r>
      </w:hyperlink>
    </w:p>
    <w:p w14:paraId="414E639F" w14:textId="77777777" w:rsidR="003E4730" w:rsidRPr="003E4730" w:rsidRDefault="00D4794F" w:rsidP="003E4730">
      <w:pPr>
        <w:numPr>
          <w:ilvl w:val="1"/>
          <w:numId w:val="2"/>
        </w:numPr>
        <w:spacing w:after="0"/>
        <w:jc w:val="both"/>
      </w:pPr>
      <w:hyperlink r:id="rId29" w:history="1">
        <w:r w:rsidR="003E4730" w:rsidRPr="003E4730">
          <w:rPr>
            <w:rStyle w:val="Hipervnculo"/>
          </w:rPr>
          <w:t>Registro de comparabilidad entre taxonomías (concordancia)</w:t>
        </w:r>
      </w:hyperlink>
    </w:p>
    <w:p w14:paraId="77509550" w14:textId="77777777" w:rsidR="003E4730" w:rsidRPr="003E4730" w:rsidRDefault="00D4794F" w:rsidP="003E4730">
      <w:pPr>
        <w:numPr>
          <w:ilvl w:val="1"/>
          <w:numId w:val="2"/>
        </w:numPr>
        <w:jc w:val="both"/>
      </w:pPr>
      <w:hyperlink r:id="rId30" w:history="1">
        <w:r w:rsidR="003E4730" w:rsidRPr="003E4730">
          <w:rPr>
            <w:rStyle w:val="Hipervnculo"/>
          </w:rPr>
          <w:t>Bloques de construcción compartidos, pero personalizados</w:t>
        </w:r>
      </w:hyperlink>
    </w:p>
    <w:p w14:paraId="0605ECC2" w14:textId="67A90629" w:rsidR="003E4730" w:rsidRDefault="003E4730" w:rsidP="003E4730">
      <w:pPr>
        <w:jc w:val="both"/>
      </w:pPr>
    </w:p>
    <w:p w14:paraId="236B5DC0" w14:textId="77777777" w:rsidR="003E4730" w:rsidRPr="003E4730" w:rsidRDefault="003E4730" w:rsidP="003E4730">
      <w:pPr>
        <w:jc w:val="both"/>
        <w:rPr>
          <w:b/>
          <w:bCs/>
        </w:rPr>
      </w:pPr>
      <w:r w:rsidRPr="003E4730">
        <w:rPr>
          <w:b/>
          <w:bCs/>
        </w:rPr>
        <w:t>MEJORES PRÁCTICAS PROPUESTAS</w:t>
      </w:r>
    </w:p>
    <w:p w14:paraId="68F85E66" w14:textId="77777777" w:rsidR="003E4730" w:rsidRPr="003E4730" w:rsidRDefault="003E4730" w:rsidP="003E4730">
      <w:pPr>
        <w:jc w:val="both"/>
      </w:pPr>
      <w:r w:rsidRPr="003E4730">
        <w:t>Para autores de taxonomías y recopiladores/reguladores de datos:</w:t>
      </w:r>
    </w:p>
    <w:p w14:paraId="1B4A4C1E" w14:textId="77777777" w:rsidR="003E4730" w:rsidRPr="003E4730" w:rsidRDefault="00D4794F" w:rsidP="003E4730">
      <w:pPr>
        <w:numPr>
          <w:ilvl w:val="0"/>
          <w:numId w:val="3"/>
        </w:numPr>
        <w:spacing w:after="0"/>
        <w:jc w:val="both"/>
      </w:pPr>
      <w:hyperlink r:id="rId31" w:history="1">
        <w:r w:rsidR="003E4730" w:rsidRPr="003E4730">
          <w:rPr>
            <w:rStyle w:val="Hipervnculo"/>
          </w:rPr>
          <w:t>Informe de datos de sostenibilidad</w:t>
        </w:r>
      </w:hyperlink>
    </w:p>
    <w:p w14:paraId="0C56E54E" w14:textId="77777777" w:rsidR="003E4730" w:rsidRPr="003E4730" w:rsidRDefault="00D4794F" w:rsidP="003E4730">
      <w:pPr>
        <w:numPr>
          <w:ilvl w:val="0"/>
          <w:numId w:val="3"/>
        </w:numPr>
        <w:spacing w:after="0"/>
        <w:jc w:val="both"/>
      </w:pPr>
      <w:hyperlink r:id="rId32" w:history="1">
        <w:r w:rsidR="003E4730" w:rsidRPr="003E4730">
          <w:rPr>
            <w:rStyle w:val="Hipervnculo"/>
          </w:rPr>
          <w:t>Consideraciones para la vinculación entre documentos (recolector/regulador)</w:t>
        </w:r>
      </w:hyperlink>
    </w:p>
    <w:p w14:paraId="7CA7A2F8" w14:textId="77777777" w:rsidR="003E4730" w:rsidRPr="003E4730" w:rsidRDefault="00D4794F" w:rsidP="003E4730">
      <w:pPr>
        <w:numPr>
          <w:ilvl w:val="0"/>
          <w:numId w:val="3"/>
        </w:numPr>
        <w:jc w:val="both"/>
      </w:pPr>
      <w:hyperlink r:id="rId33" w:history="1">
        <w:r w:rsidR="003E4730" w:rsidRPr="003E4730">
          <w:rPr>
            <w:rStyle w:val="Hipervnculo"/>
          </w:rPr>
          <w:t>Mapeo entre taxonomías</w:t>
        </w:r>
      </w:hyperlink>
    </w:p>
    <w:p w14:paraId="462408CB" w14:textId="77777777" w:rsidR="003E4730" w:rsidRPr="003E4730" w:rsidRDefault="003E4730" w:rsidP="003E4730">
      <w:pPr>
        <w:jc w:val="both"/>
      </w:pPr>
      <w:r w:rsidRPr="003E4730">
        <w:t>Para preparadores/consumidores:</w:t>
      </w:r>
    </w:p>
    <w:p w14:paraId="6F722198" w14:textId="77777777" w:rsidR="003E4730" w:rsidRPr="003E4730" w:rsidRDefault="00D4794F" w:rsidP="003E4730">
      <w:pPr>
        <w:numPr>
          <w:ilvl w:val="0"/>
          <w:numId w:val="4"/>
        </w:numPr>
        <w:spacing w:after="0"/>
        <w:jc w:val="both"/>
      </w:pPr>
      <w:hyperlink r:id="rId34" w:history="1">
        <w:r w:rsidR="003E4730" w:rsidRPr="003E4730">
          <w:rPr>
            <w:rStyle w:val="Hipervnculo"/>
          </w:rPr>
          <w:t>Consideraciones para la vinculación entre documentos (preparador)</w:t>
        </w:r>
      </w:hyperlink>
    </w:p>
    <w:p w14:paraId="087FB9DC" w14:textId="77777777" w:rsidR="003E4730" w:rsidRPr="003E4730" w:rsidRDefault="00D4794F" w:rsidP="003E4730">
      <w:pPr>
        <w:numPr>
          <w:ilvl w:val="0"/>
          <w:numId w:val="4"/>
        </w:numPr>
        <w:jc w:val="both"/>
      </w:pPr>
      <w:hyperlink r:id="rId35" w:history="1">
        <w:r w:rsidR="003E4730" w:rsidRPr="003E4730">
          <w:rPr>
            <w:rStyle w:val="Hipervnculo"/>
          </w:rPr>
          <w:t>Mapeo entre taxonomías (consumidor)</w:t>
        </w:r>
      </w:hyperlink>
    </w:p>
    <w:p w14:paraId="5A5E42B0" w14:textId="310DCD59" w:rsidR="003E4730" w:rsidRDefault="003E4730" w:rsidP="003E4730">
      <w:pPr>
        <w:jc w:val="both"/>
      </w:pPr>
    </w:p>
    <w:p w14:paraId="2C740363" w14:textId="77777777" w:rsidR="003E4730" w:rsidRPr="003E4730" w:rsidRDefault="003E4730" w:rsidP="003E4730">
      <w:pPr>
        <w:jc w:val="both"/>
        <w:rPr>
          <w:b/>
          <w:bCs/>
        </w:rPr>
      </w:pPr>
      <w:r w:rsidRPr="003E4730">
        <w:rPr>
          <w:b/>
          <w:bCs/>
        </w:rPr>
        <w:t>MAPA DEL SITIO</w:t>
      </w:r>
    </w:p>
    <w:p w14:paraId="79B2CA19" w14:textId="77777777" w:rsidR="003E4730" w:rsidRPr="003E4730" w:rsidRDefault="00D4794F" w:rsidP="003E4730">
      <w:pPr>
        <w:numPr>
          <w:ilvl w:val="0"/>
          <w:numId w:val="5"/>
        </w:numPr>
        <w:jc w:val="both"/>
      </w:pPr>
      <w:hyperlink r:id="rId36" w:history="1">
        <w:r w:rsidR="003E4730" w:rsidRPr="003E4730">
          <w:rPr>
            <w:rStyle w:val="Hipervnculo"/>
          </w:rPr>
          <w:t>Introducción</w:t>
        </w:r>
      </w:hyperlink>
    </w:p>
    <w:p w14:paraId="5B0018D1" w14:textId="77777777" w:rsidR="003E4730" w:rsidRPr="003E4730" w:rsidRDefault="00D4794F" w:rsidP="003E4730">
      <w:pPr>
        <w:numPr>
          <w:ilvl w:val="0"/>
          <w:numId w:val="5"/>
        </w:numPr>
        <w:jc w:val="both"/>
      </w:pPr>
      <w:hyperlink r:id="rId37" w:history="1">
        <w:r w:rsidR="003E4730" w:rsidRPr="003E4730">
          <w:rPr>
            <w:rStyle w:val="Hipervnculo"/>
          </w:rPr>
          <w:t>Desafíos</w:t>
        </w:r>
      </w:hyperlink>
    </w:p>
    <w:p w14:paraId="2DC4EDF5" w14:textId="77777777" w:rsidR="003E4730" w:rsidRPr="003E4730" w:rsidRDefault="00D4794F" w:rsidP="003E4730">
      <w:pPr>
        <w:numPr>
          <w:ilvl w:val="1"/>
          <w:numId w:val="5"/>
        </w:numPr>
        <w:jc w:val="both"/>
      </w:pPr>
      <w:hyperlink r:id="rId38" w:history="1">
        <w:r w:rsidR="003E4730" w:rsidRPr="003E4730">
          <w:rPr>
            <w:rStyle w:val="Hipervnculo"/>
          </w:rPr>
          <w:t>Reporte de datos de sustentabilidad usando XBRL en línea</w:t>
        </w:r>
      </w:hyperlink>
    </w:p>
    <w:p w14:paraId="76E99649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39" w:history="1">
        <w:r w:rsidR="003E4730" w:rsidRPr="003E4730">
          <w:rPr>
            <w:rStyle w:val="Hipervnculo"/>
          </w:rPr>
          <w:t>Múltiples empresas reportan los mismos conceptos</w:t>
        </w:r>
      </w:hyperlink>
    </w:p>
    <w:p w14:paraId="7A3756E4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0" w:history="1">
        <w:r w:rsidR="003E4730" w:rsidRPr="003E4730">
          <w:rPr>
            <w:rStyle w:val="Hipervnculo"/>
          </w:rPr>
          <w:t>Ejecutivo</w:t>
        </w:r>
      </w:hyperlink>
    </w:p>
    <w:p w14:paraId="380D6A15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1" w:history="1">
        <w:r w:rsidR="003E4730" w:rsidRPr="003E4730">
          <w:rPr>
            <w:rStyle w:val="Hipervnculo"/>
          </w:rPr>
          <w:t>Establecedor de estándares</w:t>
        </w:r>
      </w:hyperlink>
    </w:p>
    <w:p w14:paraId="75AB67D7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42" w:history="1">
        <w:r w:rsidR="003E4730" w:rsidRPr="003E4730">
          <w:rPr>
            <w:rStyle w:val="Hipervnculo"/>
          </w:rPr>
          <w:t>Técnico</w:t>
        </w:r>
      </w:hyperlink>
    </w:p>
    <w:p w14:paraId="4BBB967F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43" w:history="1">
        <w:r w:rsidR="003E4730" w:rsidRPr="003E4730">
          <w:rPr>
            <w:rStyle w:val="Hipervnculo"/>
          </w:rPr>
          <w:t>Granularidad y etiquetado de datos narrativos</w:t>
        </w:r>
      </w:hyperlink>
    </w:p>
    <w:p w14:paraId="7689557C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4" w:history="1">
        <w:r w:rsidR="003E4730" w:rsidRPr="003E4730">
          <w:rPr>
            <w:rStyle w:val="Hipervnculo"/>
          </w:rPr>
          <w:t>Ejecutivo</w:t>
        </w:r>
      </w:hyperlink>
    </w:p>
    <w:p w14:paraId="0DA15D9A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5" w:history="1">
        <w:r w:rsidR="003E4730" w:rsidRPr="003E4730">
          <w:rPr>
            <w:rStyle w:val="Hipervnculo"/>
          </w:rPr>
          <w:t>Establecedor de estándares</w:t>
        </w:r>
      </w:hyperlink>
    </w:p>
    <w:p w14:paraId="029091A0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46" w:history="1">
        <w:r w:rsidR="003E4730" w:rsidRPr="003E4730">
          <w:rPr>
            <w:rStyle w:val="Hipervnculo"/>
          </w:rPr>
          <w:t>Técnico</w:t>
        </w:r>
      </w:hyperlink>
    </w:p>
    <w:p w14:paraId="7F2F4ED5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47" w:history="1">
        <w:r w:rsidR="003E4730" w:rsidRPr="003E4730">
          <w:rPr>
            <w:rStyle w:val="Hipervnculo"/>
          </w:rPr>
          <w:t>xBRL-JSON para análisis de informes</w:t>
        </w:r>
      </w:hyperlink>
    </w:p>
    <w:p w14:paraId="54F04BEC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8" w:history="1">
        <w:r w:rsidR="003E4730" w:rsidRPr="003E4730">
          <w:rPr>
            <w:rStyle w:val="Hipervnculo"/>
          </w:rPr>
          <w:t>Ejecutivo</w:t>
        </w:r>
      </w:hyperlink>
    </w:p>
    <w:p w14:paraId="219D87F5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49" w:history="1">
        <w:r w:rsidR="003E4730" w:rsidRPr="003E4730">
          <w:rPr>
            <w:rStyle w:val="Hipervnculo"/>
          </w:rPr>
          <w:t>Establecedor de estándares</w:t>
        </w:r>
      </w:hyperlink>
    </w:p>
    <w:p w14:paraId="33759912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50" w:history="1">
        <w:r w:rsidR="003E4730" w:rsidRPr="003E4730">
          <w:rPr>
            <w:rStyle w:val="Hipervnculo"/>
          </w:rPr>
          <w:t>Técnico</w:t>
        </w:r>
      </w:hyperlink>
    </w:p>
    <w:p w14:paraId="417E23ED" w14:textId="77777777" w:rsidR="003E4730" w:rsidRPr="003E4730" w:rsidRDefault="00D4794F" w:rsidP="003E4730">
      <w:pPr>
        <w:numPr>
          <w:ilvl w:val="1"/>
          <w:numId w:val="5"/>
        </w:numPr>
        <w:jc w:val="both"/>
      </w:pPr>
      <w:hyperlink r:id="rId51" w:history="1">
        <w:r w:rsidR="003E4730" w:rsidRPr="003E4730">
          <w:rPr>
            <w:rStyle w:val="Hipervnculo"/>
          </w:rPr>
          <w:t>Proporcionar información de sostenibilidad más rica</w:t>
        </w:r>
      </w:hyperlink>
    </w:p>
    <w:p w14:paraId="1F351384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52" w:history="1">
        <w:r w:rsidR="003E4730" w:rsidRPr="003E4730">
          <w:rPr>
            <w:rStyle w:val="Hipervnculo"/>
          </w:rPr>
          <w:t>Listas de códigos para compartir entre taxonomías</w:t>
        </w:r>
      </w:hyperlink>
    </w:p>
    <w:p w14:paraId="523A6F51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53" w:history="1">
        <w:r w:rsidR="003E4730" w:rsidRPr="003E4730">
          <w:rPr>
            <w:rStyle w:val="Hipervnculo"/>
          </w:rPr>
          <w:t>Ejecutivo</w:t>
        </w:r>
      </w:hyperlink>
    </w:p>
    <w:p w14:paraId="26CD5164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54" w:history="1">
        <w:r w:rsidR="003E4730" w:rsidRPr="003E4730">
          <w:rPr>
            <w:rStyle w:val="Hipervnculo"/>
          </w:rPr>
          <w:t>Establecedor de estándares</w:t>
        </w:r>
      </w:hyperlink>
    </w:p>
    <w:p w14:paraId="2DB83070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55" w:history="1">
        <w:r w:rsidR="003E4730" w:rsidRPr="003E4730">
          <w:rPr>
            <w:rStyle w:val="Hipervnculo"/>
          </w:rPr>
          <w:t>Técnico</w:t>
        </w:r>
      </w:hyperlink>
    </w:p>
    <w:p w14:paraId="0E26FAA1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56" w:history="1">
        <w:r w:rsidR="003E4730" w:rsidRPr="003E4730">
          <w:rPr>
            <w:rStyle w:val="Hipervnculo"/>
          </w:rPr>
          <w:t>Vinculación entre dos informes</w:t>
        </w:r>
      </w:hyperlink>
    </w:p>
    <w:p w14:paraId="08699FF9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57" w:history="1">
        <w:r w:rsidR="003E4730" w:rsidRPr="003E4730">
          <w:rPr>
            <w:rStyle w:val="Hipervnculo"/>
          </w:rPr>
          <w:t>Ejecutivo</w:t>
        </w:r>
      </w:hyperlink>
    </w:p>
    <w:p w14:paraId="572AD0BF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58" w:history="1">
        <w:r w:rsidR="003E4730" w:rsidRPr="003E4730">
          <w:rPr>
            <w:rStyle w:val="Hipervnculo"/>
          </w:rPr>
          <w:t>Establecedor de estándares</w:t>
        </w:r>
      </w:hyperlink>
    </w:p>
    <w:p w14:paraId="20971F8E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59" w:history="1">
        <w:r w:rsidR="003E4730" w:rsidRPr="003E4730">
          <w:rPr>
            <w:rStyle w:val="Hipervnculo"/>
          </w:rPr>
          <w:t>Técnico</w:t>
        </w:r>
      </w:hyperlink>
    </w:p>
    <w:p w14:paraId="60A26134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60" w:history="1">
        <w:r w:rsidR="003E4730" w:rsidRPr="003E4730">
          <w:rPr>
            <w:rStyle w:val="Hipervnculo"/>
          </w:rPr>
          <w:t>Vinculación dentro de un informe</w:t>
        </w:r>
      </w:hyperlink>
    </w:p>
    <w:p w14:paraId="5077E0D4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61" w:history="1">
        <w:r w:rsidR="003E4730" w:rsidRPr="003E4730">
          <w:rPr>
            <w:rStyle w:val="Hipervnculo"/>
          </w:rPr>
          <w:t>Ejecutivo</w:t>
        </w:r>
      </w:hyperlink>
    </w:p>
    <w:p w14:paraId="21F91629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62" w:history="1">
        <w:r w:rsidR="003E4730" w:rsidRPr="003E4730">
          <w:rPr>
            <w:rStyle w:val="Hipervnculo"/>
          </w:rPr>
          <w:t>Establecedor de estándares</w:t>
        </w:r>
      </w:hyperlink>
    </w:p>
    <w:p w14:paraId="6BD3E102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63" w:history="1">
        <w:r w:rsidR="003E4730" w:rsidRPr="003E4730">
          <w:rPr>
            <w:rStyle w:val="Hipervnculo"/>
          </w:rPr>
          <w:t>Técnico</w:t>
        </w:r>
      </w:hyperlink>
    </w:p>
    <w:p w14:paraId="3A6BF9D2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64" w:history="1">
        <w:r w:rsidR="003E4730" w:rsidRPr="003E4730">
          <w:rPr>
            <w:rStyle w:val="Hipervnculo"/>
          </w:rPr>
          <w:t>Marcar datos como auditados o no auditados</w:t>
        </w:r>
      </w:hyperlink>
    </w:p>
    <w:p w14:paraId="5B5BBCF0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65" w:history="1">
        <w:r w:rsidR="003E4730" w:rsidRPr="003E4730">
          <w:rPr>
            <w:rStyle w:val="Hipervnculo"/>
          </w:rPr>
          <w:t>Ejecutivo</w:t>
        </w:r>
      </w:hyperlink>
    </w:p>
    <w:p w14:paraId="696C203F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66" w:history="1">
        <w:r w:rsidR="003E4730" w:rsidRPr="003E4730">
          <w:rPr>
            <w:rStyle w:val="Hipervnculo"/>
          </w:rPr>
          <w:t>Establecedor de estándares</w:t>
        </w:r>
      </w:hyperlink>
    </w:p>
    <w:p w14:paraId="741E01A7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67" w:history="1">
        <w:r w:rsidR="003E4730" w:rsidRPr="003E4730">
          <w:rPr>
            <w:rStyle w:val="Hipervnculo"/>
          </w:rPr>
          <w:t>Técnico</w:t>
        </w:r>
      </w:hyperlink>
    </w:p>
    <w:p w14:paraId="3E324BAB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68" w:history="1">
        <w:r w:rsidR="003E4730" w:rsidRPr="003E4730">
          <w:rPr>
            <w:rStyle w:val="Hipervnculo"/>
          </w:rPr>
          <w:t>Proporcionar metadatos adicionales</w:t>
        </w:r>
      </w:hyperlink>
    </w:p>
    <w:p w14:paraId="2A8DBD75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69" w:history="1">
        <w:r w:rsidR="003E4730" w:rsidRPr="003E4730">
          <w:rPr>
            <w:rStyle w:val="Hipervnculo"/>
          </w:rPr>
          <w:t>Ejecutivo</w:t>
        </w:r>
      </w:hyperlink>
    </w:p>
    <w:p w14:paraId="1AA9FF48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70" w:history="1">
        <w:r w:rsidR="003E4730" w:rsidRPr="003E4730">
          <w:rPr>
            <w:rStyle w:val="Hipervnculo"/>
          </w:rPr>
          <w:t>Establecedor de estándares</w:t>
        </w:r>
      </w:hyperlink>
    </w:p>
    <w:p w14:paraId="06B33577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71" w:history="1">
        <w:r w:rsidR="003E4730" w:rsidRPr="003E4730">
          <w:rPr>
            <w:rStyle w:val="Hipervnculo"/>
          </w:rPr>
          <w:t>Técnico</w:t>
        </w:r>
      </w:hyperlink>
    </w:p>
    <w:p w14:paraId="2416D493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72" w:history="1">
        <w:r w:rsidR="003E4730" w:rsidRPr="003E4730">
          <w:rPr>
            <w:rStyle w:val="Hipervnculo"/>
          </w:rPr>
          <w:t>Uso de datos de otros estándares</w:t>
        </w:r>
      </w:hyperlink>
    </w:p>
    <w:p w14:paraId="1AE5C3AD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73" w:history="1">
        <w:r w:rsidR="003E4730" w:rsidRPr="003E4730">
          <w:rPr>
            <w:rStyle w:val="Hipervnculo"/>
          </w:rPr>
          <w:t>Ejecutivo</w:t>
        </w:r>
      </w:hyperlink>
    </w:p>
    <w:p w14:paraId="7B908721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74" w:history="1">
        <w:r w:rsidR="003E4730" w:rsidRPr="003E4730">
          <w:rPr>
            <w:rStyle w:val="Hipervnculo"/>
          </w:rPr>
          <w:t>Establecedor de estándares</w:t>
        </w:r>
      </w:hyperlink>
    </w:p>
    <w:p w14:paraId="729D0189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75" w:history="1">
        <w:r w:rsidR="003E4730" w:rsidRPr="003E4730">
          <w:rPr>
            <w:rStyle w:val="Hipervnculo"/>
          </w:rPr>
          <w:t>Técnico</w:t>
        </w:r>
      </w:hyperlink>
    </w:p>
    <w:p w14:paraId="0C50CB0D" w14:textId="77777777" w:rsidR="003E4730" w:rsidRPr="003E4730" w:rsidRDefault="00D4794F" w:rsidP="003E4730">
      <w:pPr>
        <w:numPr>
          <w:ilvl w:val="1"/>
          <w:numId w:val="5"/>
        </w:numPr>
        <w:jc w:val="both"/>
      </w:pPr>
      <w:hyperlink r:id="rId76" w:history="1">
        <w:r w:rsidR="003E4730" w:rsidRPr="003E4730">
          <w:rPr>
            <w:rStyle w:val="Hipervnculo"/>
          </w:rPr>
          <w:t>Trabajar con múltiples estándares de sostenibilidad</w:t>
        </w:r>
      </w:hyperlink>
    </w:p>
    <w:p w14:paraId="128A62F4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77" w:history="1">
        <w:r w:rsidR="003E4730" w:rsidRPr="003E4730">
          <w:rPr>
            <w:rStyle w:val="Hipervnculo"/>
          </w:rPr>
          <w:t>Conversión de unidades/derivación de datos</w:t>
        </w:r>
      </w:hyperlink>
    </w:p>
    <w:p w14:paraId="6202EB14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78" w:history="1">
        <w:r w:rsidR="003E4730" w:rsidRPr="003E4730">
          <w:rPr>
            <w:rStyle w:val="Hipervnculo"/>
          </w:rPr>
          <w:t>Ejecutivo</w:t>
        </w:r>
      </w:hyperlink>
    </w:p>
    <w:p w14:paraId="25014033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79" w:history="1">
        <w:r w:rsidR="003E4730" w:rsidRPr="003E4730">
          <w:rPr>
            <w:rStyle w:val="Hipervnculo"/>
          </w:rPr>
          <w:t>Establecedor de estándares</w:t>
        </w:r>
      </w:hyperlink>
    </w:p>
    <w:p w14:paraId="3C08A784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80" w:history="1">
        <w:r w:rsidR="003E4730" w:rsidRPr="003E4730">
          <w:rPr>
            <w:rStyle w:val="Hipervnculo"/>
          </w:rPr>
          <w:t>Técnico</w:t>
        </w:r>
      </w:hyperlink>
    </w:p>
    <w:p w14:paraId="330F3544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81" w:history="1">
        <w:r w:rsidR="003E4730" w:rsidRPr="003E4730">
          <w:rPr>
            <w:rStyle w:val="Hipervnculo"/>
          </w:rPr>
          <w:t>Registro de comparabilidad entre taxonomías (concordancia)</w:t>
        </w:r>
      </w:hyperlink>
    </w:p>
    <w:p w14:paraId="697B4206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82" w:history="1">
        <w:r w:rsidR="003E4730" w:rsidRPr="003E4730">
          <w:rPr>
            <w:rStyle w:val="Hipervnculo"/>
          </w:rPr>
          <w:t>Ejecutivo</w:t>
        </w:r>
      </w:hyperlink>
    </w:p>
    <w:p w14:paraId="38A0D598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83" w:history="1">
        <w:r w:rsidR="003E4730" w:rsidRPr="003E4730">
          <w:rPr>
            <w:rStyle w:val="Hipervnculo"/>
          </w:rPr>
          <w:t>Establecedor de estándares</w:t>
        </w:r>
      </w:hyperlink>
    </w:p>
    <w:p w14:paraId="0D2EF3E6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84" w:history="1">
        <w:r w:rsidR="003E4730" w:rsidRPr="003E4730">
          <w:rPr>
            <w:rStyle w:val="Hipervnculo"/>
          </w:rPr>
          <w:t>Técnico</w:t>
        </w:r>
      </w:hyperlink>
    </w:p>
    <w:p w14:paraId="5D4F8390" w14:textId="77777777" w:rsidR="003E4730" w:rsidRPr="003E4730" w:rsidRDefault="00D4794F" w:rsidP="003E4730">
      <w:pPr>
        <w:numPr>
          <w:ilvl w:val="2"/>
          <w:numId w:val="5"/>
        </w:numPr>
        <w:jc w:val="both"/>
      </w:pPr>
      <w:hyperlink r:id="rId85" w:history="1">
        <w:r w:rsidR="003E4730" w:rsidRPr="003E4730">
          <w:rPr>
            <w:rStyle w:val="Hipervnculo"/>
          </w:rPr>
          <w:t>Bloques de construcción compartidos, pero personalizados</w:t>
        </w:r>
      </w:hyperlink>
    </w:p>
    <w:p w14:paraId="4E771051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86" w:history="1">
        <w:r w:rsidR="003E4730" w:rsidRPr="003E4730">
          <w:rPr>
            <w:rStyle w:val="Hipervnculo"/>
          </w:rPr>
          <w:t>Ejecutivo</w:t>
        </w:r>
      </w:hyperlink>
    </w:p>
    <w:p w14:paraId="48B9C792" w14:textId="77777777" w:rsidR="003E4730" w:rsidRPr="003E4730" w:rsidRDefault="00D4794F" w:rsidP="003E4730">
      <w:pPr>
        <w:numPr>
          <w:ilvl w:val="3"/>
          <w:numId w:val="5"/>
        </w:numPr>
        <w:spacing w:after="0"/>
        <w:jc w:val="both"/>
      </w:pPr>
      <w:hyperlink r:id="rId87" w:history="1">
        <w:r w:rsidR="003E4730" w:rsidRPr="003E4730">
          <w:rPr>
            <w:rStyle w:val="Hipervnculo"/>
          </w:rPr>
          <w:t>Establecedor de estándares</w:t>
        </w:r>
      </w:hyperlink>
    </w:p>
    <w:p w14:paraId="1A2A0535" w14:textId="77777777" w:rsidR="003E4730" w:rsidRPr="003E4730" w:rsidRDefault="00D4794F" w:rsidP="003E4730">
      <w:pPr>
        <w:numPr>
          <w:ilvl w:val="3"/>
          <w:numId w:val="5"/>
        </w:numPr>
        <w:jc w:val="both"/>
      </w:pPr>
      <w:hyperlink r:id="rId88" w:history="1">
        <w:r w:rsidR="003E4730" w:rsidRPr="003E4730">
          <w:rPr>
            <w:rStyle w:val="Hipervnculo"/>
          </w:rPr>
          <w:t>Técnico</w:t>
        </w:r>
      </w:hyperlink>
    </w:p>
    <w:p w14:paraId="59167B93" w14:textId="77777777" w:rsidR="003E4730" w:rsidRPr="003E4730" w:rsidRDefault="00D4794F" w:rsidP="003E4730">
      <w:pPr>
        <w:numPr>
          <w:ilvl w:val="0"/>
          <w:numId w:val="5"/>
        </w:numPr>
        <w:jc w:val="both"/>
      </w:pPr>
      <w:hyperlink r:id="rId89" w:history="1">
        <w:r w:rsidR="003E4730" w:rsidRPr="003E4730">
          <w:rPr>
            <w:rStyle w:val="Hipervnculo"/>
          </w:rPr>
          <w:t>Mejores prácticas propuestas</w:t>
        </w:r>
      </w:hyperlink>
    </w:p>
    <w:p w14:paraId="4E8F8E84" w14:textId="77777777" w:rsidR="003E4730" w:rsidRPr="003E4730" w:rsidRDefault="00D4794F" w:rsidP="003E4730">
      <w:pPr>
        <w:numPr>
          <w:ilvl w:val="1"/>
          <w:numId w:val="5"/>
        </w:numPr>
        <w:spacing w:after="0"/>
        <w:jc w:val="both"/>
      </w:pPr>
      <w:hyperlink r:id="rId90" w:history="1">
        <w:r w:rsidR="003E4730" w:rsidRPr="003E4730">
          <w:rPr>
            <w:rStyle w:val="Hipervnculo"/>
          </w:rPr>
          <w:t>Consideraciones para la vinculación entre documentos (recolector/regulador)</w:t>
        </w:r>
      </w:hyperlink>
    </w:p>
    <w:p w14:paraId="745B4F2B" w14:textId="77777777" w:rsidR="003E4730" w:rsidRPr="003E4730" w:rsidRDefault="00D4794F" w:rsidP="003E4730">
      <w:pPr>
        <w:numPr>
          <w:ilvl w:val="1"/>
          <w:numId w:val="5"/>
        </w:numPr>
        <w:spacing w:after="0"/>
        <w:jc w:val="both"/>
      </w:pPr>
      <w:hyperlink r:id="rId91" w:history="1">
        <w:r w:rsidR="003E4730" w:rsidRPr="003E4730">
          <w:rPr>
            <w:rStyle w:val="Hipervnculo"/>
          </w:rPr>
          <w:t>Consideraciones para la vinculación entre documentos (preparador)</w:t>
        </w:r>
      </w:hyperlink>
    </w:p>
    <w:p w14:paraId="6DF91011" w14:textId="77777777" w:rsidR="003E4730" w:rsidRPr="003E4730" w:rsidRDefault="00D4794F" w:rsidP="003E4730">
      <w:pPr>
        <w:numPr>
          <w:ilvl w:val="1"/>
          <w:numId w:val="5"/>
        </w:numPr>
        <w:spacing w:after="0"/>
        <w:jc w:val="both"/>
      </w:pPr>
      <w:hyperlink r:id="rId92" w:history="1">
        <w:r w:rsidR="003E4730" w:rsidRPr="003E4730">
          <w:rPr>
            <w:rStyle w:val="Hipervnculo"/>
          </w:rPr>
          <w:t>Mapeo entre taxonomías (consumidor)</w:t>
        </w:r>
      </w:hyperlink>
    </w:p>
    <w:p w14:paraId="06EA484D" w14:textId="77777777" w:rsidR="003E4730" w:rsidRPr="003E4730" w:rsidRDefault="00D4794F" w:rsidP="003E4730">
      <w:pPr>
        <w:numPr>
          <w:ilvl w:val="1"/>
          <w:numId w:val="5"/>
        </w:numPr>
        <w:spacing w:after="0"/>
        <w:jc w:val="both"/>
      </w:pPr>
      <w:hyperlink r:id="rId93" w:history="1">
        <w:r w:rsidR="003E4730" w:rsidRPr="003E4730">
          <w:rPr>
            <w:rStyle w:val="Hipervnculo"/>
          </w:rPr>
          <w:t>Mapeo entre taxonomías (autor de taxonomía o emisor de estándares)</w:t>
        </w:r>
      </w:hyperlink>
    </w:p>
    <w:p w14:paraId="64E469A4" w14:textId="77777777" w:rsidR="003E4730" w:rsidRPr="003E4730" w:rsidRDefault="00D4794F" w:rsidP="003E4730">
      <w:pPr>
        <w:numPr>
          <w:ilvl w:val="1"/>
          <w:numId w:val="5"/>
        </w:numPr>
        <w:jc w:val="both"/>
      </w:pPr>
      <w:hyperlink r:id="rId94" w:history="1">
        <w:r w:rsidR="003E4730" w:rsidRPr="003E4730">
          <w:rPr>
            <w:rStyle w:val="Hipervnculo"/>
          </w:rPr>
          <w:t>Informe de datos de sostenibilidad</w:t>
        </w:r>
      </w:hyperlink>
    </w:p>
    <w:p w14:paraId="29B5B735" w14:textId="77777777" w:rsidR="003E4730" w:rsidRPr="003E4730" w:rsidRDefault="00D4794F" w:rsidP="003E4730">
      <w:pPr>
        <w:numPr>
          <w:ilvl w:val="0"/>
          <w:numId w:val="5"/>
        </w:numPr>
        <w:jc w:val="both"/>
      </w:pPr>
      <w:hyperlink r:id="rId95" w:history="1">
        <w:r w:rsidR="003E4730" w:rsidRPr="003E4730">
          <w:rPr>
            <w:rStyle w:val="Hipervnculo"/>
          </w:rPr>
          <w:t>Mapa del sitio</w:t>
        </w:r>
      </w:hyperlink>
    </w:p>
    <w:p w14:paraId="798BA8CB" w14:textId="77777777" w:rsidR="003E4730" w:rsidRDefault="003E4730" w:rsidP="003E4730">
      <w:pPr>
        <w:jc w:val="both"/>
      </w:pPr>
    </w:p>
    <w:p w14:paraId="49D23348" w14:textId="5E45B87D" w:rsidR="003E4730" w:rsidRPr="003E4730" w:rsidRDefault="003E4730" w:rsidP="003E4730">
      <w:pPr>
        <w:jc w:val="both"/>
      </w:pPr>
      <w:r w:rsidRPr="003E4730">
        <w:rPr>
          <w:noProof/>
        </w:rPr>
        <w:drawing>
          <wp:inline distT="0" distB="0" distL="0" distR="0" wp14:anchorId="04EB16B1" wp14:editId="723E6215">
            <wp:extent cx="449580" cy="152400"/>
            <wp:effectExtent l="0" t="0" r="7620" b="0"/>
            <wp:docPr id="2" name="Imagen 2" descr="Logotipo internacional de XBRL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o internacional de XBRL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26BA" w14:textId="5405CC88" w:rsidR="003E4730" w:rsidRPr="003E4730" w:rsidRDefault="003E4730" w:rsidP="003E4730">
      <w:pPr>
        <w:jc w:val="both"/>
      </w:pPr>
      <w:r w:rsidRPr="003E4730">
        <w:t>XBRL International es una organización global </w:t>
      </w:r>
      <w:r w:rsidRPr="003E4730">
        <w:rPr>
          <w:b/>
          <w:bCs/>
        </w:rPr>
        <w:t>sin fines de lucro</w:t>
      </w:r>
      <w:r w:rsidRPr="003E4730">
        <w:t> que opera en el </w:t>
      </w:r>
      <w:r w:rsidRPr="003E4730">
        <w:rPr>
          <w:b/>
          <w:bCs/>
        </w:rPr>
        <w:t>interés público</w:t>
      </w:r>
      <w:r w:rsidRPr="003E4730">
        <w:t>. Nuestro propósito es mejorar la rendición de </w:t>
      </w:r>
      <w:r w:rsidRPr="003E4730">
        <w:rPr>
          <w:b/>
          <w:bCs/>
        </w:rPr>
        <w:t>cuentas</w:t>
      </w:r>
      <w:r w:rsidRPr="003E4730">
        <w:t> y la </w:t>
      </w:r>
      <w:r w:rsidRPr="003E4730">
        <w:rPr>
          <w:b/>
          <w:bCs/>
        </w:rPr>
        <w:t>transparencia</w:t>
      </w:r>
      <w:r w:rsidRPr="003E4730">
        <w:t> del desempeño comercial a nivel mundial, proporcionando el </w:t>
      </w:r>
      <w:r w:rsidRPr="003E4730">
        <w:rPr>
          <w:b/>
          <w:bCs/>
        </w:rPr>
        <w:t>estándar de intercambio de datos abiertos</w:t>
      </w:r>
      <w:r w:rsidRPr="003E4730">
        <w:t> para la presentación de informes comerciales.</w:t>
      </w:r>
    </w:p>
    <w:p w14:paraId="270871AF" w14:textId="77777777" w:rsidR="003E4730" w:rsidRPr="003E4730" w:rsidRDefault="003E4730" w:rsidP="003E4730">
      <w:pPr>
        <w:jc w:val="both"/>
      </w:pPr>
    </w:p>
    <w:p w14:paraId="09FDFE53" w14:textId="77777777" w:rsidR="003E4730" w:rsidRPr="003E4730" w:rsidRDefault="003E4730" w:rsidP="003E4730">
      <w:pPr>
        <w:jc w:val="both"/>
      </w:pPr>
      <w:r w:rsidRPr="003E4730">
        <w:t>© 2001-2022 XBRL International Inc. Todos los derechos reservados.</w:t>
      </w:r>
    </w:p>
    <w:p w14:paraId="62A390EA" w14:textId="77777777" w:rsidR="003E4730" w:rsidRDefault="003E4730" w:rsidP="003E4730">
      <w:pPr>
        <w:jc w:val="both"/>
      </w:pPr>
    </w:p>
    <w:sectPr w:rsidR="003E47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376B0"/>
    <w:multiLevelType w:val="multilevel"/>
    <w:tmpl w:val="4364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4276D1"/>
    <w:multiLevelType w:val="multilevel"/>
    <w:tmpl w:val="1988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DA350E"/>
    <w:multiLevelType w:val="multilevel"/>
    <w:tmpl w:val="46BE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AC6BC4"/>
    <w:multiLevelType w:val="multilevel"/>
    <w:tmpl w:val="2388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21D59D4"/>
    <w:multiLevelType w:val="multilevel"/>
    <w:tmpl w:val="D9A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30"/>
    <w:rsid w:val="001A5E38"/>
    <w:rsid w:val="003E4730"/>
    <w:rsid w:val="00A476C0"/>
    <w:rsid w:val="00D4794F"/>
    <w:rsid w:val="00E25963"/>
    <w:rsid w:val="00F240EE"/>
    <w:rsid w:val="00F815A2"/>
    <w:rsid w:val="00FD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EB2A9"/>
  <w15:chartTrackingRefBased/>
  <w15:docId w15:val="{2B1F1E95-8FCF-401F-A4FB-A18E1AEA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E47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47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45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05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97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0215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sd.xbrl.org/explanations/providing-richer-sustainability-information/code-lists-to-share-between-taxonomies/" TargetMode="External"/><Relationship Id="rId21" Type="http://schemas.openxmlformats.org/officeDocument/2006/relationships/hyperlink" Target="https://dsd.xbrl.org/explanations/reporting-sustainability-data-using-inline-xbrl/xbrl-json-for-report-analysis/" TargetMode="External"/><Relationship Id="rId42" Type="http://schemas.openxmlformats.org/officeDocument/2006/relationships/hyperlink" Target="https://dsd.xbrl.org/challenges/reporting-sustainability-data-using-inline-xbrl/challenge-multiple-companies-report-same-concepts/technical/" TargetMode="External"/><Relationship Id="rId47" Type="http://schemas.openxmlformats.org/officeDocument/2006/relationships/hyperlink" Target="https://dsd.xbrl.org/challenges/reporting-sustainability-data-using-inline-xbrl/xbrl-json-for-report-analysis/" TargetMode="External"/><Relationship Id="rId63" Type="http://schemas.openxmlformats.org/officeDocument/2006/relationships/hyperlink" Target="https://dsd.xbrl.org/challenges/providing-richer-sustainability-information/linking-within-a-report/technical/" TargetMode="External"/><Relationship Id="rId68" Type="http://schemas.openxmlformats.org/officeDocument/2006/relationships/hyperlink" Target="https://dsd.xbrl.org/challenges/providing-richer-sustainability-information/challenge-providing-extra-meta-data/" TargetMode="External"/><Relationship Id="rId84" Type="http://schemas.openxmlformats.org/officeDocument/2006/relationships/hyperlink" Target="https://dsd.xbrl.org/challenges/working-with-multiple-sustainability-standards/tooling-for-taxonomy-connections-concordance/technical/" TargetMode="External"/><Relationship Id="rId89" Type="http://schemas.openxmlformats.org/officeDocument/2006/relationships/hyperlink" Target="https://dsd.xbrl.org/best-practices/" TargetMode="External"/><Relationship Id="rId16" Type="http://schemas.openxmlformats.org/officeDocument/2006/relationships/hyperlink" Target="https://www.xbrl.org/tag/sustainability/" TargetMode="External"/><Relationship Id="rId11" Type="http://schemas.openxmlformats.org/officeDocument/2006/relationships/hyperlink" Target="https://www.pwc.com/" TargetMode="External"/><Relationship Id="rId32" Type="http://schemas.openxmlformats.org/officeDocument/2006/relationships/hyperlink" Target="https://dsd.xbrl.org/best-practices/considerations-for-linking-between-documents/" TargetMode="External"/><Relationship Id="rId37" Type="http://schemas.openxmlformats.org/officeDocument/2006/relationships/hyperlink" Target="https://dsd.xbrl.org/challenges/" TargetMode="External"/><Relationship Id="rId53" Type="http://schemas.openxmlformats.org/officeDocument/2006/relationships/hyperlink" Target="https://dsd.xbrl.org/challenges/providing-richer-sustainability-information/code-lists-to-share-between-taxonomies/executive/" TargetMode="External"/><Relationship Id="rId58" Type="http://schemas.openxmlformats.org/officeDocument/2006/relationships/hyperlink" Target="https://dsd.xbrl.org/challenges/providing-richer-sustainability-information/linking-between-two-reports/standards-setter/" TargetMode="External"/><Relationship Id="rId74" Type="http://schemas.openxmlformats.org/officeDocument/2006/relationships/hyperlink" Target="https://dsd.xbrl.org/challenges/providing-richer-sustainability-information/using-data-from-other-standards/standards-setter/" TargetMode="External"/><Relationship Id="rId79" Type="http://schemas.openxmlformats.org/officeDocument/2006/relationships/hyperlink" Target="https://dsd.xbrl.org/challenges/working-with-multiple-sustainability-standards/challenge-converting-units-deriving-data/standards-setter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dsd.xbrl.org/best-practices/considerations-for-linking-between-documents/" TargetMode="External"/><Relationship Id="rId95" Type="http://schemas.openxmlformats.org/officeDocument/2006/relationships/hyperlink" Target="https://dsd.xbrl.org/site-map/" TargetMode="External"/><Relationship Id="rId22" Type="http://schemas.openxmlformats.org/officeDocument/2006/relationships/hyperlink" Target="https://dsd.xbrl.org/explanations/providing-richer-sustainability-information/linking-between-two-reports/" TargetMode="External"/><Relationship Id="rId27" Type="http://schemas.openxmlformats.org/officeDocument/2006/relationships/hyperlink" Target="https://dsd.xbrl.org/challenges/providing-richer-sustainability-information/linking-within-a-report/" TargetMode="External"/><Relationship Id="rId43" Type="http://schemas.openxmlformats.org/officeDocument/2006/relationships/hyperlink" Target="https://dsd.xbrl.org/challenges/reporting-sustainability-data-using-inline-xbrl/challenge-narrative-data-tagging-and-granularity/" TargetMode="External"/><Relationship Id="rId48" Type="http://schemas.openxmlformats.org/officeDocument/2006/relationships/hyperlink" Target="https://dsd.xbrl.org/challenges/reporting-sustainability-data-using-inline-xbrl/xbrl-json-for-report-analysis/executive/" TargetMode="External"/><Relationship Id="rId64" Type="http://schemas.openxmlformats.org/officeDocument/2006/relationships/hyperlink" Target="https://dsd.xbrl.org/challenges/providing-richer-sustainability-information/marking-data-as-audited-or-unaudited/" TargetMode="External"/><Relationship Id="rId69" Type="http://schemas.openxmlformats.org/officeDocument/2006/relationships/hyperlink" Target="https://dsd.xbrl.org/challenges/providing-richer-sustainability-information/challenge-providing-extra-meta-data/executive/" TargetMode="External"/><Relationship Id="rId80" Type="http://schemas.openxmlformats.org/officeDocument/2006/relationships/hyperlink" Target="https://dsd.xbrl.org/challenges/working-with-multiple-sustainability-standards/challenge-converting-units-deriving-data/technical/" TargetMode="External"/><Relationship Id="rId85" Type="http://schemas.openxmlformats.org/officeDocument/2006/relationships/hyperlink" Target="https://dsd.xbrl.org/challenges/working-with-multiple-sustainability-standards/shared-yet-bespoke-building-block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xbrl.org/digital-sustainability-disclosures/" TargetMode="External"/><Relationship Id="rId17" Type="http://schemas.openxmlformats.org/officeDocument/2006/relationships/hyperlink" Target="https://www.xbrl.org/tag/xbrl-international/" TargetMode="External"/><Relationship Id="rId25" Type="http://schemas.openxmlformats.org/officeDocument/2006/relationships/hyperlink" Target="https://dsd.xbrl.org/explanations/providing-richer-sustainability-information/marking-data-as-audited-or-unaudited/" TargetMode="External"/><Relationship Id="rId33" Type="http://schemas.openxmlformats.org/officeDocument/2006/relationships/hyperlink" Target="https://dsd.xbrl.org/best-practices/mapping-between-taxonomies/" TargetMode="External"/><Relationship Id="rId38" Type="http://schemas.openxmlformats.org/officeDocument/2006/relationships/hyperlink" Target="https://dsd.xbrl.org/challenges/reporting-sustainability-data-using-inline-xbrl/" TargetMode="External"/><Relationship Id="rId46" Type="http://schemas.openxmlformats.org/officeDocument/2006/relationships/hyperlink" Target="https://dsd.xbrl.org/challenges/reporting-sustainability-data-using-inline-xbrl/challenge-narrative-data-tagging-and-granularity/technical/" TargetMode="External"/><Relationship Id="rId59" Type="http://schemas.openxmlformats.org/officeDocument/2006/relationships/hyperlink" Target="https://dsd.xbrl.org/challenges/providing-richer-sustainability-information/linking-between-two-reports/technical/" TargetMode="External"/><Relationship Id="rId67" Type="http://schemas.openxmlformats.org/officeDocument/2006/relationships/hyperlink" Target="https://dsd.xbrl.org/challenges/providing-richer-sustainability-information/marking-data-as-audited-or-unaudited/technical/" TargetMode="External"/><Relationship Id="rId20" Type="http://schemas.openxmlformats.org/officeDocument/2006/relationships/hyperlink" Target="https://dsd.xbrl.org/explanations/reporting-sustainability-data-using-inline-xbrl/challenge-narrative-data-tagging-and-granularity/" TargetMode="External"/><Relationship Id="rId41" Type="http://schemas.openxmlformats.org/officeDocument/2006/relationships/hyperlink" Target="https://dsd.xbrl.org/challenges/reporting-sustainability-data-using-inline-xbrl/challenge-multiple-companies-report-same-concepts/standards-setter/" TargetMode="External"/><Relationship Id="rId54" Type="http://schemas.openxmlformats.org/officeDocument/2006/relationships/hyperlink" Target="https://dsd.xbrl.org/challenges/providing-richer-sustainability-information/code-lists-to-share-between-taxonomies/standards-setter/" TargetMode="External"/><Relationship Id="rId62" Type="http://schemas.openxmlformats.org/officeDocument/2006/relationships/hyperlink" Target="https://dsd.xbrl.org/challenges/providing-richer-sustainability-information/linking-within-a-report/standards-setter/" TargetMode="External"/><Relationship Id="rId70" Type="http://schemas.openxmlformats.org/officeDocument/2006/relationships/hyperlink" Target="https://dsd.xbrl.org/challenges/providing-richer-sustainability-information/challenge-providing-extra-meta-data/standards-setter/" TargetMode="External"/><Relationship Id="rId75" Type="http://schemas.openxmlformats.org/officeDocument/2006/relationships/hyperlink" Target="https://dsd.xbrl.org/challenges/providing-richer-sustainability-information/using-data-from-other-standards/technical/" TargetMode="External"/><Relationship Id="rId83" Type="http://schemas.openxmlformats.org/officeDocument/2006/relationships/hyperlink" Target="https://dsd.xbrl.org/challenges/working-with-multiple-sustainability-standards/tooling-for-taxonomy-connections-concordance/standards-setter/" TargetMode="External"/><Relationship Id="rId88" Type="http://schemas.openxmlformats.org/officeDocument/2006/relationships/hyperlink" Target="https://dsd.xbrl.org/challenges/working-with-multiple-sustainability-standards/shared-yet-bespoke-building-blocks/technical1/" TargetMode="External"/><Relationship Id="rId91" Type="http://schemas.openxmlformats.org/officeDocument/2006/relationships/hyperlink" Target="https://dsd.xbrl.org/best-practices/preparer-considerations-for-linking-between-documents/" TargetMode="External"/><Relationship Id="rId96" Type="http://schemas.openxmlformats.org/officeDocument/2006/relationships/hyperlink" Target="https://www.xbrl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xbrl.org/news/digital-sustainability-disclosures/" TargetMode="External"/><Relationship Id="rId15" Type="http://schemas.openxmlformats.org/officeDocument/2006/relationships/hyperlink" Target="https://www.xbrl.org/tag/esg/" TargetMode="External"/><Relationship Id="rId23" Type="http://schemas.openxmlformats.org/officeDocument/2006/relationships/hyperlink" Target="https://dsd.xbrl.org/explanations/providing-richer-sustainability-information/using-data-from-other-standards/" TargetMode="External"/><Relationship Id="rId28" Type="http://schemas.openxmlformats.org/officeDocument/2006/relationships/hyperlink" Target="https://dsd.xbrl.org/explanations/working-with-multiple-sustainability-standards/challenge-converting-units-deriving-data/" TargetMode="External"/><Relationship Id="rId36" Type="http://schemas.openxmlformats.org/officeDocument/2006/relationships/hyperlink" Target="https://dsd.xbrl.org/" TargetMode="External"/><Relationship Id="rId49" Type="http://schemas.openxmlformats.org/officeDocument/2006/relationships/hyperlink" Target="https://dsd.xbrl.org/challenges/reporting-sustainability-data-using-inline-xbrl/xbrl-json-for-report-analysis/standards-setter/" TargetMode="External"/><Relationship Id="rId57" Type="http://schemas.openxmlformats.org/officeDocument/2006/relationships/hyperlink" Target="https://dsd.xbrl.org/challenges/providing-richer-sustainability-information/linking-between-two-reports/executive/" TargetMode="External"/><Relationship Id="rId10" Type="http://schemas.openxmlformats.org/officeDocument/2006/relationships/hyperlink" Target="https://www.workiva.com/" TargetMode="External"/><Relationship Id="rId31" Type="http://schemas.openxmlformats.org/officeDocument/2006/relationships/hyperlink" Target="https://dsd.xbrl.org/best-practices/reporting-sustainability-data/" TargetMode="External"/><Relationship Id="rId44" Type="http://schemas.openxmlformats.org/officeDocument/2006/relationships/hyperlink" Target="https://dsd.xbrl.org/challenges/reporting-sustainability-data-using-inline-xbrl/challenge-narrative-data-tagging-and-granularity/executive/" TargetMode="External"/><Relationship Id="rId52" Type="http://schemas.openxmlformats.org/officeDocument/2006/relationships/hyperlink" Target="https://dsd.xbrl.org/challenges/providing-richer-sustainability-information/code-lists-to-share-between-taxonomies/" TargetMode="External"/><Relationship Id="rId60" Type="http://schemas.openxmlformats.org/officeDocument/2006/relationships/hyperlink" Target="https://dsd.xbrl.org/challenges/providing-richer-sustainability-information/linking-within-a-report/" TargetMode="External"/><Relationship Id="rId65" Type="http://schemas.openxmlformats.org/officeDocument/2006/relationships/hyperlink" Target="https://dsd.xbrl.org/challenges/providing-richer-sustainability-information/marking-data-as-audited-or-unaudited/executive/" TargetMode="External"/><Relationship Id="rId73" Type="http://schemas.openxmlformats.org/officeDocument/2006/relationships/hyperlink" Target="https://dsd.xbrl.org/challenges/providing-richer-sustainability-information/using-data-from-other-standards/executive/" TargetMode="External"/><Relationship Id="rId78" Type="http://schemas.openxmlformats.org/officeDocument/2006/relationships/hyperlink" Target="https://dsd.xbrl.org/challenges/working-with-multiple-sustainability-standards/challenge-converting-units-deriving-data/executive/" TargetMode="External"/><Relationship Id="rId81" Type="http://schemas.openxmlformats.org/officeDocument/2006/relationships/hyperlink" Target="https://dsd.xbrl.org/challenges/working-with-multiple-sustainability-standards/tooling-for-taxonomy-connections-concordance/" TargetMode="External"/><Relationship Id="rId86" Type="http://schemas.openxmlformats.org/officeDocument/2006/relationships/hyperlink" Target="https://dsd.xbrl.org/challenges/working-with-multiple-sustainability-standards/shared-yet-bespoke-building-blocks/executive/" TargetMode="External"/><Relationship Id="rId94" Type="http://schemas.openxmlformats.org/officeDocument/2006/relationships/hyperlink" Target="https://dsd.xbrl.org/best-practices/reporting-sustainability-data/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mpactmanagementproject.com/" TargetMode="External"/><Relationship Id="rId13" Type="http://schemas.openxmlformats.org/officeDocument/2006/relationships/hyperlink" Target="https://dsd.xbrl.org/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s://dsd.xbrl.org/challenges/reporting-sustainability-data-using-inline-xbrl/challenge-multiple-companies-report-same-concepts/" TargetMode="External"/><Relationship Id="rId34" Type="http://schemas.openxmlformats.org/officeDocument/2006/relationships/hyperlink" Target="https://dsd.xbrl.org/best-practices/preparer-considerations-for-linking-between-documents/" TargetMode="External"/><Relationship Id="rId50" Type="http://schemas.openxmlformats.org/officeDocument/2006/relationships/hyperlink" Target="https://dsd.xbrl.org/challenges/reporting-sustainability-data-using-inline-xbrl/xbrl-json-for-report-analysis/technical/" TargetMode="External"/><Relationship Id="rId55" Type="http://schemas.openxmlformats.org/officeDocument/2006/relationships/hyperlink" Target="https://dsd.xbrl.org/challenges/providing-richer-sustainability-information/code-lists-to-share-between-taxonomies/technical/" TargetMode="External"/><Relationship Id="rId76" Type="http://schemas.openxmlformats.org/officeDocument/2006/relationships/hyperlink" Target="https://dsd.xbrl.org/challenges/working-with-multiple-sustainability-standards/" TargetMode="External"/><Relationship Id="rId97" Type="http://schemas.openxmlformats.org/officeDocument/2006/relationships/image" Target="media/image3.png"/><Relationship Id="rId7" Type="http://schemas.openxmlformats.org/officeDocument/2006/relationships/hyperlink" Target="https://www.xbrl.org/news/xbrl-drives-esg-analytics-in-india/" TargetMode="External"/><Relationship Id="rId71" Type="http://schemas.openxmlformats.org/officeDocument/2006/relationships/hyperlink" Target="https://dsd.xbrl.org/challenges/providing-richer-sustainability-information/challenge-providing-extra-meta-data/technical/" TargetMode="External"/><Relationship Id="rId92" Type="http://schemas.openxmlformats.org/officeDocument/2006/relationships/hyperlink" Target="https://dsd.xbrl.org/best-practices/mapping-between-taxonomies-consumer/" TargetMode="External"/><Relationship Id="rId2" Type="http://schemas.openxmlformats.org/officeDocument/2006/relationships/styles" Target="styles.xml"/><Relationship Id="rId29" Type="http://schemas.openxmlformats.org/officeDocument/2006/relationships/hyperlink" Target="https://dsd.xbrl.org/explanations/working-with-multiple-sustainability-standards/tooling-for-taxonomy-connections-concordance/" TargetMode="External"/><Relationship Id="rId24" Type="http://schemas.openxmlformats.org/officeDocument/2006/relationships/hyperlink" Target="https://dsd.xbrl.org/explanations/providing-richer-sustainability-information/challenge-providing-extra-meta-data/" TargetMode="External"/><Relationship Id="rId40" Type="http://schemas.openxmlformats.org/officeDocument/2006/relationships/hyperlink" Target="https://dsd.xbrl.org/challenges/reporting-sustainability-data-using-inline-xbrl/challenge-multiple-companies-report-same-concepts/executive/" TargetMode="External"/><Relationship Id="rId45" Type="http://schemas.openxmlformats.org/officeDocument/2006/relationships/hyperlink" Target="https://dsd.xbrl.org/challenges/reporting-sustainability-data-using-inline-xbrl/challenge-narrative-data-tagging-and-granularity/standards-setter/" TargetMode="External"/><Relationship Id="rId66" Type="http://schemas.openxmlformats.org/officeDocument/2006/relationships/hyperlink" Target="https://dsd.xbrl.org/challenges/providing-richer-sustainability-information/marking-data-as-audited-or-unaudited/standards-setter/" TargetMode="External"/><Relationship Id="rId87" Type="http://schemas.openxmlformats.org/officeDocument/2006/relationships/hyperlink" Target="https://dsd.xbrl.org/challenges/working-with-multiple-sustainability-standards/shared-yet-bespoke-building-blocks/standards-setter/" TargetMode="External"/><Relationship Id="rId61" Type="http://schemas.openxmlformats.org/officeDocument/2006/relationships/hyperlink" Target="https://dsd.xbrl.org/challenges/providing-richer-sustainability-information/linking-within-a-report/executive/" TargetMode="External"/><Relationship Id="rId82" Type="http://schemas.openxmlformats.org/officeDocument/2006/relationships/hyperlink" Target="https://dsd.xbrl.org/challenges/working-with-multiple-sustainability-standards/tooling-for-taxonomy-connections-concordance/executive/" TargetMode="External"/><Relationship Id="rId19" Type="http://schemas.openxmlformats.org/officeDocument/2006/relationships/hyperlink" Target="https://dsd.xbrl.org/explanations/reporting-sustainability-data-using-inline-xbrl/challenge-multiple-companies-report-same-concepts/" TargetMode="External"/><Relationship Id="rId14" Type="http://schemas.openxmlformats.org/officeDocument/2006/relationships/hyperlink" Target="https://www.xbrl.org/tag/podcast/" TargetMode="External"/><Relationship Id="rId30" Type="http://schemas.openxmlformats.org/officeDocument/2006/relationships/hyperlink" Target="https://dsd.xbrl.org/challenges/working-with-multiple-sustainability-standards/shared-yet-bespoke-building-blocks/" TargetMode="External"/><Relationship Id="rId35" Type="http://schemas.openxmlformats.org/officeDocument/2006/relationships/hyperlink" Target="https://dsd.xbrl.org/best-practices/mapping-between-taxonomies-consumer/" TargetMode="External"/><Relationship Id="rId56" Type="http://schemas.openxmlformats.org/officeDocument/2006/relationships/hyperlink" Target="https://dsd.xbrl.org/challenges/providing-richer-sustainability-information/linking-between-two-reports/" TargetMode="External"/><Relationship Id="rId77" Type="http://schemas.openxmlformats.org/officeDocument/2006/relationships/hyperlink" Target="https://dsd.xbrl.org/challenges/working-with-multiple-sustainability-standards/challenge-converting-units-deriving-data/" TargetMode="External"/><Relationship Id="rId8" Type="http://schemas.openxmlformats.org/officeDocument/2006/relationships/hyperlink" Target="https://tpfii.org/" TargetMode="External"/><Relationship Id="rId51" Type="http://schemas.openxmlformats.org/officeDocument/2006/relationships/hyperlink" Target="https://dsd.xbrl.org/challenges/providing-richer-sustainability-information/" TargetMode="External"/><Relationship Id="rId72" Type="http://schemas.openxmlformats.org/officeDocument/2006/relationships/hyperlink" Target="https://dsd.xbrl.org/challenges/providing-richer-sustainability-information/using-data-from-other-standards/" TargetMode="External"/><Relationship Id="rId93" Type="http://schemas.openxmlformats.org/officeDocument/2006/relationships/hyperlink" Target="https://dsd.xbrl.org/best-practices/mapping-between-taxonomies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2864</Words>
  <Characters>15754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RANGEL MENDEZ</dc:creator>
  <cp:keywords/>
  <dc:description/>
  <cp:lastModifiedBy>RAUL RANGEL MENDEZ</cp:lastModifiedBy>
  <cp:revision>6</cp:revision>
  <dcterms:created xsi:type="dcterms:W3CDTF">2022-12-06T18:24:00Z</dcterms:created>
  <dcterms:modified xsi:type="dcterms:W3CDTF">2023-01-10T03:11:00Z</dcterms:modified>
</cp:coreProperties>
</file>