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4D46" w14:textId="57C25541" w:rsidR="00E82B5A" w:rsidRDefault="00E82B5A" w:rsidP="00970F63">
      <w:pPr>
        <w:spacing w:after="0"/>
      </w:pPr>
      <w:bookmarkStart w:id="0" w:name="_Hlk133862972"/>
      <w:r w:rsidRPr="00E82B5A">
        <w:t>Guía de cálculos</w:t>
      </w:r>
    </w:p>
    <w:bookmarkEnd w:id="0"/>
    <w:p w14:paraId="4AE3A897" w14:textId="3BEB03D0" w:rsidR="00E82B5A" w:rsidRPr="00E82B5A" w:rsidRDefault="00E82B5A" w:rsidP="00E82B5A"/>
    <w:p w14:paraId="1AC77882" w14:textId="43475F99" w:rsidR="00E82B5A" w:rsidRPr="00E82B5A" w:rsidRDefault="00E82B5A" w:rsidP="00E82B5A">
      <w:r w:rsidRPr="00E82B5A">
        <w:rPr>
          <w:noProof/>
        </w:rPr>
        <w:drawing>
          <wp:inline distT="0" distB="0" distL="0" distR="0" wp14:anchorId="4E22A895" wp14:editId="08FF4003">
            <wp:extent cx="5612130" cy="37414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9535385" w14:textId="77777777" w:rsidR="005657BC" w:rsidRPr="00E82B5A" w:rsidRDefault="005657BC" w:rsidP="005657BC">
      <w:r w:rsidRPr="00E82B5A">
        <w:t>Publicado el marzo 27, 2023 por </w:t>
      </w:r>
      <w:hyperlink r:id="rId6" w:history="1">
        <w:r w:rsidRPr="00E82B5A">
          <w:rPr>
            <w:rStyle w:val="Hipervnculo"/>
          </w:rPr>
          <w:t>Editor</w:t>
        </w:r>
      </w:hyperlink>
    </w:p>
    <w:p w14:paraId="7166C9EC" w14:textId="77777777" w:rsidR="00E82B5A" w:rsidRPr="00E82B5A" w:rsidRDefault="00E82B5A" w:rsidP="005657BC">
      <w:pPr>
        <w:jc w:val="both"/>
      </w:pPr>
      <w:r w:rsidRPr="00E82B5A">
        <w:t>Tras la publicación de la especificación Cálculos 1.1 como Recomendación XBRL el mes pasado, el Consejo Internacional de Mejores Prácticas XBRL aprobó esta semana una nueva guía sobre procesos óptimos para adoptar Cálculos 1.1.</w:t>
      </w:r>
    </w:p>
    <w:p w14:paraId="0F5D5381" w14:textId="77777777" w:rsidR="00E82B5A" w:rsidRPr="00E82B5A" w:rsidRDefault="00E82B5A" w:rsidP="005657BC">
      <w:pPr>
        <w:jc w:val="both"/>
      </w:pPr>
      <w:r w:rsidRPr="00E82B5A">
        <w:t>Los cálculos forman una parte importante de la validación de totales y subtotales en los informes, lo que ayuda a evitar errores al verificar la consistencia de la aritmética que aparece en la página, pero cuando los números se escalan (informes en miles o millones), ¡el proceso de redondeo puede afectar la precisión!</w:t>
      </w:r>
    </w:p>
    <w:p w14:paraId="0A593D94" w14:textId="77777777" w:rsidR="00E82B5A" w:rsidRPr="00E82B5A" w:rsidRDefault="00E82B5A" w:rsidP="005657BC">
      <w:pPr>
        <w:jc w:val="both"/>
      </w:pPr>
      <w:r w:rsidRPr="00E82B5A">
        <w:t>La nueva guía ofrece un resumen de la mejor manera de hacer la transición a Cálculos 1.1 para autores de taxonomía, recopiladores de datos, vendedores de software y preparadores, ¡y será una lectura útil para cualquiera que se encuentre con la nueva especificación en los próximos meses!</w:t>
      </w:r>
    </w:p>
    <w:p w14:paraId="1C9C15B5" w14:textId="77777777" w:rsidR="00E82B5A" w:rsidRPr="00E82B5A" w:rsidRDefault="00E82B5A" w:rsidP="005657BC">
      <w:pPr>
        <w:jc w:val="both"/>
      </w:pPr>
      <w:r w:rsidRPr="00E82B5A">
        <w:t>La guía ahora se puede encontrar en el </w:t>
      </w:r>
      <w:hyperlink r:id="rId7" w:tgtFrame="_blank" w:history="1">
        <w:r w:rsidRPr="00E82B5A">
          <w:rPr>
            <w:rStyle w:val="Hipervnculo"/>
          </w:rPr>
          <w:t>sitio web de XBRL International</w:t>
        </w:r>
      </w:hyperlink>
      <w:r w:rsidRPr="00E82B5A">
        <w:t>.</w:t>
      </w:r>
    </w:p>
    <w:p w14:paraId="2AF98A69" w14:textId="77777777" w:rsidR="00E82B5A" w:rsidRPr="00E82B5A" w:rsidRDefault="00372828" w:rsidP="00E82B5A">
      <w:hyperlink r:id="rId8" w:history="1">
        <w:r w:rsidR="00E82B5A" w:rsidRPr="00E82B5A">
          <w:rPr>
            <w:rStyle w:val="Hipervnculo"/>
          </w:rPr>
          <w:t>CALC 1.1</w:t>
        </w:r>
      </w:hyperlink>
      <w:r w:rsidR="00E82B5A" w:rsidRPr="00E82B5A">
        <w:t> </w:t>
      </w:r>
      <w:hyperlink r:id="rId9" w:history="1">
        <w:r w:rsidR="00E82B5A" w:rsidRPr="00E82B5A">
          <w:rPr>
            <w:rStyle w:val="Hipervnculo"/>
          </w:rPr>
          <w:t>CÁLCULOS</w:t>
        </w:r>
      </w:hyperlink>
      <w:r w:rsidR="00E82B5A" w:rsidRPr="00E82B5A">
        <w:t> </w:t>
      </w:r>
      <w:hyperlink r:id="rId10" w:history="1">
        <w:r w:rsidR="00E82B5A" w:rsidRPr="00E82B5A">
          <w:rPr>
            <w:rStyle w:val="Hipervnculo"/>
          </w:rPr>
          <w:t>SPEC</w:t>
        </w:r>
      </w:hyperlink>
      <w:r w:rsidR="00E82B5A" w:rsidRPr="00E82B5A">
        <w:t> </w:t>
      </w:r>
      <w:hyperlink r:id="rId11" w:history="1">
        <w:r w:rsidR="00E82B5A" w:rsidRPr="00E82B5A">
          <w:rPr>
            <w:rStyle w:val="Hipervnculo"/>
          </w:rPr>
          <w:t>XII NOTICIAS</w:t>
        </w:r>
      </w:hyperlink>
    </w:p>
    <w:p w14:paraId="423FA6D3" w14:textId="0959AC0A" w:rsidR="00E82B5A" w:rsidRDefault="00E82B5A" w:rsidP="00E82B5A"/>
    <w:p w14:paraId="50299FF9" w14:textId="01A83E31" w:rsidR="00372828" w:rsidRDefault="00372828" w:rsidP="00E82B5A"/>
    <w:p w14:paraId="2E669805" w14:textId="30E2D6D4" w:rsidR="00372828" w:rsidRDefault="00372828" w:rsidP="00E82B5A"/>
    <w:p w14:paraId="47BD8651" w14:textId="7D2EB488" w:rsidR="00E82B5A" w:rsidRPr="00E82B5A" w:rsidRDefault="00E82B5A" w:rsidP="00E82B5A">
      <w:r w:rsidRPr="00E82B5A">
        <w:rPr>
          <w:noProof/>
        </w:rPr>
        <w:lastRenderedPageBreak/>
        <w:drawing>
          <wp:inline distT="0" distB="0" distL="0" distR="0" wp14:anchorId="6BB26329" wp14:editId="6C1F05CF">
            <wp:extent cx="1333500" cy="548640"/>
            <wp:effectExtent l="0" t="0" r="0" b="3810"/>
            <wp:docPr id="2" name="Imagen 2" descr="XBR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548640"/>
                    </a:xfrm>
                    <a:prstGeom prst="rect">
                      <a:avLst/>
                    </a:prstGeom>
                    <a:noFill/>
                    <a:ln>
                      <a:noFill/>
                    </a:ln>
                  </pic:spPr>
                </pic:pic>
              </a:graphicData>
            </a:graphic>
          </wp:inline>
        </w:drawing>
      </w:r>
    </w:p>
    <w:p w14:paraId="4E5A0C79" w14:textId="77777777" w:rsidR="00E82B5A" w:rsidRPr="00E82B5A" w:rsidRDefault="00E82B5A" w:rsidP="00E82B5A">
      <w:pPr>
        <w:rPr>
          <w:b/>
          <w:bCs/>
        </w:rPr>
      </w:pPr>
      <w:r w:rsidRPr="00E82B5A">
        <w:rPr>
          <w:b/>
          <w:bCs/>
        </w:rPr>
        <w:t>Adopción de cálculos 1.1</w:t>
      </w:r>
    </w:p>
    <w:p w14:paraId="0B472986" w14:textId="77777777" w:rsidR="00E82B5A" w:rsidRPr="00E82B5A" w:rsidRDefault="00E82B5A" w:rsidP="00E82B5A">
      <w:r w:rsidRPr="00E82B5A">
        <w:t>Este documento es un </w:t>
      </w:r>
      <w:r w:rsidRPr="00E82B5A">
        <w:rPr>
          <w:i/>
          <w:iCs/>
        </w:rPr>
        <w:t>borrador de revisión</w:t>
      </w:r>
      <w:r w:rsidRPr="00E82B5A">
        <w:t>. Se invita a los lectores a enviar comentarios al </w:t>
      </w:r>
      <w:hyperlink r:id="rId14" w:history="1">
        <w:r w:rsidRPr="00E82B5A">
          <w:rPr>
            <w:rStyle w:val="Hipervnculo"/>
          </w:rPr>
          <w:t>Grupo de Trabajo de Diseño de Taxonomía</w:t>
        </w:r>
      </w:hyperlink>
      <w:r w:rsidRPr="00E82B5A">
        <w:t>.</w:t>
      </w:r>
    </w:p>
    <w:p w14:paraId="4410B014" w14:textId="77777777" w:rsidR="00E82B5A" w:rsidRPr="00E82B5A" w:rsidRDefault="00E82B5A" w:rsidP="00E82B5A">
      <w:pPr>
        <w:rPr>
          <w:b/>
          <w:bCs/>
        </w:rPr>
      </w:pPr>
      <w:r w:rsidRPr="00E82B5A">
        <w:rPr>
          <w:b/>
          <w:bCs/>
        </w:rPr>
        <w:t>Editores</w:t>
      </w:r>
    </w:p>
    <w:p w14:paraId="4F3FC429" w14:textId="77777777" w:rsidR="00E82B5A" w:rsidRPr="00E82B5A" w:rsidRDefault="00E82B5A" w:rsidP="00E82B5A">
      <w:pPr>
        <w:numPr>
          <w:ilvl w:val="0"/>
          <w:numId w:val="2"/>
        </w:numPr>
      </w:pPr>
      <w:r w:rsidRPr="00E82B5A">
        <w:t>Revathy Ramanan, </w:t>
      </w:r>
      <w:r w:rsidRPr="00E82B5A">
        <w:rPr>
          <w:i/>
          <w:iCs/>
        </w:rPr>
        <w:t>XBRL International Inc.</w:t>
      </w:r>
    </w:p>
    <w:p w14:paraId="5C552B04" w14:textId="77777777" w:rsidR="00E82B5A" w:rsidRPr="00E82B5A" w:rsidRDefault="00E82B5A" w:rsidP="00E82B5A">
      <w:pPr>
        <w:numPr>
          <w:ilvl w:val="0"/>
          <w:numId w:val="2"/>
        </w:numPr>
        <w:rPr>
          <w:lang w:val="en-US"/>
        </w:rPr>
      </w:pPr>
      <w:r w:rsidRPr="00E82B5A">
        <w:rPr>
          <w:lang w:val="en-US"/>
        </w:rPr>
        <w:t>Paul Warren, </w:t>
      </w:r>
      <w:r w:rsidRPr="00E82B5A">
        <w:rPr>
          <w:i/>
          <w:iCs/>
          <w:lang w:val="en-US"/>
        </w:rPr>
        <w:t>XBRL International Inc.</w:t>
      </w:r>
    </w:p>
    <w:p w14:paraId="4A60154A" w14:textId="77777777" w:rsidR="00E82B5A" w:rsidRPr="00E82B5A" w:rsidRDefault="00E82B5A" w:rsidP="00E82B5A">
      <w:pPr>
        <w:rPr>
          <w:b/>
          <w:bCs/>
        </w:rPr>
      </w:pPr>
      <w:r w:rsidRPr="00E82B5A">
        <w:rPr>
          <w:b/>
          <w:bCs/>
        </w:rPr>
        <w:t>Colaboradores</w:t>
      </w:r>
    </w:p>
    <w:p w14:paraId="631D93BE" w14:textId="77777777" w:rsidR="00E82B5A" w:rsidRPr="00E82B5A" w:rsidRDefault="00E82B5A" w:rsidP="00E82B5A">
      <w:pPr>
        <w:numPr>
          <w:ilvl w:val="0"/>
          <w:numId w:val="3"/>
        </w:numPr>
      </w:pPr>
      <w:r w:rsidRPr="00E82B5A">
        <w:t>Paul Beckmann, </w:t>
      </w:r>
      <w:r w:rsidRPr="00E82B5A">
        <w:rPr>
          <w:i/>
          <w:iCs/>
        </w:rPr>
        <w:t>AMANA</w:t>
      </w:r>
    </w:p>
    <w:p w14:paraId="00B9D464" w14:textId="77777777" w:rsidR="00E82B5A" w:rsidRPr="00E82B5A" w:rsidRDefault="00E82B5A" w:rsidP="00E82B5A">
      <w:pPr>
        <w:numPr>
          <w:ilvl w:val="0"/>
          <w:numId w:val="3"/>
        </w:numPr>
      </w:pPr>
      <w:r w:rsidRPr="00E82B5A">
        <w:t>Ben Russell, </w:t>
      </w:r>
      <w:r w:rsidRPr="00E82B5A">
        <w:rPr>
          <w:i/>
          <w:iCs/>
        </w:rPr>
        <w:t>CoreFiling</w:t>
      </w:r>
    </w:p>
    <w:p w14:paraId="7415B72C" w14:textId="77777777" w:rsidR="00E82B5A" w:rsidRPr="00E82B5A" w:rsidRDefault="00E82B5A" w:rsidP="00E82B5A">
      <w:pPr>
        <w:numPr>
          <w:ilvl w:val="0"/>
          <w:numId w:val="3"/>
        </w:numPr>
      </w:pPr>
      <w:r w:rsidRPr="00E82B5A">
        <w:t>David Shaw, </w:t>
      </w:r>
      <w:r w:rsidRPr="00E82B5A">
        <w:rPr>
          <w:i/>
          <w:iCs/>
        </w:rPr>
        <w:t>Junta de Normas de Contabilidad Financiera</w:t>
      </w:r>
    </w:p>
    <w:p w14:paraId="002111B2" w14:textId="77777777" w:rsidR="00E82B5A" w:rsidRPr="00E82B5A" w:rsidRDefault="00E82B5A" w:rsidP="00E82B5A">
      <w:pPr>
        <w:numPr>
          <w:ilvl w:val="0"/>
          <w:numId w:val="3"/>
        </w:numPr>
      </w:pPr>
      <w:r w:rsidRPr="00E82B5A">
        <w:t>Appie Verschoor, </w:t>
      </w:r>
      <w:r w:rsidRPr="00E82B5A">
        <w:rPr>
          <w:i/>
          <w:iCs/>
        </w:rPr>
        <w:t>Logius</w:t>
      </w:r>
    </w:p>
    <w:p w14:paraId="0FB07850" w14:textId="77777777" w:rsidR="00E82B5A" w:rsidRPr="00E82B5A" w:rsidRDefault="00E82B5A" w:rsidP="00E82B5A">
      <w:pPr>
        <w:numPr>
          <w:ilvl w:val="0"/>
          <w:numId w:val="3"/>
        </w:numPr>
      </w:pPr>
      <w:r w:rsidRPr="00E82B5A">
        <w:t>Joel Vicente, </w:t>
      </w:r>
      <w:r w:rsidRPr="00E82B5A">
        <w:rPr>
          <w:i/>
          <w:iCs/>
        </w:rPr>
        <w:t>CoreFiling</w:t>
      </w:r>
    </w:p>
    <w:p w14:paraId="000453B5" w14:textId="77777777" w:rsidR="00E82B5A" w:rsidRPr="00E82B5A" w:rsidRDefault="00E82B5A" w:rsidP="00E82B5A">
      <w:pPr>
        <w:rPr>
          <w:b/>
          <w:bCs/>
        </w:rPr>
      </w:pPr>
      <w:r w:rsidRPr="00E82B5A">
        <w:rPr>
          <w:b/>
          <w:bCs/>
        </w:rPr>
        <w:t>Tabla de contenidos</w:t>
      </w:r>
    </w:p>
    <w:p w14:paraId="410C02E7" w14:textId="77777777" w:rsidR="00E82B5A" w:rsidRPr="00E82B5A" w:rsidRDefault="00E82B5A" w:rsidP="00E82B5A">
      <w:pPr>
        <w:numPr>
          <w:ilvl w:val="0"/>
          <w:numId w:val="4"/>
        </w:numPr>
      </w:pPr>
      <w:r w:rsidRPr="00E82B5A">
        <w:t>1 </w:t>
      </w:r>
      <w:hyperlink r:id="rId15" w:anchor="1-introduction" w:history="1">
        <w:r w:rsidRPr="00E82B5A">
          <w:rPr>
            <w:rStyle w:val="Hipervnculo"/>
          </w:rPr>
          <w:t>Introducción</w:t>
        </w:r>
      </w:hyperlink>
    </w:p>
    <w:p w14:paraId="04D83424" w14:textId="77777777" w:rsidR="00E82B5A" w:rsidRPr="00E82B5A" w:rsidRDefault="00E82B5A" w:rsidP="00E82B5A">
      <w:pPr>
        <w:numPr>
          <w:ilvl w:val="0"/>
          <w:numId w:val="4"/>
        </w:numPr>
      </w:pPr>
      <w:r w:rsidRPr="00E82B5A">
        <w:t>2 </w:t>
      </w:r>
      <w:hyperlink r:id="rId16" w:anchor="2-calculations-11" w:history="1">
        <w:r w:rsidRPr="00E82B5A">
          <w:rPr>
            <w:rStyle w:val="Hipervnculo"/>
          </w:rPr>
          <w:t>Cálculos 1.1</w:t>
        </w:r>
      </w:hyperlink>
    </w:p>
    <w:p w14:paraId="755502D8" w14:textId="77777777" w:rsidR="00E82B5A" w:rsidRPr="00E82B5A" w:rsidRDefault="00E82B5A" w:rsidP="00E82B5A">
      <w:pPr>
        <w:numPr>
          <w:ilvl w:val="1"/>
          <w:numId w:val="4"/>
        </w:numPr>
      </w:pPr>
      <w:r w:rsidRPr="00E82B5A">
        <w:t>2.1 </w:t>
      </w:r>
      <w:hyperlink r:id="rId17" w:anchor="21-rounding" w:history="1">
        <w:r w:rsidRPr="00E82B5A">
          <w:rPr>
            <w:rStyle w:val="Hipervnculo"/>
          </w:rPr>
          <w:t>Redondeo</w:t>
        </w:r>
      </w:hyperlink>
    </w:p>
    <w:p w14:paraId="595B1A65" w14:textId="77777777" w:rsidR="00E82B5A" w:rsidRPr="00E82B5A" w:rsidRDefault="00E82B5A" w:rsidP="00E82B5A">
      <w:pPr>
        <w:numPr>
          <w:ilvl w:val="1"/>
          <w:numId w:val="4"/>
        </w:numPr>
      </w:pPr>
      <w:r w:rsidRPr="00E82B5A">
        <w:t>2.2 </w:t>
      </w:r>
      <w:hyperlink r:id="rId18" w:anchor="22-duplicate-facts" w:history="1">
        <w:r w:rsidRPr="00E82B5A">
          <w:rPr>
            <w:rStyle w:val="Hipervnculo"/>
          </w:rPr>
          <w:t>Hechos duplicados</w:t>
        </w:r>
      </w:hyperlink>
    </w:p>
    <w:p w14:paraId="17106D56" w14:textId="77777777" w:rsidR="00E82B5A" w:rsidRPr="00E82B5A" w:rsidRDefault="00E82B5A" w:rsidP="00E82B5A">
      <w:pPr>
        <w:numPr>
          <w:ilvl w:val="0"/>
          <w:numId w:val="4"/>
        </w:numPr>
      </w:pPr>
      <w:r w:rsidRPr="00E82B5A">
        <w:t>3 </w:t>
      </w:r>
      <w:hyperlink r:id="rId19" w:anchor="3-calculations-11-scope" w:history="1">
        <w:r w:rsidRPr="00E82B5A">
          <w:rPr>
            <w:rStyle w:val="Hipervnculo"/>
          </w:rPr>
          <w:t>Cálculos 1.1 Alcance</w:t>
        </w:r>
      </w:hyperlink>
    </w:p>
    <w:p w14:paraId="6C3F2B25" w14:textId="77777777" w:rsidR="00E82B5A" w:rsidRPr="00E82B5A" w:rsidRDefault="00E82B5A" w:rsidP="00E82B5A">
      <w:pPr>
        <w:numPr>
          <w:ilvl w:val="0"/>
          <w:numId w:val="4"/>
        </w:numPr>
      </w:pPr>
      <w:r w:rsidRPr="00E82B5A">
        <w:t>4 </w:t>
      </w:r>
      <w:hyperlink r:id="rId20" w:anchor="4-adopting-calculations-11" w:history="1">
        <w:r w:rsidRPr="00E82B5A">
          <w:rPr>
            <w:rStyle w:val="Hipervnculo"/>
          </w:rPr>
          <w:t>Adopción de cálculos 1.1</w:t>
        </w:r>
      </w:hyperlink>
    </w:p>
    <w:p w14:paraId="4E671F67" w14:textId="77777777" w:rsidR="00E82B5A" w:rsidRPr="00E82B5A" w:rsidRDefault="00E82B5A" w:rsidP="00E82B5A">
      <w:pPr>
        <w:numPr>
          <w:ilvl w:val="1"/>
          <w:numId w:val="4"/>
        </w:numPr>
      </w:pPr>
      <w:r w:rsidRPr="00E82B5A">
        <w:t>4.1 </w:t>
      </w:r>
      <w:hyperlink r:id="rId21" w:anchor="41-taxonomy-authors" w:history="1">
        <w:r w:rsidRPr="00E82B5A">
          <w:rPr>
            <w:rStyle w:val="Hipervnculo"/>
          </w:rPr>
          <w:t>Autores de taxonomía</w:t>
        </w:r>
      </w:hyperlink>
    </w:p>
    <w:p w14:paraId="652CA116" w14:textId="77777777" w:rsidR="00E82B5A" w:rsidRPr="00E82B5A" w:rsidRDefault="00E82B5A" w:rsidP="00E82B5A">
      <w:pPr>
        <w:numPr>
          <w:ilvl w:val="1"/>
          <w:numId w:val="4"/>
        </w:numPr>
      </w:pPr>
      <w:r w:rsidRPr="00E82B5A">
        <w:t>4.2 </w:t>
      </w:r>
      <w:hyperlink r:id="rId22" w:anchor="42-data-collectors" w:history="1">
        <w:r w:rsidRPr="00E82B5A">
          <w:rPr>
            <w:rStyle w:val="Hipervnculo"/>
          </w:rPr>
          <w:t>Recopiladores de datos</w:t>
        </w:r>
      </w:hyperlink>
    </w:p>
    <w:p w14:paraId="7C2CADB1" w14:textId="77777777" w:rsidR="00E82B5A" w:rsidRPr="00E82B5A" w:rsidRDefault="00E82B5A" w:rsidP="00E82B5A">
      <w:pPr>
        <w:numPr>
          <w:ilvl w:val="1"/>
          <w:numId w:val="4"/>
        </w:numPr>
      </w:pPr>
      <w:r w:rsidRPr="00E82B5A">
        <w:t>4.3 </w:t>
      </w:r>
      <w:hyperlink r:id="rId23" w:anchor="43-software-vendors" w:history="1">
        <w:r w:rsidRPr="00E82B5A">
          <w:rPr>
            <w:rStyle w:val="Hipervnculo"/>
          </w:rPr>
          <w:t>Proveedores de software</w:t>
        </w:r>
      </w:hyperlink>
    </w:p>
    <w:p w14:paraId="5910644C" w14:textId="77777777" w:rsidR="00E82B5A" w:rsidRPr="00E82B5A" w:rsidRDefault="00E82B5A" w:rsidP="00E82B5A">
      <w:pPr>
        <w:numPr>
          <w:ilvl w:val="1"/>
          <w:numId w:val="4"/>
        </w:numPr>
      </w:pPr>
      <w:r w:rsidRPr="00E82B5A">
        <w:t>4.4 </w:t>
      </w:r>
      <w:hyperlink r:id="rId24" w:anchor="44-preparers" w:history="1">
        <w:r w:rsidRPr="00E82B5A">
          <w:rPr>
            <w:rStyle w:val="Hipervnculo"/>
          </w:rPr>
          <w:t>Preparadores</w:t>
        </w:r>
      </w:hyperlink>
    </w:p>
    <w:p w14:paraId="64E4A155" w14:textId="77777777" w:rsidR="00E82B5A" w:rsidRPr="00E82B5A" w:rsidRDefault="00E82B5A" w:rsidP="00E82B5A">
      <w:pPr>
        <w:numPr>
          <w:ilvl w:val="0"/>
          <w:numId w:val="4"/>
        </w:numPr>
      </w:pPr>
      <w:r w:rsidRPr="00E82B5A">
        <w:t>5 </w:t>
      </w:r>
      <w:hyperlink r:id="rId25" w:anchor="5-technical-notes" w:history="1">
        <w:r w:rsidRPr="00E82B5A">
          <w:rPr>
            <w:rStyle w:val="Hipervnculo"/>
          </w:rPr>
          <w:t>Notas técnicas</w:t>
        </w:r>
      </w:hyperlink>
    </w:p>
    <w:p w14:paraId="320E1F09" w14:textId="77777777" w:rsidR="00E82B5A" w:rsidRPr="00E82B5A" w:rsidRDefault="00E82B5A" w:rsidP="00E82B5A">
      <w:pPr>
        <w:numPr>
          <w:ilvl w:val="1"/>
          <w:numId w:val="4"/>
        </w:numPr>
      </w:pPr>
      <w:r w:rsidRPr="00E82B5A">
        <w:t>5.1 </w:t>
      </w:r>
      <w:hyperlink r:id="rId26" w:anchor="51-rounding-methods" w:history="1">
        <w:r w:rsidRPr="00E82B5A">
          <w:rPr>
            <w:rStyle w:val="Hipervnculo"/>
          </w:rPr>
          <w:t>Métodos de redondeo</w:t>
        </w:r>
      </w:hyperlink>
    </w:p>
    <w:p w14:paraId="62C957FC" w14:textId="77777777" w:rsidR="00E82B5A" w:rsidRPr="00E82B5A" w:rsidRDefault="00E82B5A" w:rsidP="00E82B5A">
      <w:pPr>
        <w:numPr>
          <w:ilvl w:val="1"/>
          <w:numId w:val="4"/>
        </w:numPr>
      </w:pPr>
      <w:r w:rsidRPr="00E82B5A">
        <w:t>5.2 </w:t>
      </w:r>
      <w:hyperlink r:id="rId27" w:anchor="52-oim-compatibility" w:history="1">
        <w:r w:rsidRPr="00E82B5A">
          <w:rPr>
            <w:rStyle w:val="Hipervnculo"/>
          </w:rPr>
          <w:t>Compatibilidad con OIM</w:t>
        </w:r>
      </w:hyperlink>
    </w:p>
    <w:p w14:paraId="2EA8B017" w14:textId="77777777" w:rsidR="00372828" w:rsidRDefault="00372828" w:rsidP="00E82B5A">
      <w:pPr>
        <w:rPr>
          <w:b/>
          <w:bCs/>
        </w:rPr>
      </w:pPr>
    </w:p>
    <w:p w14:paraId="614155D5" w14:textId="18783471" w:rsidR="00E82B5A" w:rsidRPr="00E82B5A" w:rsidRDefault="00E82B5A" w:rsidP="00E82B5A">
      <w:pPr>
        <w:rPr>
          <w:b/>
          <w:bCs/>
        </w:rPr>
      </w:pPr>
      <w:r w:rsidRPr="00E82B5A">
        <w:rPr>
          <w:b/>
          <w:bCs/>
        </w:rPr>
        <w:lastRenderedPageBreak/>
        <w:t>1</w:t>
      </w:r>
      <w:r w:rsidR="00372828">
        <w:rPr>
          <w:b/>
          <w:bCs/>
        </w:rPr>
        <w:t>.</w:t>
      </w:r>
      <w:r w:rsidRPr="00E82B5A">
        <w:rPr>
          <w:b/>
          <w:bCs/>
        </w:rPr>
        <w:t xml:space="preserve"> Introducción</w:t>
      </w:r>
    </w:p>
    <w:p w14:paraId="2286ACD0" w14:textId="77777777" w:rsidR="00E82B5A" w:rsidRPr="00E82B5A" w:rsidRDefault="00372828" w:rsidP="00E82B5A">
      <w:hyperlink r:id="rId28" w:anchor="calculation-tree" w:history="1">
        <w:r w:rsidR="00E82B5A" w:rsidRPr="00E82B5A">
          <w:rPr>
            <w:rStyle w:val="Hipervnculo"/>
          </w:rPr>
          <w:t>Los árboles de cálculo</w:t>
        </w:r>
      </w:hyperlink>
      <w:r w:rsidR="00E82B5A" w:rsidRPr="00E82B5A">
        <w:t> son relaciones entre </w:t>
      </w:r>
      <w:hyperlink r:id="rId29" w:anchor="concept" w:history="1">
        <w:r w:rsidR="00E82B5A" w:rsidRPr="00E82B5A">
          <w:rPr>
            <w:rStyle w:val="Hipervnculo"/>
          </w:rPr>
          <w:t>conceptos</w:t>
        </w:r>
      </w:hyperlink>
      <w:r w:rsidR="00E82B5A" w:rsidRPr="00E82B5A">
        <w:t> en una taxonomía que describen y validan totales y subtotales simples. Un ejemplo de una relación de cálculo es:</w:t>
      </w:r>
    </w:p>
    <w:p w14:paraId="23A078A3" w14:textId="77777777" w:rsidR="00E82B5A" w:rsidRPr="00E82B5A" w:rsidRDefault="00E82B5A" w:rsidP="00E82B5A">
      <w:r w:rsidRPr="00E82B5A">
        <w:t>Beneficio bruto = Ingresos – Coste de ventas</w:t>
      </w:r>
    </w:p>
    <w:p w14:paraId="5E40CD38" w14:textId="77777777" w:rsidR="00E82B5A" w:rsidRPr="00E82B5A" w:rsidRDefault="00E82B5A" w:rsidP="00E82B5A">
      <w:pPr>
        <w:jc w:val="both"/>
      </w:pPr>
      <w:r w:rsidRPr="00E82B5A">
        <w:t>Las relaciones de cálculo ayudan a los usuarios de la taxonomía a comprender cómo se relacionan los conceptos con otros conceptos de la taxonomía. Actúan como una guía para </w:t>
      </w:r>
      <w:hyperlink r:id="rId30" w:anchor="preparer" w:history="1">
        <w:r w:rsidRPr="00E82B5A">
          <w:rPr>
            <w:rStyle w:val="Hipervnculo"/>
          </w:rPr>
          <w:t>los preparadores en la selección de</w:t>
        </w:r>
      </w:hyperlink>
      <w:r w:rsidRPr="00E82B5A">
        <w:t> etiquetas. El software de validación XBRL marcará una inconsistencia si los valores de hecho en un informe no se suman de acuerdo con las relaciones de cálculo definidas en la taxonomía. Por lo tanto, los cálculos XBRL son una herramienta valiosa para definir la semántica del concepto y verificar la consistencia de los informes.</w:t>
      </w:r>
    </w:p>
    <w:p w14:paraId="770DCC89" w14:textId="77777777" w:rsidR="00E82B5A" w:rsidRPr="00E82B5A" w:rsidRDefault="00E82B5A" w:rsidP="00E82B5A">
      <w:pPr>
        <w:jc w:val="both"/>
      </w:pPr>
      <w:r w:rsidRPr="00E82B5A">
        <w:t>La </w:t>
      </w:r>
      <w:hyperlink r:id="rId31" w:history="1">
        <w:r w:rsidRPr="00E82B5A">
          <w:rPr>
            <w:rStyle w:val="Hipervnculo"/>
          </w:rPr>
          <w:t>especificación Cálculos 1.1</w:t>
        </w:r>
      </w:hyperlink>
      <w:r w:rsidRPr="00E82B5A">
        <w:t>, finalizada en febrero de 2023, proporciona una mejora incremental en la funcionalidad de cálculo existente de XBRL. Este documento recomienda la ruta de adopción para la transición a Cálculos 1.1 y está dirigido a autores de taxonomía, recopiladores de datos, proveedores de software y preparadores.</w:t>
      </w:r>
    </w:p>
    <w:p w14:paraId="676C92E3" w14:textId="56809938" w:rsidR="00E82B5A" w:rsidRPr="00E82B5A" w:rsidRDefault="00E82B5A" w:rsidP="00E82B5A">
      <w:pPr>
        <w:rPr>
          <w:b/>
          <w:bCs/>
        </w:rPr>
      </w:pPr>
      <w:r w:rsidRPr="00E82B5A">
        <w:rPr>
          <w:b/>
          <w:bCs/>
        </w:rPr>
        <w:t>2</w:t>
      </w:r>
      <w:r w:rsidR="00372828">
        <w:rPr>
          <w:b/>
          <w:bCs/>
        </w:rPr>
        <w:t>.</w:t>
      </w:r>
      <w:r w:rsidRPr="00E82B5A">
        <w:rPr>
          <w:b/>
          <w:bCs/>
        </w:rPr>
        <w:t xml:space="preserve"> Cálculos 1.1</w:t>
      </w:r>
    </w:p>
    <w:p w14:paraId="4B4BF6B1" w14:textId="77777777" w:rsidR="00E82B5A" w:rsidRPr="00E82B5A" w:rsidRDefault="00E82B5A" w:rsidP="00E82B5A">
      <w:r w:rsidRPr="00E82B5A">
        <w:t>Las dos mejoras clave de Cálculos 1.1 son un mejor manejo de los números redondeados y los hechos duplicados.</w:t>
      </w:r>
    </w:p>
    <w:p w14:paraId="3C43B12E" w14:textId="77777777" w:rsidR="00E82B5A" w:rsidRPr="00E82B5A" w:rsidRDefault="00E82B5A" w:rsidP="00E82B5A">
      <w:pPr>
        <w:rPr>
          <w:b/>
          <w:bCs/>
        </w:rPr>
      </w:pPr>
      <w:r w:rsidRPr="00E82B5A">
        <w:rPr>
          <w:b/>
          <w:bCs/>
        </w:rPr>
        <w:t>2.1 Redondeo</w:t>
      </w:r>
    </w:p>
    <w:p w14:paraId="0BF0F320" w14:textId="77777777" w:rsidR="00E82B5A" w:rsidRPr="00E82B5A" w:rsidRDefault="00E82B5A" w:rsidP="00E82B5A">
      <w:pPr>
        <w:jc w:val="both"/>
      </w:pPr>
      <w:r w:rsidRPr="00E82B5A">
        <w:t>Los informes financieros de la empresa a menudo presentan números en miles o millones, y los números presentados pueden no sumar exactamente debido al redondeo. La funcionalidad de cálculo existente de XBRL (ahora denominada "Cálculos 1.0") no tuvo en cuenta la precisión informada de los hechos al verificar los cálculos, lo que provocó advertencias debido al redondeo, como se discutió en esta </w:t>
      </w:r>
      <w:hyperlink r:id="rId32" w:history="1">
        <w:r w:rsidRPr="00E82B5A">
          <w:rPr>
            <w:rStyle w:val="Hipervnculo"/>
          </w:rPr>
          <w:t>publicación de blog sobre errores de redondeo</w:t>
        </w:r>
      </w:hyperlink>
      <w:r w:rsidRPr="00E82B5A">
        <w:t>.</w:t>
      </w:r>
    </w:p>
    <w:p w14:paraId="35ABDC0E" w14:textId="77777777" w:rsidR="00E82B5A" w:rsidRPr="00E82B5A" w:rsidRDefault="00E82B5A" w:rsidP="00E82B5A">
      <w:pPr>
        <w:jc w:val="both"/>
      </w:pPr>
      <w:r w:rsidRPr="00E82B5A">
        <w:t>Los cálculos 1.1 resuelven este problema y no marcan las advertencias debidas al redondeo. La reducción resultante de las falsas advertencias será un resultado positivo para todas las partes interesadas, incluidos los preparadores, auditores, recopiladores de datos y usuarios.</w:t>
      </w:r>
    </w:p>
    <w:p w14:paraId="1D25DF3A" w14:textId="77777777" w:rsidR="00E82B5A" w:rsidRPr="00E82B5A" w:rsidRDefault="00E82B5A" w:rsidP="00E82B5A">
      <w:pPr>
        <w:jc w:val="both"/>
        <w:rPr>
          <w:b/>
          <w:bCs/>
        </w:rPr>
      </w:pPr>
      <w:r w:rsidRPr="00E82B5A">
        <w:rPr>
          <w:b/>
          <w:bCs/>
        </w:rPr>
        <w:t>2.2 Hechos duplicados</w:t>
      </w:r>
    </w:p>
    <w:p w14:paraId="50F17B40" w14:textId="0AE392AE" w:rsidR="00E82B5A" w:rsidRPr="00E82B5A" w:rsidRDefault="00E82B5A" w:rsidP="00E82B5A">
      <w:pPr>
        <w:jc w:val="both"/>
      </w:pPr>
      <w:r w:rsidRPr="00E82B5A">
        <w:t>Los informes financieros a menudo incluyen el mismo valor varias veces en diferentes secciones del informe. La mejor práctica de </w:t>
      </w:r>
      <w:hyperlink r:id="rId33" w:anchor="inline-xbrl" w:history="1">
        <w:r w:rsidRPr="00E82B5A">
          <w:rPr>
            <w:rStyle w:val="Hipervnculo"/>
          </w:rPr>
          <w:t>XBRL en línea</w:t>
        </w:r>
      </w:hyperlink>
      <w:r w:rsidRPr="00E82B5A">
        <w:t> es etiquetar todas las ocurrencias del hecho para garantizar la coherencia y permitir a los usuarios navegar entre estas diferentes ocurrencias. El etiquetado de todas las ocurrencias de hechos da como resultado</w:t>
      </w:r>
      <w:r>
        <w:t>s</w:t>
      </w:r>
      <w:r w:rsidRPr="00E82B5A">
        <w:t xml:space="preserve"> hechos duplicados en un informe XBRL.</w:t>
      </w:r>
    </w:p>
    <w:p w14:paraId="5B123584" w14:textId="77777777" w:rsidR="00E82B5A" w:rsidRPr="00E82B5A" w:rsidRDefault="00E82B5A" w:rsidP="00E82B5A">
      <w:pPr>
        <w:jc w:val="both"/>
      </w:pPr>
      <w:r w:rsidRPr="00E82B5A">
        <w:t>Cálculos 1.0 excluidos verifica el cálculo en busca de hechos duplicados, lo que significa que las inconsistencias de cálculo pueden pasar desapercibidas. Cálculos 1.1 adopta un nuevo enfoque para el manejo de hechos duplicados, lo que garantiza que los cálculos que involucran dichos hechos se verifiquen para verificar su coherencia. Esta adición es fundamental para apoyar la creciente adopción de Inline XBRL en los sistemas de archivo.</w:t>
      </w:r>
    </w:p>
    <w:p w14:paraId="649BFF0A" w14:textId="1E82EA73" w:rsidR="00E82B5A" w:rsidRPr="00E82B5A" w:rsidRDefault="00E82B5A" w:rsidP="00E82B5A">
      <w:pPr>
        <w:rPr>
          <w:b/>
          <w:bCs/>
        </w:rPr>
      </w:pPr>
      <w:r w:rsidRPr="00E82B5A">
        <w:rPr>
          <w:b/>
          <w:bCs/>
        </w:rPr>
        <w:lastRenderedPageBreak/>
        <w:t>3</w:t>
      </w:r>
      <w:r w:rsidR="00372828">
        <w:rPr>
          <w:b/>
          <w:bCs/>
        </w:rPr>
        <w:t>.</w:t>
      </w:r>
      <w:r w:rsidRPr="00E82B5A">
        <w:rPr>
          <w:b/>
          <w:bCs/>
        </w:rPr>
        <w:t xml:space="preserve"> Cálculos 1.1 Alcance</w:t>
      </w:r>
    </w:p>
    <w:p w14:paraId="4F9406A9" w14:textId="77777777" w:rsidR="00E82B5A" w:rsidRPr="00E82B5A" w:rsidRDefault="00E82B5A" w:rsidP="00E82B5A">
      <w:pPr>
        <w:jc w:val="both"/>
      </w:pPr>
      <w:r w:rsidRPr="00E82B5A">
        <w:t>Cálculos 1.1 no aborda todos los problemas relacionados con los cálculos en los informes XBRL. En particular, los cálculos 1.1 aún pueden desencadenar falsos positivos cuando hay conjuntos de hechos incompletos. Esto ocurre cuando hay suficientes hechos para desencadenar un cálculo, pero no lo suficiente como para verificarlo por completo. Los preparadores y otros usuarios deben revisar todas las inconsistencias de cálculo, con el fin de determinar si es necesario tomar medidas adicionales.</w:t>
      </w:r>
    </w:p>
    <w:p w14:paraId="7CD06E0A" w14:textId="77777777" w:rsidR="00E82B5A" w:rsidRPr="00E82B5A" w:rsidRDefault="00E82B5A" w:rsidP="00E82B5A">
      <w:pPr>
        <w:jc w:val="both"/>
      </w:pPr>
      <w:r w:rsidRPr="00E82B5A">
        <w:t>Los cálculos 1.1 no detectarán todas las incoherencias de cálculo si el árbol de cálculo está incompleto.</w:t>
      </w:r>
    </w:p>
    <w:p w14:paraId="631A5E02" w14:textId="1BC90C24" w:rsidR="00E82B5A" w:rsidRPr="00E82B5A" w:rsidRDefault="00E82B5A" w:rsidP="00E82B5A">
      <w:pPr>
        <w:jc w:val="both"/>
      </w:pPr>
      <w:r w:rsidRPr="00E82B5A">
        <w:t>Al igual que Cálculos 1.0, Cálculos 1.1 solo admite cálculos entre diferentes conceptos. No admite cálculos Inter dimensionales o de períodos cruzados.</w:t>
      </w:r>
    </w:p>
    <w:p w14:paraId="05954D9E" w14:textId="77777777" w:rsidR="00E82B5A" w:rsidRPr="00E82B5A" w:rsidRDefault="00372828" w:rsidP="00E82B5A">
      <w:r>
        <w:pict w14:anchorId="35930D56">
          <v:rect id="_x0000_i1025" style="width:0;height:0" o:hralign="center" o:hrstd="t" o:hr="t" fillcolor="#a0a0a0" stroked="f"/>
        </w:pict>
      </w:r>
    </w:p>
    <w:p w14:paraId="4BCF6689" w14:textId="77777777" w:rsidR="00E82B5A" w:rsidRPr="00E82B5A" w:rsidRDefault="00E82B5A" w:rsidP="00E82B5A">
      <w:r w:rsidRPr="00E82B5A">
        <w:rPr>
          <w:i/>
          <w:iCs/>
        </w:rPr>
        <w:t>El artículo completo es accesible exclusivamente para los miembros de XBRL International.</w:t>
      </w:r>
    </w:p>
    <w:p w14:paraId="03E62047" w14:textId="77777777" w:rsidR="00E82B5A" w:rsidRDefault="00E82B5A" w:rsidP="00E82B5A">
      <w:pPr>
        <w:rPr>
          <w:b/>
          <w:bCs/>
          <w:highlight w:val="yellow"/>
        </w:rPr>
      </w:pPr>
      <w:r w:rsidRPr="00E82B5A">
        <w:rPr>
          <w:b/>
          <w:bCs/>
          <w:noProof/>
          <w:highlight w:val="yellow"/>
        </w:rPr>
        <w:drawing>
          <wp:inline distT="0" distB="0" distL="0" distR="0" wp14:anchorId="3CECF241" wp14:editId="42F0254D">
            <wp:extent cx="5612130" cy="378460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2130" cy="3784600"/>
                    </a:xfrm>
                    <a:prstGeom prst="rect">
                      <a:avLst/>
                    </a:prstGeom>
                  </pic:spPr>
                </pic:pic>
              </a:graphicData>
            </a:graphic>
          </wp:inline>
        </w:drawing>
      </w:r>
    </w:p>
    <w:p w14:paraId="6E465C35" w14:textId="77777777" w:rsidR="00E82B5A" w:rsidRPr="00E82B5A" w:rsidRDefault="00E82B5A" w:rsidP="00E82B5A">
      <w:pPr>
        <w:rPr>
          <w:b/>
          <w:bCs/>
        </w:rPr>
      </w:pPr>
      <w:r w:rsidRPr="00E82B5A">
        <w:rPr>
          <w:b/>
          <w:bCs/>
        </w:rPr>
        <w:t>¿Aún no es miembro?</w:t>
      </w:r>
    </w:p>
    <w:p w14:paraId="1C4C47E1" w14:textId="77777777" w:rsidR="00E82B5A" w:rsidRPr="00E82B5A" w:rsidRDefault="00E82B5A" w:rsidP="00E82B5A">
      <w:r w:rsidRPr="00E82B5A">
        <w:t>Únete a XBRL hoy para obtener acceso a contenido exclusivo, y Otros beneficios de la membresía:</w:t>
      </w:r>
    </w:p>
    <w:p w14:paraId="356E487F" w14:textId="77777777" w:rsidR="00E82B5A" w:rsidRPr="00E82B5A" w:rsidRDefault="00E82B5A" w:rsidP="00E82B5A">
      <w:pPr>
        <w:numPr>
          <w:ilvl w:val="0"/>
          <w:numId w:val="5"/>
        </w:numPr>
      </w:pPr>
      <w:r w:rsidRPr="00E82B5A">
        <w:t>Asistencia a la conferencia con descuento</w:t>
      </w:r>
    </w:p>
    <w:p w14:paraId="62E00E18" w14:textId="77777777" w:rsidR="00E82B5A" w:rsidRPr="00E82B5A" w:rsidRDefault="00E82B5A" w:rsidP="00E82B5A">
      <w:pPr>
        <w:numPr>
          <w:ilvl w:val="0"/>
          <w:numId w:val="5"/>
        </w:numPr>
      </w:pPr>
      <w:r w:rsidRPr="00E82B5A">
        <w:t>Acceso a nuestra comunidad global</w:t>
      </w:r>
    </w:p>
    <w:p w14:paraId="4889A661" w14:textId="77777777" w:rsidR="00E82B5A" w:rsidRPr="00E82B5A" w:rsidRDefault="00E82B5A" w:rsidP="00E82B5A">
      <w:pPr>
        <w:numPr>
          <w:ilvl w:val="0"/>
          <w:numId w:val="5"/>
        </w:numPr>
      </w:pPr>
      <w:r w:rsidRPr="00E82B5A">
        <w:t>Uso del logotipo XBRL para promocionar sus productos y servicios</w:t>
      </w:r>
    </w:p>
    <w:p w14:paraId="63C0B426" w14:textId="77777777" w:rsidR="00E82B5A" w:rsidRPr="00E82B5A" w:rsidRDefault="00E82B5A" w:rsidP="00E82B5A">
      <w:pPr>
        <w:numPr>
          <w:ilvl w:val="0"/>
          <w:numId w:val="5"/>
        </w:numPr>
      </w:pPr>
      <w:r w:rsidRPr="00E82B5A">
        <w:lastRenderedPageBreak/>
        <w:t>Visibilidad temprana y capacidad para influir en los nuevos estándares a través de la participación del Grupo de Trabajo</w:t>
      </w:r>
    </w:p>
    <w:p w14:paraId="72CBF8A2" w14:textId="77777777" w:rsidR="00E82B5A" w:rsidRPr="00E82B5A" w:rsidRDefault="00E82B5A" w:rsidP="00E82B5A">
      <w:pPr>
        <w:numPr>
          <w:ilvl w:val="0"/>
          <w:numId w:val="5"/>
        </w:numPr>
      </w:pPr>
      <w:r w:rsidRPr="00E82B5A">
        <w:t>Inclusión en nuestro directorio de herramientas y servicios</w:t>
      </w:r>
    </w:p>
    <w:p w14:paraId="160E4F19" w14:textId="77777777" w:rsidR="00E82B5A" w:rsidRPr="00E82B5A" w:rsidRDefault="00E82B5A" w:rsidP="00E82B5A">
      <w:r w:rsidRPr="00E82B5A">
        <w:t>Obtenga más información sobre </w:t>
      </w:r>
      <w:hyperlink r:id="rId35" w:history="1">
        <w:r w:rsidRPr="00E82B5A">
          <w:rPr>
            <w:rStyle w:val="Hipervnculo"/>
          </w:rPr>
          <w:t>cómo unirse al consorcio</w:t>
        </w:r>
      </w:hyperlink>
      <w:r w:rsidRPr="00E82B5A">
        <w:t>.</w:t>
      </w:r>
    </w:p>
    <w:p w14:paraId="34D0F989" w14:textId="5001C466" w:rsidR="00E82B5A" w:rsidRDefault="00E82B5A"/>
    <w:p w14:paraId="6ED86FC4" w14:textId="254F8E5A" w:rsidR="00E82B5A" w:rsidRDefault="00E82B5A">
      <w:r w:rsidRPr="00E82B5A">
        <w:rPr>
          <w:noProof/>
        </w:rPr>
        <w:drawing>
          <wp:inline distT="0" distB="0" distL="0" distR="0" wp14:anchorId="7814DA19" wp14:editId="63A594C5">
            <wp:extent cx="5612130" cy="15741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12130" cy="1574165"/>
                    </a:xfrm>
                    <a:prstGeom prst="rect">
                      <a:avLst/>
                    </a:prstGeom>
                  </pic:spPr>
                </pic:pic>
              </a:graphicData>
            </a:graphic>
          </wp:inline>
        </w:drawing>
      </w:r>
    </w:p>
    <w:sectPr w:rsidR="00E82B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5FFD"/>
    <w:multiLevelType w:val="multilevel"/>
    <w:tmpl w:val="8980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96E36"/>
    <w:multiLevelType w:val="multilevel"/>
    <w:tmpl w:val="BEF2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60E37"/>
    <w:multiLevelType w:val="multilevel"/>
    <w:tmpl w:val="1C08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7446D"/>
    <w:multiLevelType w:val="multilevel"/>
    <w:tmpl w:val="BD3AF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110B4"/>
    <w:multiLevelType w:val="multilevel"/>
    <w:tmpl w:val="1A9C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5A"/>
    <w:rsid w:val="00372828"/>
    <w:rsid w:val="005657BC"/>
    <w:rsid w:val="009321AC"/>
    <w:rsid w:val="00970F63"/>
    <w:rsid w:val="00E82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2E550B"/>
  <w15:chartTrackingRefBased/>
  <w15:docId w15:val="{881C5359-967C-42EB-A664-241145C7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2B5A"/>
    <w:rPr>
      <w:color w:val="0563C1" w:themeColor="hyperlink"/>
      <w:u w:val="single"/>
    </w:rPr>
  </w:style>
  <w:style w:type="character" w:styleId="Mencinsinresolver">
    <w:name w:val="Unresolved Mention"/>
    <w:basedOn w:val="Fuentedeprrafopredeter"/>
    <w:uiPriority w:val="99"/>
    <w:semiHidden/>
    <w:unhideWhenUsed/>
    <w:rsid w:val="00E8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423">
      <w:bodyDiv w:val="1"/>
      <w:marLeft w:val="0"/>
      <w:marRight w:val="0"/>
      <w:marTop w:val="0"/>
      <w:marBottom w:val="0"/>
      <w:divBdr>
        <w:top w:val="none" w:sz="0" w:space="0" w:color="auto"/>
        <w:left w:val="none" w:sz="0" w:space="0" w:color="auto"/>
        <w:bottom w:val="none" w:sz="0" w:space="0" w:color="auto"/>
        <w:right w:val="none" w:sz="0" w:space="0" w:color="auto"/>
      </w:divBdr>
      <w:divsChild>
        <w:div w:id="872890443">
          <w:marLeft w:val="0"/>
          <w:marRight w:val="0"/>
          <w:marTop w:val="225"/>
          <w:marBottom w:val="225"/>
          <w:divBdr>
            <w:top w:val="none" w:sz="0" w:space="0" w:color="auto"/>
            <w:left w:val="none" w:sz="0" w:space="0" w:color="auto"/>
            <w:bottom w:val="none" w:sz="0" w:space="0" w:color="auto"/>
            <w:right w:val="none" w:sz="0" w:space="0" w:color="auto"/>
          </w:divBdr>
        </w:div>
        <w:div w:id="65035919">
          <w:marLeft w:val="0"/>
          <w:marRight w:val="0"/>
          <w:marTop w:val="150"/>
          <w:marBottom w:val="75"/>
          <w:divBdr>
            <w:top w:val="none" w:sz="0" w:space="0" w:color="auto"/>
            <w:left w:val="none" w:sz="0" w:space="0" w:color="auto"/>
            <w:bottom w:val="none" w:sz="0" w:space="0" w:color="auto"/>
            <w:right w:val="none" w:sz="0" w:space="0" w:color="auto"/>
          </w:divBdr>
        </w:div>
        <w:div w:id="1182861997">
          <w:marLeft w:val="0"/>
          <w:marRight w:val="0"/>
          <w:marTop w:val="0"/>
          <w:marBottom w:val="0"/>
          <w:divBdr>
            <w:top w:val="none" w:sz="0" w:space="0" w:color="auto"/>
            <w:left w:val="none" w:sz="0" w:space="0" w:color="auto"/>
            <w:bottom w:val="none" w:sz="0" w:space="0" w:color="auto"/>
            <w:right w:val="none" w:sz="0" w:space="0" w:color="auto"/>
          </w:divBdr>
        </w:div>
        <w:div w:id="564684977">
          <w:marLeft w:val="0"/>
          <w:marRight w:val="0"/>
          <w:marTop w:val="210"/>
          <w:marBottom w:val="0"/>
          <w:divBdr>
            <w:top w:val="none" w:sz="0" w:space="0" w:color="auto"/>
            <w:left w:val="none" w:sz="0" w:space="0" w:color="auto"/>
            <w:bottom w:val="none" w:sz="0" w:space="0" w:color="auto"/>
            <w:right w:val="none" w:sz="0" w:space="0" w:color="auto"/>
          </w:divBdr>
        </w:div>
        <w:div w:id="1838838549">
          <w:marLeft w:val="0"/>
          <w:marRight w:val="0"/>
          <w:marTop w:val="0"/>
          <w:marBottom w:val="0"/>
          <w:divBdr>
            <w:top w:val="none" w:sz="0" w:space="0" w:color="auto"/>
            <w:left w:val="none" w:sz="0" w:space="0" w:color="auto"/>
            <w:bottom w:val="none" w:sz="0" w:space="0" w:color="auto"/>
            <w:right w:val="none" w:sz="0" w:space="0" w:color="auto"/>
          </w:divBdr>
        </w:div>
        <w:div w:id="1398431187">
          <w:marLeft w:val="0"/>
          <w:marRight w:val="300"/>
          <w:marTop w:val="0"/>
          <w:marBottom w:val="0"/>
          <w:divBdr>
            <w:top w:val="single" w:sz="24" w:space="0" w:color="000000"/>
            <w:left w:val="none" w:sz="0" w:space="0" w:color="auto"/>
            <w:bottom w:val="none" w:sz="0" w:space="0" w:color="auto"/>
            <w:right w:val="none" w:sz="0" w:space="0" w:color="auto"/>
          </w:divBdr>
          <w:divsChild>
            <w:div w:id="1288320182">
              <w:marLeft w:val="0"/>
              <w:marRight w:val="0"/>
              <w:marTop w:val="0"/>
              <w:marBottom w:val="0"/>
              <w:divBdr>
                <w:top w:val="none" w:sz="0" w:space="0" w:color="auto"/>
                <w:left w:val="none" w:sz="0" w:space="0" w:color="auto"/>
                <w:bottom w:val="none" w:sz="0" w:space="0" w:color="auto"/>
                <w:right w:val="none" w:sz="0" w:space="0" w:color="auto"/>
              </w:divBdr>
              <w:divsChild>
                <w:div w:id="313144369">
                  <w:marLeft w:val="0"/>
                  <w:marRight w:val="0"/>
                  <w:marTop w:val="0"/>
                  <w:marBottom w:val="0"/>
                  <w:divBdr>
                    <w:top w:val="none" w:sz="0" w:space="0" w:color="auto"/>
                    <w:left w:val="none" w:sz="0" w:space="0" w:color="auto"/>
                    <w:bottom w:val="none" w:sz="0" w:space="0" w:color="auto"/>
                    <w:right w:val="none" w:sz="0" w:space="0" w:color="auto"/>
                  </w:divBdr>
                  <w:divsChild>
                    <w:div w:id="741951577">
                      <w:marLeft w:val="0"/>
                      <w:marRight w:val="0"/>
                      <w:marTop w:val="0"/>
                      <w:marBottom w:val="240"/>
                      <w:divBdr>
                        <w:top w:val="none" w:sz="0" w:space="0" w:color="auto"/>
                        <w:left w:val="none" w:sz="0" w:space="0" w:color="auto"/>
                        <w:bottom w:val="none" w:sz="0" w:space="0" w:color="auto"/>
                        <w:right w:val="none" w:sz="0" w:space="0" w:color="auto"/>
                      </w:divBdr>
                      <w:divsChild>
                        <w:div w:id="1676877681">
                          <w:marLeft w:val="0"/>
                          <w:marRight w:val="0"/>
                          <w:marTop w:val="0"/>
                          <w:marBottom w:val="240"/>
                          <w:divBdr>
                            <w:top w:val="none" w:sz="0" w:space="0" w:color="auto"/>
                            <w:left w:val="none" w:sz="0" w:space="0" w:color="auto"/>
                            <w:bottom w:val="dashed" w:sz="12" w:space="12" w:color="CCCCCC"/>
                            <w:right w:val="none" w:sz="0" w:space="0" w:color="auto"/>
                          </w:divBdr>
                          <w:divsChild>
                            <w:div w:id="1047071182">
                              <w:marLeft w:val="0"/>
                              <w:marRight w:val="0"/>
                              <w:marTop w:val="0"/>
                              <w:marBottom w:val="0"/>
                              <w:divBdr>
                                <w:top w:val="none" w:sz="0" w:space="0" w:color="auto"/>
                                <w:left w:val="none" w:sz="0" w:space="0" w:color="auto"/>
                                <w:bottom w:val="none" w:sz="0" w:space="0" w:color="auto"/>
                                <w:right w:val="none" w:sz="0" w:space="0" w:color="auto"/>
                              </w:divBdr>
                            </w:div>
                            <w:div w:id="1915815559">
                              <w:marLeft w:val="0"/>
                              <w:marRight w:val="0"/>
                              <w:marTop w:val="0"/>
                              <w:marBottom w:val="0"/>
                              <w:divBdr>
                                <w:top w:val="none" w:sz="0" w:space="0" w:color="auto"/>
                                <w:left w:val="none" w:sz="0" w:space="0" w:color="auto"/>
                                <w:bottom w:val="none" w:sz="0" w:space="0" w:color="auto"/>
                                <w:right w:val="none" w:sz="0" w:space="0" w:color="auto"/>
                              </w:divBdr>
                            </w:div>
                          </w:divsChild>
                        </w:div>
                        <w:div w:id="322665811">
                          <w:marLeft w:val="0"/>
                          <w:marRight w:val="0"/>
                          <w:marTop w:val="240"/>
                          <w:marBottom w:val="240"/>
                          <w:divBdr>
                            <w:top w:val="none" w:sz="0" w:space="0" w:color="auto"/>
                            <w:left w:val="none" w:sz="0" w:space="0" w:color="auto"/>
                            <w:bottom w:val="dashed" w:sz="12" w:space="12" w:color="CCCCCC"/>
                            <w:right w:val="none" w:sz="0" w:space="0" w:color="auto"/>
                          </w:divBdr>
                        </w:div>
                        <w:div w:id="39289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7542">
                          <w:marLeft w:val="0"/>
                          <w:marRight w:val="0"/>
                          <w:marTop w:val="0"/>
                          <w:marBottom w:val="0"/>
                          <w:divBdr>
                            <w:top w:val="none" w:sz="0" w:space="0" w:color="auto"/>
                            <w:left w:val="none" w:sz="0" w:space="0" w:color="auto"/>
                            <w:bottom w:val="none" w:sz="0" w:space="0" w:color="auto"/>
                            <w:right w:val="none" w:sz="0" w:space="0" w:color="auto"/>
                          </w:divBdr>
                          <w:divsChild>
                            <w:div w:id="711350344">
                              <w:marLeft w:val="0"/>
                              <w:marRight w:val="0"/>
                              <w:marTop w:val="0"/>
                              <w:marBottom w:val="0"/>
                              <w:divBdr>
                                <w:top w:val="none" w:sz="0" w:space="0" w:color="auto"/>
                                <w:left w:val="none" w:sz="0" w:space="0" w:color="auto"/>
                                <w:bottom w:val="none" w:sz="0" w:space="0" w:color="auto"/>
                                <w:right w:val="none" w:sz="0" w:space="0" w:color="auto"/>
                              </w:divBdr>
                              <w:divsChild>
                                <w:div w:id="128592747">
                                  <w:marLeft w:val="0"/>
                                  <w:marRight w:val="0"/>
                                  <w:marTop w:val="0"/>
                                  <w:marBottom w:val="0"/>
                                  <w:divBdr>
                                    <w:top w:val="none" w:sz="0" w:space="0" w:color="auto"/>
                                    <w:left w:val="none" w:sz="0" w:space="0" w:color="auto"/>
                                    <w:bottom w:val="none" w:sz="0" w:space="0" w:color="auto"/>
                                    <w:right w:val="none" w:sz="0" w:space="0" w:color="auto"/>
                                  </w:divBdr>
                                </w:div>
                              </w:divsChild>
                            </w:div>
                            <w:div w:id="4480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15672">
      <w:bodyDiv w:val="1"/>
      <w:marLeft w:val="0"/>
      <w:marRight w:val="0"/>
      <w:marTop w:val="0"/>
      <w:marBottom w:val="0"/>
      <w:divBdr>
        <w:top w:val="none" w:sz="0" w:space="0" w:color="auto"/>
        <w:left w:val="none" w:sz="0" w:space="0" w:color="auto"/>
        <w:bottom w:val="none" w:sz="0" w:space="0" w:color="auto"/>
        <w:right w:val="none" w:sz="0" w:space="0" w:color="auto"/>
      </w:divBdr>
      <w:divsChild>
        <w:div w:id="646781246">
          <w:marLeft w:val="0"/>
          <w:marRight w:val="0"/>
          <w:marTop w:val="0"/>
          <w:marBottom w:val="0"/>
          <w:divBdr>
            <w:top w:val="none" w:sz="0" w:space="0" w:color="auto"/>
            <w:left w:val="none" w:sz="0" w:space="0" w:color="auto"/>
            <w:bottom w:val="none" w:sz="0" w:space="0" w:color="auto"/>
            <w:right w:val="none" w:sz="0" w:space="0" w:color="auto"/>
          </w:divBdr>
        </w:div>
        <w:div w:id="1923024665">
          <w:marLeft w:val="0"/>
          <w:marRight w:val="0"/>
          <w:marTop w:val="300"/>
          <w:marBottom w:val="300"/>
          <w:divBdr>
            <w:top w:val="none" w:sz="0" w:space="0" w:color="auto"/>
            <w:left w:val="none" w:sz="0" w:space="0" w:color="auto"/>
            <w:bottom w:val="none" w:sz="0" w:space="0" w:color="auto"/>
            <w:right w:val="none" w:sz="0" w:space="0" w:color="auto"/>
          </w:divBdr>
        </w:div>
        <w:div w:id="1416168399">
          <w:marLeft w:val="0"/>
          <w:marRight w:val="0"/>
          <w:marTop w:val="600"/>
          <w:marBottom w:val="0"/>
          <w:divBdr>
            <w:top w:val="none" w:sz="0" w:space="0" w:color="auto"/>
            <w:left w:val="none" w:sz="0" w:space="0" w:color="auto"/>
            <w:bottom w:val="none" w:sz="0" w:space="0" w:color="auto"/>
            <w:right w:val="none" w:sz="0" w:space="0" w:color="auto"/>
          </w:divBdr>
          <w:divsChild>
            <w:div w:id="139546897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xbrl.org/guidance/adopting-calc1-1/" TargetMode="External"/><Relationship Id="rId26" Type="http://schemas.openxmlformats.org/officeDocument/2006/relationships/hyperlink" Target="https://www.xbrl.org/guidance/adopting-calc1-1/" TargetMode="External"/><Relationship Id="rId21" Type="http://schemas.openxmlformats.org/officeDocument/2006/relationships/hyperlink" Target="https://www.xbrl.org/guidance/adopting-calc1-1/" TargetMode="External"/><Relationship Id="rId34" Type="http://schemas.openxmlformats.org/officeDocument/2006/relationships/image" Target="media/image3.png"/><Relationship Id="rId7" Type="http://schemas.openxmlformats.org/officeDocument/2006/relationships/hyperlink" Target="https://www.xbrl.org/guidance/adopting-calc1-1/" TargetMode="External"/><Relationship Id="rId12" Type="http://schemas.openxmlformats.org/officeDocument/2006/relationships/hyperlink" Target="https://www.xbrl.org/" TargetMode="External"/><Relationship Id="rId17" Type="http://schemas.openxmlformats.org/officeDocument/2006/relationships/hyperlink" Target="https://www.xbrl.org/guidance/adopting-calc1-1/" TargetMode="External"/><Relationship Id="rId25" Type="http://schemas.openxmlformats.org/officeDocument/2006/relationships/hyperlink" Target="https://www.xbrl.org/guidance/adopting-calc1-1/" TargetMode="External"/><Relationship Id="rId33" Type="http://schemas.openxmlformats.org/officeDocument/2006/relationships/hyperlink" Target="https://www.xbrl.org/guidance/xbrl-glossar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xbrl.org/guidance/adopting-calc1-1/" TargetMode="External"/><Relationship Id="rId20" Type="http://schemas.openxmlformats.org/officeDocument/2006/relationships/hyperlink" Target="https://www.xbrl.org/guidance/adopting-calc1-1/" TargetMode="External"/><Relationship Id="rId29" Type="http://schemas.openxmlformats.org/officeDocument/2006/relationships/hyperlink" Target="https://www.xbrl.org/guidance/xbrl-glossary/" TargetMode="External"/><Relationship Id="rId1" Type="http://schemas.openxmlformats.org/officeDocument/2006/relationships/numbering" Target="numbering.xml"/><Relationship Id="rId6" Type="http://schemas.openxmlformats.org/officeDocument/2006/relationships/hyperlink" Target="https://www.xbrl.org/news/calculations-guidance/" TargetMode="External"/><Relationship Id="rId11" Type="http://schemas.openxmlformats.org/officeDocument/2006/relationships/hyperlink" Target="https://www.xbrl.org/tag/xii/" TargetMode="External"/><Relationship Id="rId24" Type="http://schemas.openxmlformats.org/officeDocument/2006/relationships/hyperlink" Target="https://www.xbrl.org/guidance/adopting-calc1-1/" TargetMode="External"/><Relationship Id="rId32" Type="http://schemas.openxmlformats.org/officeDocument/2006/relationships/hyperlink" Target="https://www.xbrl.org/esef-errors-and-common-pitfalls-8-rounding-and-calculations/"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xbrl.org/guidance/adopting-calc1-1/" TargetMode="External"/><Relationship Id="rId23" Type="http://schemas.openxmlformats.org/officeDocument/2006/relationships/hyperlink" Target="https://www.xbrl.org/guidance/adopting-calc1-1/" TargetMode="External"/><Relationship Id="rId28" Type="http://schemas.openxmlformats.org/officeDocument/2006/relationships/hyperlink" Target="https://www.xbrl.org/guidance/xbrl-glossary/" TargetMode="External"/><Relationship Id="rId36" Type="http://schemas.openxmlformats.org/officeDocument/2006/relationships/image" Target="media/image4.png"/><Relationship Id="rId10" Type="http://schemas.openxmlformats.org/officeDocument/2006/relationships/hyperlink" Target="https://www.xbrl.org/tag/spec/" TargetMode="External"/><Relationship Id="rId19" Type="http://schemas.openxmlformats.org/officeDocument/2006/relationships/hyperlink" Target="https://www.xbrl.org/guidance/adopting-calc1-1/" TargetMode="External"/><Relationship Id="rId31" Type="http://schemas.openxmlformats.org/officeDocument/2006/relationships/hyperlink" Target="https://www.xbrl.org/Specification/calculation-1.1/REC-2023-02-22/calculation-1.1-REC-2023-02-22.html" TargetMode="External"/><Relationship Id="rId4" Type="http://schemas.openxmlformats.org/officeDocument/2006/relationships/webSettings" Target="webSettings.xml"/><Relationship Id="rId9" Type="http://schemas.openxmlformats.org/officeDocument/2006/relationships/hyperlink" Target="https://www.xbrl.org/tag/calculations/" TargetMode="External"/><Relationship Id="rId14" Type="http://schemas.openxmlformats.org/officeDocument/2006/relationships/hyperlink" Target="mailto:tdwg@xbrl.org" TargetMode="External"/><Relationship Id="rId22" Type="http://schemas.openxmlformats.org/officeDocument/2006/relationships/hyperlink" Target="https://www.xbrl.org/guidance/adopting-calc1-1/" TargetMode="External"/><Relationship Id="rId27" Type="http://schemas.openxmlformats.org/officeDocument/2006/relationships/hyperlink" Target="https://www.xbrl.org/guidance/adopting-calc1-1/" TargetMode="External"/><Relationship Id="rId30" Type="http://schemas.openxmlformats.org/officeDocument/2006/relationships/hyperlink" Target="https://www.xbrl.org/guidance/xbrl-glossary/" TargetMode="External"/><Relationship Id="rId35" Type="http://schemas.openxmlformats.org/officeDocument/2006/relationships/hyperlink" Target="https://www.xbrl.org/the-consortium/join/" TargetMode="External"/><Relationship Id="rId8" Type="http://schemas.openxmlformats.org/officeDocument/2006/relationships/hyperlink" Target="https://www.xbrl.org/tag/calc-1-1/"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1231</Words>
  <Characters>6776</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2023-03-28T02:56:00Z</dcterms:created>
  <dcterms:modified xsi:type="dcterms:W3CDTF">2023-05-23T00:43:00Z</dcterms:modified>
</cp:coreProperties>
</file>