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E10DB" w14:textId="20409650" w:rsidR="009C007F" w:rsidRPr="009C007F" w:rsidRDefault="009C007F" w:rsidP="00373B42">
      <w:pPr>
        <w:spacing w:after="0"/>
        <w:rPr>
          <w:rFonts w:ascii="Arial Nova Cond" w:hAnsi="Arial Nova Cond"/>
          <w:sz w:val="24"/>
          <w:szCs w:val="24"/>
        </w:rPr>
      </w:pPr>
      <w:bookmarkStart w:id="0" w:name="_Hlk144400927"/>
      <w:r w:rsidRPr="009C007F">
        <w:rPr>
          <w:rFonts w:ascii="Arial Nova Cond" w:hAnsi="Arial Nova Cond"/>
          <w:sz w:val="24"/>
          <w:szCs w:val="24"/>
        </w:rPr>
        <w:t>La economía de Malasia - Una propuesta de valor</w:t>
      </w:r>
    </w:p>
    <w:p w14:paraId="68D32EE9" w14:textId="7EA7B464" w:rsidR="009C007F" w:rsidRPr="009C007F" w:rsidRDefault="009C007F" w:rsidP="009C007F"/>
    <w:bookmarkEnd w:id="0"/>
    <w:p w14:paraId="5C095F60" w14:textId="77777777" w:rsidR="009C007F" w:rsidRPr="009C007F" w:rsidRDefault="009C007F" w:rsidP="00306BCC">
      <w:pPr>
        <w:jc w:val="both"/>
      </w:pPr>
      <w:r w:rsidRPr="009C007F">
        <w:t>Discurso de apertura de la Sra. </w:t>
      </w:r>
      <w:hyperlink r:id="rId5" w:history="1">
        <w:r w:rsidRPr="009C007F">
          <w:rPr>
            <w:rStyle w:val="Hipervnculo"/>
          </w:rPr>
          <w:t>Norhana Endut</w:t>
        </w:r>
      </w:hyperlink>
      <w:r w:rsidRPr="009C007F">
        <w:t> , vicegobernadora del Banco Central de Malasia (Bank Negara Malaysia), en el Seminario de Renta Fija RHB 2023, Kuala Lumpur, 8 de agosto de 2023.</w:t>
      </w:r>
    </w:p>
    <w:p w14:paraId="0D9C0ADB" w14:textId="29C1B25F" w:rsidR="009C007F" w:rsidRPr="00B135FB" w:rsidRDefault="009C007F" w:rsidP="00306BCC">
      <w:pPr>
        <w:jc w:val="both"/>
        <w:rPr>
          <w:rFonts w:ascii="Arial Nova Cond" w:hAnsi="Arial Nova Cond"/>
        </w:rPr>
      </w:pPr>
      <w:r w:rsidRPr="00B135FB">
        <w:rPr>
          <w:rFonts w:ascii="Arial Nova Cond" w:hAnsi="Arial Nova Cond"/>
        </w:rPr>
        <w:t>Discurso del banco central | 16 agosto 2023</w:t>
      </w:r>
    </w:p>
    <w:p w14:paraId="365928D5" w14:textId="45D0ECDD" w:rsidR="009C007F" w:rsidRPr="009C007F" w:rsidRDefault="009C007F" w:rsidP="00306BCC">
      <w:pPr>
        <w:jc w:val="both"/>
      </w:pPr>
      <w:r w:rsidRPr="009C007F">
        <w:t>por </w:t>
      </w:r>
      <w:hyperlink r:id="rId6" w:history="1">
        <w:r w:rsidRPr="009C007F">
          <w:rPr>
            <w:rStyle w:val="Hipervnculo"/>
          </w:rPr>
          <w:t>Norhana Endut</w:t>
        </w:r>
      </w:hyperlink>
    </w:p>
    <w:p w14:paraId="73FC8BA4" w14:textId="6990D1CA" w:rsidR="009C007F" w:rsidRPr="009C007F" w:rsidRDefault="00016572" w:rsidP="00306BCC">
      <w:pPr>
        <w:jc w:val="both"/>
      </w:pPr>
      <w:hyperlink r:id="rId7" w:history="1">
        <w:r w:rsidR="009C007F" w:rsidRPr="009C007F">
          <w:rPr>
            <w:rStyle w:val="Hipervnculo"/>
            <w:b/>
            <w:bCs/>
          </w:rPr>
          <w:t>PDF texto completo</w:t>
        </w:r>
        <w:r w:rsidR="009C007F">
          <w:rPr>
            <w:rStyle w:val="Hipervnculo"/>
            <w:b/>
            <w:bCs/>
          </w:rPr>
          <w:t xml:space="preserve"> </w:t>
        </w:r>
        <w:r w:rsidR="009C007F" w:rsidRPr="009C007F">
          <w:rPr>
            <w:rStyle w:val="Hipervnculo"/>
          </w:rPr>
          <w:t>(13kb)</w:t>
        </w:r>
      </w:hyperlink>
      <w:r w:rsidR="009C007F" w:rsidRPr="009C007F">
        <w:t> | 5 paginas</w:t>
      </w:r>
    </w:p>
    <w:p w14:paraId="3A85FCE7" w14:textId="77777777" w:rsidR="009C007F" w:rsidRPr="009C007F" w:rsidRDefault="009C007F" w:rsidP="00306BCC">
      <w:pPr>
        <w:jc w:val="both"/>
      </w:pPr>
      <w:r w:rsidRPr="009C007F">
        <w:t>Muy buenas tardes para todos. Gracias por la amable bienvenida y nuestro más sincero agradecimiento a RHB y al organizador del Seminario de Renta Fija RHB 2023 por la oportunidad de impartir esta conferencia magistral. </w:t>
      </w:r>
    </w:p>
    <w:p w14:paraId="4143FA2B" w14:textId="77777777" w:rsidR="009C007F" w:rsidRPr="009C007F" w:rsidRDefault="009C007F" w:rsidP="00306BCC">
      <w:pPr>
        <w:jc w:val="both"/>
      </w:pPr>
      <w:r w:rsidRPr="009C007F">
        <w:t>En línea con el tema del seminario, pensé que era oportuno hablar sobre tres áreas para la conferencia magistral. En primer lugar, me gustaría compartir la perspectiva económica del banco central que guía la política macroeconómica del Banco a corto plazo. En segundo lugar, me gustaría destacar algunas de las prioridades políticas clave que son fundamentales para configurar las perspectivas de la economía a corto y mediano plazo, centrándonos en la nueva política de inversión del país. En tercer lugar, me gustaría profundizar en la política y los avances con respecto a la descarbonización de la economía de Malasia. Espero que al hacer esto pueda sentar las bases para futuras conversaciones y debates en este seminario de hoy.</w:t>
      </w:r>
    </w:p>
    <w:p w14:paraId="67E10BB3" w14:textId="77777777" w:rsidR="009C007F" w:rsidRPr="00B135FB" w:rsidRDefault="009C007F" w:rsidP="00306BCC">
      <w:pPr>
        <w:jc w:val="both"/>
        <w:rPr>
          <w:rFonts w:ascii="Arial Nova Cond" w:hAnsi="Arial Nova Cond"/>
          <w:sz w:val="24"/>
          <w:szCs w:val="24"/>
        </w:rPr>
      </w:pPr>
      <w:r w:rsidRPr="00B135FB">
        <w:rPr>
          <w:rFonts w:ascii="Arial Nova Cond" w:hAnsi="Arial Nova Cond"/>
          <w:sz w:val="24"/>
          <w:szCs w:val="24"/>
        </w:rPr>
        <w:t>Parte I: Perspectivas de la economía</w:t>
      </w:r>
    </w:p>
    <w:p w14:paraId="3F8AC831" w14:textId="7B1BAD3A" w:rsidR="009C007F" w:rsidRPr="009C007F" w:rsidRDefault="009C007F" w:rsidP="00306BCC">
      <w:pPr>
        <w:jc w:val="both"/>
      </w:pPr>
      <w:r w:rsidRPr="009C007F">
        <w:t>Permítanme comenzar con una perspectiva a corto plazo de la </w:t>
      </w:r>
      <w:r w:rsidRPr="009C007F">
        <w:rPr>
          <w:b/>
          <w:bCs/>
        </w:rPr>
        <w:t>economía global</w:t>
      </w:r>
      <w:r w:rsidRPr="009C007F">
        <w:t>. Las sólidas condiciones del mercado laboral y la continua recuperación de la actividad turística a nivel mundial respaldaron la demanda global y, con esto, vimos una expansión continua del crecimiento global. La reapertura de China apoya la economía global. Sin embargo, el ritmo se ha desacelerado en los últimos meses, como lo demuestran indicadores como las exportaciones y las ventas minoristas. </w:t>
      </w:r>
    </w:p>
    <w:p w14:paraId="4A2EC46F" w14:textId="77777777" w:rsidR="009C007F" w:rsidRPr="009C007F" w:rsidRDefault="009C007F" w:rsidP="00306BCC">
      <w:pPr>
        <w:jc w:val="both"/>
      </w:pPr>
      <w:r w:rsidRPr="009C007F">
        <w:t>La economía mundial también se ve lastrada por tasas de interés más altas y una inflación elevada, así como por el actual desplazamiento del consumo de bienes a servicios, lo que está resultando en un comercio mundial de bienes más lento. En general, el Fondo Monetario Internacional (FMI) espera que el crecimiento económico mundial se modere al 3,0% en 2023 y 2024.</w:t>
      </w:r>
    </w:p>
    <w:p w14:paraId="7F32BED8" w14:textId="6FD18D31" w:rsidR="009C007F" w:rsidRPr="009C007F" w:rsidRDefault="009C007F" w:rsidP="00306BCC">
      <w:pPr>
        <w:jc w:val="both"/>
      </w:pPr>
      <w:r w:rsidRPr="009C007F">
        <w:t>Pasando a la </w:t>
      </w:r>
      <w:r w:rsidRPr="009C007F">
        <w:rPr>
          <w:b/>
          <w:bCs/>
        </w:rPr>
        <w:t>economía de Malasia</w:t>
      </w:r>
      <w:r w:rsidRPr="009C007F">
        <w:t>. Se espera que la economía nacional se expanda entre un 4% y un 5% en 2023. En medio de vientos externos en contra, el crecimiento será impulsado por la expansión de la demanda interna. Aparte de la mejora continua de las condiciones del mercado laboral que impulsará el gasto del sector privado, habrá apoyo de una mayor actividad turística. Se prevé que el aumento de las llegadas de turistas impulse el crecimiento de los subsectores de servicios de alto contacto, que se vieron más afectados durante la pandemia. Las perspectivas de crecimiento están sujetas a riesgos a la baja derivados principalmente de un crecimiento mundial más débil de lo esperado. </w:t>
      </w:r>
    </w:p>
    <w:p w14:paraId="58D07395" w14:textId="77777777" w:rsidR="009C007F" w:rsidRPr="009C007F" w:rsidRDefault="009C007F" w:rsidP="00306BCC">
      <w:pPr>
        <w:jc w:val="both"/>
      </w:pPr>
      <w:r w:rsidRPr="009C007F">
        <w:lastRenderedPageBreak/>
        <w:t>La moderación del crecimiento global ha comenzado a afectar las exportaciones de la mayoría de los países desde la segunda mitad del año pasado, y esto incluye a países de la región como Corea, Taiwán, Singapur y Malasia. Por lo tanto, se espera que el crecimiento de las exportaciones siga en contracción durante los próximos meses. Sin embargo, se espera que esta tendencia llegue a su punto mínimo este trimestre (3T 2023). Se espera que la demanda mundial de semiconductores se recupere hacia finales de año impulsada por la mejora de la demanda de servidores y computación en la nube y la flexibilización de la corrección de inventarios. Esto apoyará la recuperación del sector exterior en el futuro.</w:t>
      </w:r>
    </w:p>
    <w:p w14:paraId="4FEEF292" w14:textId="55228C35" w:rsidR="009C007F" w:rsidRPr="009C007F" w:rsidRDefault="009C007F" w:rsidP="00306BCC">
      <w:pPr>
        <w:jc w:val="both"/>
      </w:pPr>
      <w:r w:rsidRPr="009C007F">
        <w:t>Los indicadores recientes afirmaron la </w:t>
      </w:r>
      <w:r w:rsidRPr="009C007F">
        <w:rPr>
          <w:b/>
          <w:bCs/>
        </w:rPr>
        <w:t>resiliencia de la economía de Malasia</w:t>
      </w:r>
      <w:r w:rsidRPr="009C007F">
        <w:t>, con un crecimiento de la producción y varios otros indicadores económicos que superaron sus niveles previos a la pandemia. El mercado laboral se ha fortalecido este año y se espera que siga apoyando la demanda interna. La tasa de desempleo mejoró gradualmente hasta alcanzar niveles anteriores a la pandemia, impulsada por un crecimiento constante del empleo, junto con la expansión de la actividad económica. En el frente de la inversión, los grandes proyectos de infraestructura existentes están progresando. Estos incluyen proyectos relacionados con el transporte como ECRL, LRT3 y Pan Borneo Highway. </w:t>
      </w:r>
    </w:p>
    <w:p w14:paraId="1CDCA3E8" w14:textId="2969AD63" w:rsidR="009C007F" w:rsidRPr="009C007F" w:rsidRDefault="009C007F" w:rsidP="00306BCC">
      <w:pPr>
        <w:jc w:val="both"/>
      </w:pPr>
      <w:r w:rsidRPr="009C007F">
        <w:rPr>
          <w:b/>
          <w:bCs/>
        </w:rPr>
        <w:t>En cuanto a la inflación</w:t>
      </w:r>
      <w:r w:rsidRPr="009C007F">
        <w:t>, se espera que tanto la inflación general como la subyacente se moderen a lo largo del año. Para el año, se prevé que la inflación general promedie más cerca del límite inferior del rango previsto de 2,8% - 3,8%. El balance de riesgo para la inflación sigue sujeto a cambios en la política interna sobre subsidios y controles de precios, así como a los precios mundiales de las materias primas y la evolución de los mercados financieros.</w:t>
      </w:r>
    </w:p>
    <w:p w14:paraId="5788BF17" w14:textId="562D8A87" w:rsidR="009C007F" w:rsidRPr="009C007F" w:rsidRDefault="009C007F" w:rsidP="00306BCC">
      <w:pPr>
        <w:jc w:val="both"/>
      </w:pPr>
      <w:r w:rsidRPr="009C007F">
        <w:t>Una vez expuestas las perspectivas de la economía, permítanme pasar ahora a la política macroeconómica del Banco. En el enfoque del Banco respecto de </w:t>
      </w:r>
      <w:r w:rsidRPr="009C007F">
        <w:rPr>
          <w:b/>
          <w:bCs/>
        </w:rPr>
        <w:t>la política monetaria</w:t>
      </w:r>
      <w:r w:rsidRPr="009C007F">
        <w:t>, las decisiones del Comité de Política Monetaria siempre se han guiado por nuestro mandato de lograr la estabilidad de precios y el crecimiento económico sostenible en el mediano plazo. Desde mayo del año pasado, como la economía ya no estaba en crisis, el Comité ajustó gradualmente la política monetaria del Banco para alinearla con la salud de la economía. </w:t>
      </w:r>
    </w:p>
    <w:p w14:paraId="3417BDF5" w14:textId="77777777" w:rsidR="009C007F" w:rsidRPr="009C007F" w:rsidRDefault="009C007F" w:rsidP="00306BCC">
      <w:pPr>
        <w:jc w:val="both"/>
      </w:pPr>
      <w:r w:rsidRPr="009C007F">
        <w:t>Después de cinco ajustes de la OPR (la OPR volvió al nivel anterior a la pandemia del 3,00%), esencialmente retirando el estímulo monetario proporcionado durante la crisis para apoyar la recuperación económica en ese momento. Una OPR más alta también protegería contra riesgos alcistas para la inflación y evitaría el riesgo de futuros desequilibrios financieros. En la reciente reunión de julio, el MPC mantuvo la OPR en 3,00%, ya que la evaluación de la inflación interna y las perspectivas de crecimiento se mantuvieron en general dentro de las expectativas. Aunque se espera que la inflación tenga una tendencia a la baja, es fundamental seguir atento al riesgo potencial de que la inflación subyacente persista en niveles elevados.</w:t>
      </w:r>
    </w:p>
    <w:p w14:paraId="0DDF295D" w14:textId="77777777" w:rsidR="009C007F" w:rsidRPr="009C007F" w:rsidRDefault="009C007F" w:rsidP="00306BCC">
      <w:pPr>
        <w:jc w:val="both"/>
      </w:pPr>
      <w:r w:rsidRPr="009C007F">
        <w:t xml:space="preserve">El entorno económico mundial altamente incierto experimentado a lo largo del año ha provocado cambios en el sentimiento de los inversores, lo que ha generado volatilidad en los mercados financieros de todo el mundo. Al igual que otras economías de mercados emergentes, los mercados financieros de Malasia y su moneda no se salvan. El ringgit se ha enfrentado a una importante presión de depreciación, lo que refleja las expectativas de los inversores de un mayor endurecimiento de la política monetaria en EE.UU., la incertidumbre en torno a las tensiones del </w:t>
      </w:r>
      <w:r w:rsidRPr="009C007F">
        <w:lastRenderedPageBreak/>
        <w:t>sector bancario en marzo y, más recientemente, el empeoramiento de las perspectivas de crecimiento de China.</w:t>
      </w:r>
    </w:p>
    <w:p w14:paraId="45428198" w14:textId="77777777" w:rsidR="009C007F" w:rsidRPr="009C007F" w:rsidRDefault="009C007F" w:rsidP="00306BCC">
      <w:pPr>
        <w:jc w:val="both"/>
      </w:pPr>
      <w:r w:rsidRPr="009C007F">
        <w:t>En un </w:t>
      </w:r>
      <w:r w:rsidRPr="009C007F">
        <w:rPr>
          <w:b/>
          <w:bCs/>
        </w:rPr>
        <w:t>régimen de tipo de cambio flexible</w:t>
      </w:r>
      <w:r w:rsidRPr="009C007F">
        <w:t> en el que el movimiento de la moneda está determinado por el mercado, es razonable que el ringgit fluctúe de vez en cuando. Estos permiten ajustes en la economía nacional a los shocks económicos y financieros globales. En este sentido, el papel del Bank Negara se centra esencialmente en garantizar que estos ajustes del mercado y la determinación de precios se mantengan ordenados.  </w:t>
      </w:r>
    </w:p>
    <w:p w14:paraId="23726F86" w14:textId="77777777" w:rsidR="009C007F" w:rsidRPr="009C007F" w:rsidRDefault="009C007F" w:rsidP="00306BCC">
      <w:pPr>
        <w:jc w:val="both"/>
      </w:pPr>
      <w:r w:rsidRPr="009C007F">
        <w:t>Con este fin, Bank Negara interviene en el mercado de divisas para frenar los movimientos de divisas que se consideran excesivos.</w:t>
      </w:r>
    </w:p>
    <w:p w14:paraId="782D3035" w14:textId="77777777" w:rsidR="009C007F" w:rsidRPr="009C007F" w:rsidRDefault="009C007F" w:rsidP="00306BCC">
      <w:pPr>
        <w:jc w:val="both"/>
      </w:pPr>
      <w:r w:rsidRPr="009C007F">
        <w:t>Más allá de gestionar estas volatilidades de alto corto plazo, y desde una </w:t>
      </w:r>
      <w:r w:rsidRPr="009C007F">
        <w:rPr>
          <w:b/>
          <w:bCs/>
        </w:rPr>
        <w:t>perspectiva más de mediano plazo, el Banco se concentra en seguir desarrollando nuestros mercados financieros</w:t>
      </w:r>
      <w:r w:rsidRPr="009C007F">
        <w:t> con miras a mejorar tanto la accesibilidad como el atractivo de nuestros mercados. Muchas de las iniciativas se llevan a cabo en colaboración con la industria a través de plataformas como el Comité de Mercados Financieros y sus subcomités y grupos de trabajo asociados. Nuestros esfuerzos de extensión al mercado incluyen compromisos regulares, como la serie de participación de inversionistas de la Asociación de Mercados Financieros de Malasia. Estos eventos facilitan el intercambio de información valiosa y retroalimentación entre los participantes del mercado y los formuladores de políticas.  </w:t>
      </w:r>
    </w:p>
    <w:p w14:paraId="789F5ADC" w14:textId="77777777" w:rsidR="009C007F" w:rsidRPr="009C007F" w:rsidRDefault="009C007F" w:rsidP="00306BCC">
      <w:pPr>
        <w:jc w:val="both"/>
      </w:pPr>
      <w:r w:rsidRPr="009C007F">
        <w:t>El mercado financiero de Malasia sigue siendo ampliamente accesible y respaldado por programas existentes como el Programa de Cobertura Dinámica, que ha sido bien recibido y registró un crecimiento constante en la participación desde su inicio. Al mismo tiempo, seguimos centrándonos en la transparencia de los datos de los mercados financieros a través de iniciativas como el Portal para inversores de los mercados financieros. Como testimonio de la accesibilidad y liquidez del mercado interno, los bonos malayos se incluyen en los principales índices de bonos gubernamentales. Esto respalda el mercado de bonos al proporcionar una base de inversores institucionales estables y de largo plazo.</w:t>
      </w:r>
    </w:p>
    <w:p w14:paraId="146DA2A2" w14:textId="77777777" w:rsidR="009C007F" w:rsidRPr="00B135FB" w:rsidRDefault="009C007F" w:rsidP="009C007F">
      <w:pPr>
        <w:rPr>
          <w:rFonts w:ascii="Arial Nova Cond" w:hAnsi="Arial Nova Cond"/>
          <w:sz w:val="24"/>
          <w:szCs w:val="24"/>
        </w:rPr>
      </w:pPr>
      <w:r w:rsidRPr="00B135FB">
        <w:rPr>
          <w:rFonts w:ascii="Arial Nova Cond" w:hAnsi="Arial Nova Cond"/>
          <w:sz w:val="24"/>
          <w:szCs w:val="24"/>
        </w:rPr>
        <w:t>Parte II: Prioridades políticas</w:t>
      </w:r>
    </w:p>
    <w:p w14:paraId="4D04EC4E" w14:textId="77777777" w:rsidR="009C007F" w:rsidRPr="009C007F" w:rsidRDefault="009C007F" w:rsidP="00306BCC">
      <w:pPr>
        <w:jc w:val="both"/>
      </w:pPr>
      <w:r w:rsidRPr="009C007F">
        <w:t>Damas y caballeros,</w:t>
      </w:r>
    </w:p>
    <w:p w14:paraId="50EA42CD" w14:textId="77777777" w:rsidR="009C007F" w:rsidRPr="009C007F" w:rsidRDefault="009C007F" w:rsidP="00306BCC">
      <w:pPr>
        <w:jc w:val="both"/>
      </w:pPr>
      <w:r w:rsidRPr="009C007F">
        <w:t>Permítanme explicar ahora nuestras prioridades políticas. </w:t>
      </w:r>
    </w:p>
    <w:p w14:paraId="4611A3D7" w14:textId="77777777" w:rsidR="009C007F" w:rsidRPr="009C007F" w:rsidRDefault="009C007F" w:rsidP="00306BCC">
      <w:pPr>
        <w:jc w:val="both"/>
      </w:pPr>
      <w:r w:rsidRPr="009C007F">
        <w:t>Existen varias políticas vigentes que apuntan a mejorar el potencial de crecimiento de Malasia y fortalecer la competitividad industrial. Además, estas políticas aliviarán las preocupaciones sobre el costo de vida, crearán protección contra crisis futuras y apoyarán la transición de Malasia hacia una nación de altos ingresos.</w:t>
      </w:r>
    </w:p>
    <w:p w14:paraId="2DC74221" w14:textId="77777777" w:rsidR="009C007F" w:rsidRPr="009C007F" w:rsidRDefault="009C007F" w:rsidP="00306BCC">
      <w:pPr>
        <w:jc w:val="both"/>
      </w:pPr>
      <w:r w:rsidRPr="009C007F">
        <w:t>A través de un enfoque de 'toda la nación', las prioridades están orientadas a atraer inversiones de alta calidad para avanzar en la complejidad económica y crear empleos altamente calificados. Se presta especial atención al avance de la digitalización, la transición a una economía resiliente al clima y la creación de una fuerza laboral preparada para el futuro, solo por nombrar algunos. Permítanme profundizar en dos prioridades de hoy, a saber, inversiones de calidad y la transición a una economía resiliente al clima.</w:t>
      </w:r>
    </w:p>
    <w:p w14:paraId="5040A95B" w14:textId="77777777" w:rsidR="009C007F" w:rsidRPr="009C007F" w:rsidRDefault="009C007F" w:rsidP="00306BCC">
      <w:pPr>
        <w:jc w:val="both"/>
      </w:pPr>
      <w:r w:rsidRPr="009C007F">
        <w:lastRenderedPageBreak/>
        <w:t>Se espera que la implementación de las reformas en el marco de la </w:t>
      </w:r>
      <w:r w:rsidRPr="009C007F">
        <w:rPr>
          <w:b/>
          <w:bCs/>
        </w:rPr>
        <w:t>Nueva Política de Inversiones (PIN)</w:t>
      </w:r>
      <w:r w:rsidRPr="009C007F">
        <w:t> atraiga y retenga inversiones de calidad. El NIP mejoraría el ecosistema de inversión de Malasia y tendría efectos dominó en la economía, incluida la creación de más empleos altamente calificados y el fomento de la innovación. El objetivo del NIP es lograr las Aspiraciones de Inversión Nacional (NIA) de creciente complejidad económica, creando oportunidades laborales de alto valor, ampliando los vínculos nacionales, desarrollando clusters nuevos y existentes y mejorando la inclusión.  </w:t>
      </w:r>
    </w:p>
    <w:p w14:paraId="5BADD8D4" w14:textId="77777777" w:rsidR="009C007F" w:rsidRPr="009C007F" w:rsidRDefault="009C007F" w:rsidP="00306BCC">
      <w:pPr>
        <w:jc w:val="both"/>
      </w:pPr>
      <w:r w:rsidRPr="009C007F">
        <w:t>Según el NIP, las estrategias incluyen optimizar los esfuerzos de promoción y orientación de inversiones, especialmente hacia sectores estratégicos clave, mejorar los paquetes de incentivos para ser más ágiles y dinámicos, y fortalecer las prácticas ESG. De hecho, se espera que a finales de este mes se anuncie el Nuevo Plan Maestro Industrial 2030 (NIMP), que tiene como objetivo revitalizar el sector industrial e impulsar un nuevo crecimiento económico.</w:t>
      </w:r>
    </w:p>
    <w:p w14:paraId="376435E0" w14:textId="77777777" w:rsidR="009C007F" w:rsidRPr="00B135FB" w:rsidRDefault="009C007F" w:rsidP="00306BCC">
      <w:pPr>
        <w:jc w:val="both"/>
        <w:rPr>
          <w:rFonts w:ascii="Arial Nova Cond" w:hAnsi="Arial Nova Cond"/>
          <w:sz w:val="24"/>
          <w:szCs w:val="24"/>
        </w:rPr>
      </w:pPr>
      <w:r w:rsidRPr="00B135FB">
        <w:rPr>
          <w:rFonts w:ascii="Arial Nova Cond" w:hAnsi="Arial Nova Cond"/>
          <w:sz w:val="24"/>
          <w:szCs w:val="24"/>
        </w:rPr>
        <w:t>Parte III: Hacer más ecológica la economía</w:t>
      </w:r>
    </w:p>
    <w:p w14:paraId="1A73ABB1" w14:textId="77777777" w:rsidR="009C007F" w:rsidRPr="009C007F" w:rsidRDefault="009C007F" w:rsidP="00306BCC">
      <w:pPr>
        <w:jc w:val="both"/>
      </w:pPr>
      <w:r w:rsidRPr="009C007F">
        <w:t>Ahora permítanme abordar nuestras </w:t>
      </w:r>
      <w:r w:rsidRPr="009C007F">
        <w:rPr>
          <w:b/>
          <w:bCs/>
        </w:rPr>
        <w:t>políticas y avances hacia la descarbonización</w:t>
      </w:r>
      <w:r w:rsidRPr="009C007F">
        <w:t> y la ecologización de nuestra economía. En julio de 2023, el planeta Tierra experimentó la temperatura promedio más alta. El futuro está aquí, el cambio climático está aquí. A pesar de emitir menos del 1% de las emisiones globales, Malasia, al ser una nación responsable, se ha comprometido a lograr cero emisiones netas de GEI ya en 2050.   </w:t>
      </w:r>
    </w:p>
    <w:p w14:paraId="628E6C8E" w14:textId="2C283589" w:rsidR="009C007F" w:rsidRPr="009C007F" w:rsidRDefault="009C007F" w:rsidP="00306BCC">
      <w:pPr>
        <w:jc w:val="both"/>
      </w:pPr>
      <w:r w:rsidRPr="009C007F">
        <w:t>En la actualidad, el gobierno se está centrando en los esfuerzos </w:t>
      </w:r>
      <w:r w:rsidRPr="009C007F">
        <w:rPr>
          <w:b/>
          <w:bCs/>
        </w:rPr>
        <w:t>para establecer elementos clave para garantizar una transición ordenada y justa del país</w:t>
      </w:r>
      <w:r w:rsidRPr="009C007F">
        <w:t>. Estos incluyen el desarrollo de una legislación climática nacional, vías sectoriales a largo plazo (LT-LEDS) y la hoja de ruta de Contribuciones Determinadas a Nivel Nacional (NDC) que ayudarían a gestionar la transición con una adaptación y mitigación más efectivas. </w:t>
      </w:r>
    </w:p>
    <w:p w14:paraId="0CE779D4" w14:textId="77777777" w:rsidR="009C007F" w:rsidRPr="009C007F" w:rsidRDefault="009C007F" w:rsidP="00306BCC">
      <w:pPr>
        <w:jc w:val="both"/>
      </w:pPr>
      <w:r w:rsidRPr="009C007F">
        <w:t>Como economía en desarrollo que depende en gran medida de los combustibles fósiles y que aún se encuentra en la fase inicial de su transición, Malasia requiere importantes inversiones y apoyo tecnológico para descarbonizar la economía. Por ejemplo, la Fase 1 de la Hoja de Ruta Nacional de Transición Energética que se publicó recientemente detalla diez iniciativas y proyectos catalizadores emblemáticos. Estos proyectos requieren entre 435.000 millones y 1,85 billones de ringgit de aquí a 2050 para realizar la transición sólo en el sector energético. Durante la fase de transición, las empresas necesitarán financiación para adoptar nuevos modelos de negocio que incorporen la sostenibilidad y sean respetuosos con el clima y el medio ambiente, recalibrar las prácticas existentes y adoptar nuevas tecnologías. La protección para ayudar a mitigar posibles interrupciones durante el proceso de transformación también es clave.</w:t>
      </w:r>
    </w:p>
    <w:p w14:paraId="27395F42" w14:textId="77777777" w:rsidR="009C007F" w:rsidRPr="00B135FB" w:rsidRDefault="009C007F" w:rsidP="00306BCC">
      <w:pPr>
        <w:jc w:val="both"/>
        <w:rPr>
          <w:rFonts w:ascii="Arial Nova Cond" w:hAnsi="Arial Nova Cond"/>
          <w:sz w:val="24"/>
          <w:szCs w:val="24"/>
        </w:rPr>
      </w:pPr>
      <w:r w:rsidRPr="00B135FB">
        <w:rPr>
          <w:rFonts w:ascii="Arial Nova Cond" w:hAnsi="Arial Nova Cond"/>
          <w:sz w:val="24"/>
          <w:szCs w:val="24"/>
        </w:rPr>
        <w:t>El sector financiero como facilitador clave</w:t>
      </w:r>
    </w:p>
    <w:p w14:paraId="5F082504" w14:textId="77777777" w:rsidR="009C007F" w:rsidRPr="009C007F" w:rsidRDefault="009C007F" w:rsidP="00306BCC">
      <w:pPr>
        <w:jc w:val="both"/>
      </w:pPr>
      <w:r w:rsidRPr="009C007F">
        <w:t>Como economía basada en los bancos, con más del 70% de la financiación al sector privado en forma de financiación bancaria, aquí es donde el </w:t>
      </w:r>
      <w:r w:rsidRPr="009C007F">
        <w:rPr>
          <w:b/>
          <w:bCs/>
        </w:rPr>
        <w:t>sector financiero, al ser el epicentro de nuestra economía, desempeña un papel facilitador clave. </w:t>
      </w:r>
      <w:r w:rsidRPr="009C007F">
        <w:t>El sector financiero tiene dos funciones en el apoyo a la transición: ser resiliente al clima (finanzas verdes) y como catalizador y facilitador (financiaciones verdes).  </w:t>
      </w:r>
    </w:p>
    <w:p w14:paraId="5680F394" w14:textId="77777777" w:rsidR="009C007F" w:rsidRPr="009C007F" w:rsidRDefault="009C007F" w:rsidP="00306BCC">
      <w:pPr>
        <w:jc w:val="both"/>
      </w:pPr>
      <w:r w:rsidRPr="009C007F">
        <w:lastRenderedPageBreak/>
        <w:t>En las finanzas ecológicas, se espera que las instituciones financieras desarrollen su propia capacidad para fortalecer la resiliencia frente a los riesgos climáticos y ambientales. Esto implica mejorar la evaluación y gestión de la exposición a riesgos físicos y de transición, y acelerar la divulgación de riesgos climáticos que puedan mitigar el riesgo de lavado verde y mejorar la confianza de las partes interesadas.</w:t>
      </w:r>
    </w:p>
    <w:p w14:paraId="2C0D4889" w14:textId="612EE690" w:rsidR="009C007F" w:rsidRPr="009C007F" w:rsidRDefault="009C007F" w:rsidP="00306BCC">
      <w:pPr>
        <w:jc w:val="both"/>
      </w:pPr>
      <w:r w:rsidRPr="009C007F">
        <w:t>En la financiación verde, las instituciones financieras pueden ayudar a desarrollar la capacidad de los clientes para hacer la transición hacia prácticas más verdes y sostenibles brindándoles asesoramiento o desarrollo de capacidades, y desarrollando productos y servicios específicos para financiar la transición y la adaptación. En esencia, no es suficiente que el sector financiero se centre en gran medida en desarrollar su resiliencia a los efectos del cambio climático. </w:t>
      </w:r>
      <w:r w:rsidR="00306BCC" w:rsidRPr="009C007F">
        <w:t>Igualmente,</w:t>
      </w:r>
      <w:r w:rsidRPr="009C007F">
        <w:t xml:space="preserve"> importante es que el sector financiero ayude a sus clientes en la transición a través de los productos y soluciones que ofrecen, así como los servicios de asesoramiento. Este apoyo es aún más crítico para las empresas más pequeñas.</w:t>
      </w:r>
    </w:p>
    <w:p w14:paraId="14A48C75" w14:textId="77777777" w:rsidR="009C007F" w:rsidRPr="00B135FB" w:rsidRDefault="009C007F" w:rsidP="00306BCC">
      <w:pPr>
        <w:jc w:val="both"/>
        <w:rPr>
          <w:rFonts w:ascii="Arial Nova Cond" w:hAnsi="Arial Nova Cond"/>
          <w:sz w:val="24"/>
          <w:szCs w:val="24"/>
        </w:rPr>
      </w:pPr>
      <w:r w:rsidRPr="00B135FB">
        <w:rPr>
          <w:rFonts w:ascii="Arial Nova Cond" w:hAnsi="Arial Nova Cond"/>
          <w:sz w:val="24"/>
          <w:szCs w:val="24"/>
        </w:rPr>
        <w:t>Reguladores financieros trabajando en colaboración</w:t>
      </w:r>
    </w:p>
    <w:p w14:paraId="07AD326F" w14:textId="1D9A901B" w:rsidR="009C007F" w:rsidRPr="009C007F" w:rsidRDefault="009C007F" w:rsidP="00306BCC">
      <w:pPr>
        <w:jc w:val="both"/>
      </w:pPr>
      <w:r w:rsidRPr="009C007F">
        <w:t>Como tal, </w:t>
      </w:r>
      <w:r w:rsidRPr="009C007F">
        <w:rPr>
          <w:b/>
          <w:bCs/>
        </w:rPr>
        <w:t>el Banco, junto con la Comisión de Valores de Malasia,</w:t>
      </w:r>
      <w:r w:rsidRPr="009C007F">
        <w:t> ha estado centrando sus esfuerzos en sentar las bases pertinentes para un ecosistema de finanzas verdes propicio. Estos incluyen el desarrollo de estrategias a mediano plazo, expectativas regulatorias y de supervisión coherentes y orientación que reflejen consideraciones de riesgo climático.  </w:t>
      </w:r>
    </w:p>
    <w:p w14:paraId="1A747C35" w14:textId="77777777" w:rsidR="009C007F" w:rsidRPr="009C007F" w:rsidRDefault="009C007F" w:rsidP="00306BCC">
      <w:pPr>
        <w:jc w:val="both"/>
      </w:pPr>
      <w:r w:rsidRPr="009C007F">
        <w:t>Para el mercado de capitales, los marcos y orientaciones tienen como objetivo estimular los fondos e inversiones vinculados a la ISR. El Banco también ha establecido mecanismos de financiación especiales para catalizar las respuestas del sector financiero en apoyo de la transición de las empresas, en particular las PYME. Los reguladores financieros, al adoptar un enfoque que abarque a todo el sector financiero, han formado el Comité Conjunto sobre Cambio Climático, JC3, que se centra en el desarrollo de herramientas prácticas para acelerar la preparación del sector financiero para asumir el papel facilitador. El JC3 se centra en seis áreas: gestión de riesgos, gobernanza y divulgación, productos y soluciones, requisitos de datos, desarrollo de capacidades y, más recientemente, acelerar la transición de las PYME. También se están explorando activamente soluciones piloto para catalizar y ampliar el apoyo al sector financiero, especialmente aquellos que involucran nuevos instrumentos financieros o nuevos proyectos ecológicos y de transición. Con una base sólida y marcos facilitadores implementados, estamos seguros de que ayudarán a profundizar nuestro mercado de finanzas verdes con mayores ofertas de productos y soluciones financieras verdes.</w:t>
      </w:r>
    </w:p>
    <w:p w14:paraId="01CDB35B" w14:textId="77777777" w:rsidR="009C007F" w:rsidRPr="00B135FB" w:rsidRDefault="009C007F" w:rsidP="009C007F">
      <w:pPr>
        <w:rPr>
          <w:rFonts w:ascii="Arial Nova Cond" w:hAnsi="Arial Nova Cond"/>
          <w:sz w:val="24"/>
          <w:szCs w:val="24"/>
        </w:rPr>
      </w:pPr>
      <w:r w:rsidRPr="00B135FB">
        <w:rPr>
          <w:rFonts w:ascii="Arial Nova Cond" w:hAnsi="Arial Nova Cond"/>
          <w:sz w:val="24"/>
          <w:szCs w:val="24"/>
        </w:rPr>
        <w:t>Haciendo buenos progresos</w:t>
      </w:r>
    </w:p>
    <w:p w14:paraId="4B666314" w14:textId="77777777" w:rsidR="009C007F" w:rsidRPr="009C007F" w:rsidRDefault="009C007F" w:rsidP="00306BCC">
      <w:pPr>
        <w:jc w:val="both"/>
      </w:pPr>
      <w:r w:rsidRPr="009C007F">
        <w:t xml:space="preserve">Me complace mucho decir que el sector financiero ha estado respondiendo muy positivamente y está comprometido a apoyar la transición del país. Las instituciones financieras han comprometido más de RM200 mil millones en financiamiento para ESG hasta 2025. Estamos observando que cada vez se implementan más productos y soluciones financieros vinculados a la transición y la sostenibilidad. Si bien estos son ciertamente avances positivos, somos conscientes de que no podemos depender únicamente del sector financiero para financiar la transición del país. La comunidad financiera y de inversión internacional, así como los proveedores de capital filantrópico, </w:t>
      </w:r>
      <w:r w:rsidRPr="009C007F">
        <w:lastRenderedPageBreak/>
        <w:t>son clave para ayudarnos a cubrir las brechas de inversión y financiamiento y, por lo tanto, permitirnos avanzar sin problemas en el viaje de transición.</w:t>
      </w:r>
    </w:p>
    <w:p w14:paraId="31F3D8E0" w14:textId="77777777" w:rsidR="009C007F" w:rsidRPr="00B135FB" w:rsidRDefault="009C007F" w:rsidP="009C007F">
      <w:pPr>
        <w:rPr>
          <w:rFonts w:ascii="Arial Nova Cond" w:hAnsi="Arial Nova Cond"/>
          <w:sz w:val="24"/>
          <w:szCs w:val="24"/>
        </w:rPr>
      </w:pPr>
      <w:r w:rsidRPr="00B135FB">
        <w:rPr>
          <w:rFonts w:ascii="Arial Nova Cond" w:hAnsi="Arial Nova Cond"/>
          <w:sz w:val="24"/>
          <w:szCs w:val="24"/>
        </w:rPr>
        <w:t>Conclusión</w:t>
      </w:r>
    </w:p>
    <w:p w14:paraId="72D3D559" w14:textId="1C4C818A" w:rsidR="009C007F" w:rsidRPr="009C007F" w:rsidRDefault="009C007F" w:rsidP="00306BCC">
      <w:pPr>
        <w:jc w:val="both"/>
      </w:pPr>
      <w:r w:rsidRPr="009C007F">
        <w:t>Los sólidos fundamentos económicos, las sólidas políticas macroeconómicas y las iniciativas y hojas de ruta económicas estratégicas que sientan las bases para que Malasia aproveche las oportunidades de nuevas áreas de crecimiento, incluidas aquellas que son de alto valor y sostenibles, subrayan la propuesta de valor que la economía de Malasia tiene para ofrecer. Teniendo esto en cuenta, les deseo un seminario productivo por delante.</w:t>
      </w:r>
    </w:p>
    <w:p w14:paraId="43ACBE94" w14:textId="77777777" w:rsidR="009C007F" w:rsidRPr="009C007F" w:rsidRDefault="009C007F" w:rsidP="009C007F">
      <w:r w:rsidRPr="009C007F">
        <w:t>Gracias por tu tiempo y atención.</w:t>
      </w:r>
    </w:p>
    <w:p w14:paraId="16058E09" w14:textId="7018F078" w:rsidR="009C007F" w:rsidRPr="009C007F" w:rsidRDefault="009C007F" w:rsidP="009C007F">
      <w:pPr>
        <w:rPr>
          <w:rStyle w:val="Hipervnculo"/>
          <w:b/>
          <w:bCs/>
          <w:color w:val="auto"/>
          <w:u w:val="none"/>
        </w:rPr>
      </w:pPr>
      <w:r w:rsidRPr="009C007F">
        <w:rPr>
          <w:b/>
          <w:bCs/>
        </w:rPr>
        <w:t>Sobre el Autor</w:t>
      </w:r>
      <w:r w:rsidRPr="009C007F">
        <w:fldChar w:fldCharType="begin"/>
      </w:r>
      <w:r w:rsidRPr="009C007F">
        <w:instrText xml:space="preserve"> HYPERLINK "https://www.bis.org/author/norhana_endut.htm" </w:instrText>
      </w:r>
      <w:r w:rsidRPr="009C007F">
        <w:fldChar w:fldCharType="separate"/>
      </w:r>
    </w:p>
    <w:p w14:paraId="5E29A96F" w14:textId="23058B55" w:rsidR="009C007F" w:rsidRPr="00B135FB" w:rsidRDefault="009C007F" w:rsidP="009C007F">
      <w:pPr>
        <w:rPr>
          <w:rStyle w:val="Hipervnculo"/>
          <w:b/>
          <w:bCs/>
        </w:rPr>
      </w:pPr>
      <w:r w:rsidRPr="009C007F">
        <w:rPr>
          <w:rStyle w:val="Hipervnculo"/>
          <w:b/>
          <w:bCs/>
        </w:rPr>
        <w:t>Norhana Endut</w:t>
      </w:r>
    </w:p>
    <w:p w14:paraId="1D07D5CB" w14:textId="5DADD032" w:rsidR="009C007F" w:rsidRPr="009C007F" w:rsidRDefault="009C007F" w:rsidP="009C007F">
      <w:pPr>
        <w:rPr>
          <w:b/>
          <w:bCs/>
        </w:rPr>
      </w:pPr>
      <w:r w:rsidRPr="009C007F">
        <w:fldChar w:fldCharType="end"/>
      </w:r>
      <w:r w:rsidRPr="009C007F">
        <w:rPr>
          <w:b/>
          <w:bCs/>
        </w:rPr>
        <w:t>Información relacionada</w:t>
      </w:r>
    </w:p>
    <w:p w14:paraId="50A19580" w14:textId="43A3D12F" w:rsidR="009C007F" w:rsidRPr="009C007F" w:rsidRDefault="00016572" w:rsidP="00B135FB">
      <w:pPr>
        <w:numPr>
          <w:ilvl w:val="0"/>
          <w:numId w:val="1"/>
        </w:numPr>
        <w:spacing w:after="0"/>
      </w:pPr>
      <w:hyperlink r:id="rId8" w:history="1">
        <w:r w:rsidR="009C007F" w:rsidRPr="009C007F">
          <w:rPr>
            <w:rStyle w:val="Hipervnculo"/>
          </w:rPr>
          <w:t>Más</w:t>
        </w:r>
        <w:r w:rsidR="00B135FB">
          <w:rPr>
            <w:rStyle w:val="Hipervnculo"/>
          </w:rPr>
          <w:t xml:space="preserve"> </w:t>
        </w:r>
        <w:r w:rsidR="009C007F" w:rsidRPr="009C007F">
          <w:rPr>
            <w:rStyle w:val="Hipervnculo"/>
          </w:rPr>
          <w:t>discursos del "Banco Central de Malasia"</w:t>
        </w:r>
      </w:hyperlink>
    </w:p>
    <w:p w14:paraId="61F137A6" w14:textId="3E124354" w:rsidR="009C007F" w:rsidRPr="009C007F" w:rsidRDefault="00016572" w:rsidP="009C007F">
      <w:pPr>
        <w:numPr>
          <w:ilvl w:val="0"/>
          <w:numId w:val="1"/>
        </w:numPr>
      </w:pPr>
      <w:hyperlink r:id="rId9" w:history="1">
        <w:r w:rsidR="009C007F" w:rsidRPr="009C007F">
          <w:rPr>
            <w:rStyle w:val="Hipervnculo"/>
          </w:rPr>
          <w:t>Página del país: Malasia</w:t>
        </w:r>
      </w:hyperlink>
    </w:p>
    <w:p w14:paraId="597205FB" w14:textId="77777777" w:rsidR="002C5894" w:rsidRDefault="002C5894"/>
    <w:sectPr w:rsidR="002C589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3316F"/>
    <w:multiLevelType w:val="multilevel"/>
    <w:tmpl w:val="5406F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07F"/>
    <w:rsid w:val="00016572"/>
    <w:rsid w:val="002C5894"/>
    <w:rsid w:val="00306BCC"/>
    <w:rsid w:val="00373B42"/>
    <w:rsid w:val="009C007F"/>
    <w:rsid w:val="00B135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70A71"/>
  <w15:chartTrackingRefBased/>
  <w15:docId w15:val="{77DD4041-04A9-48B3-8A76-9DB7C9C97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C007F"/>
    <w:rPr>
      <w:color w:val="0563C1" w:themeColor="hyperlink"/>
      <w:u w:val="single"/>
    </w:rPr>
  </w:style>
  <w:style w:type="character" w:styleId="Mencinsinresolver">
    <w:name w:val="Unresolved Mention"/>
    <w:basedOn w:val="Fuentedeprrafopredeter"/>
    <w:uiPriority w:val="99"/>
    <w:semiHidden/>
    <w:unhideWhenUsed/>
    <w:rsid w:val="009C00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139164">
      <w:bodyDiv w:val="1"/>
      <w:marLeft w:val="0"/>
      <w:marRight w:val="0"/>
      <w:marTop w:val="0"/>
      <w:marBottom w:val="0"/>
      <w:divBdr>
        <w:top w:val="none" w:sz="0" w:space="0" w:color="auto"/>
        <w:left w:val="none" w:sz="0" w:space="0" w:color="auto"/>
        <w:bottom w:val="none" w:sz="0" w:space="0" w:color="auto"/>
        <w:right w:val="none" w:sz="0" w:space="0" w:color="auto"/>
      </w:divBdr>
      <w:divsChild>
        <w:div w:id="1937052682">
          <w:marLeft w:val="0"/>
          <w:marRight w:val="0"/>
          <w:marTop w:val="0"/>
          <w:marBottom w:val="0"/>
          <w:divBdr>
            <w:top w:val="none" w:sz="0" w:space="0" w:color="auto"/>
            <w:left w:val="none" w:sz="0" w:space="0" w:color="auto"/>
            <w:bottom w:val="none" w:sz="0" w:space="0" w:color="auto"/>
            <w:right w:val="none" w:sz="0" w:space="0" w:color="auto"/>
          </w:divBdr>
        </w:div>
        <w:div w:id="561915985">
          <w:marLeft w:val="0"/>
          <w:marRight w:val="0"/>
          <w:marTop w:val="0"/>
          <w:marBottom w:val="0"/>
          <w:divBdr>
            <w:top w:val="single" w:sz="18" w:space="15" w:color="AA332F"/>
            <w:left w:val="none" w:sz="0" w:space="0" w:color="auto"/>
            <w:bottom w:val="none" w:sz="0" w:space="0" w:color="auto"/>
            <w:right w:val="none" w:sz="0" w:space="0" w:color="auto"/>
          </w:divBdr>
          <w:divsChild>
            <w:div w:id="61029321">
              <w:marLeft w:val="0"/>
              <w:marRight w:val="0"/>
              <w:marTop w:val="0"/>
              <w:marBottom w:val="0"/>
              <w:divBdr>
                <w:top w:val="none" w:sz="0" w:space="0" w:color="auto"/>
                <w:left w:val="none" w:sz="0" w:space="0" w:color="auto"/>
                <w:bottom w:val="none" w:sz="0" w:space="0" w:color="auto"/>
                <w:right w:val="none" w:sz="0" w:space="0" w:color="auto"/>
              </w:divBdr>
              <w:divsChild>
                <w:div w:id="1248032302">
                  <w:marLeft w:val="0"/>
                  <w:marRight w:val="0"/>
                  <w:marTop w:val="0"/>
                  <w:marBottom w:val="0"/>
                  <w:divBdr>
                    <w:top w:val="none" w:sz="0" w:space="0" w:color="auto"/>
                    <w:left w:val="none" w:sz="0" w:space="0" w:color="auto"/>
                    <w:bottom w:val="none" w:sz="0" w:space="0" w:color="auto"/>
                    <w:right w:val="none" w:sz="0" w:space="0" w:color="auto"/>
                  </w:divBdr>
                  <w:divsChild>
                    <w:div w:id="1276326327">
                      <w:marLeft w:val="0"/>
                      <w:marRight w:val="0"/>
                      <w:marTop w:val="0"/>
                      <w:marBottom w:val="0"/>
                      <w:divBdr>
                        <w:top w:val="none" w:sz="0" w:space="0" w:color="auto"/>
                        <w:left w:val="none" w:sz="0" w:space="0" w:color="auto"/>
                        <w:bottom w:val="none" w:sz="0" w:space="0" w:color="auto"/>
                        <w:right w:val="none" w:sz="0" w:space="0" w:color="auto"/>
                      </w:divBdr>
                    </w:div>
                  </w:divsChild>
                </w:div>
                <w:div w:id="1035227138">
                  <w:marLeft w:val="0"/>
                  <w:marRight w:val="0"/>
                  <w:marTop w:val="0"/>
                  <w:marBottom w:val="0"/>
                  <w:divBdr>
                    <w:top w:val="none" w:sz="0" w:space="0" w:color="auto"/>
                    <w:left w:val="none" w:sz="0" w:space="0" w:color="auto"/>
                    <w:bottom w:val="none" w:sz="0" w:space="0" w:color="auto"/>
                    <w:right w:val="none" w:sz="0" w:space="0" w:color="auto"/>
                  </w:divBdr>
                  <w:divsChild>
                    <w:div w:id="1695690370">
                      <w:marLeft w:val="0"/>
                      <w:marRight w:val="0"/>
                      <w:marTop w:val="0"/>
                      <w:marBottom w:val="0"/>
                      <w:divBdr>
                        <w:top w:val="none" w:sz="0" w:space="0" w:color="auto"/>
                        <w:left w:val="none" w:sz="0" w:space="0" w:color="auto"/>
                        <w:bottom w:val="none" w:sz="0" w:space="0" w:color="auto"/>
                        <w:right w:val="none" w:sz="0" w:space="0" w:color="auto"/>
                      </w:divBdr>
                    </w:div>
                  </w:divsChild>
                </w:div>
                <w:div w:id="1235775216">
                  <w:marLeft w:val="0"/>
                  <w:marRight w:val="0"/>
                  <w:marTop w:val="0"/>
                  <w:marBottom w:val="0"/>
                  <w:divBdr>
                    <w:top w:val="none" w:sz="0" w:space="0" w:color="auto"/>
                    <w:left w:val="none" w:sz="0" w:space="0" w:color="auto"/>
                    <w:bottom w:val="none" w:sz="0" w:space="0" w:color="auto"/>
                    <w:right w:val="none" w:sz="0" w:space="0" w:color="auto"/>
                  </w:divBdr>
                  <w:divsChild>
                    <w:div w:id="199625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347621">
          <w:marLeft w:val="0"/>
          <w:marRight w:val="0"/>
          <w:marTop w:val="0"/>
          <w:marBottom w:val="0"/>
          <w:divBdr>
            <w:top w:val="none" w:sz="0" w:space="0" w:color="auto"/>
            <w:left w:val="none" w:sz="0" w:space="0" w:color="auto"/>
            <w:bottom w:val="none" w:sz="0" w:space="0" w:color="auto"/>
            <w:right w:val="none" w:sz="0" w:space="0" w:color="auto"/>
          </w:divBdr>
        </w:div>
        <w:div w:id="304092972">
          <w:marLeft w:val="0"/>
          <w:marRight w:val="0"/>
          <w:marTop w:val="600"/>
          <w:marBottom w:val="0"/>
          <w:divBdr>
            <w:top w:val="none" w:sz="0" w:space="0" w:color="auto"/>
            <w:left w:val="none" w:sz="0" w:space="0" w:color="auto"/>
            <w:bottom w:val="none" w:sz="0" w:space="0" w:color="auto"/>
            <w:right w:val="none" w:sz="0" w:space="0" w:color="auto"/>
          </w:divBdr>
          <w:divsChild>
            <w:div w:id="1111556925">
              <w:marLeft w:val="0"/>
              <w:marRight w:val="0"/>
              <w:marTop w:val="0"/>
              <w:marBottom w:val="0"/>
              <w:divBdr>
                <w:top w:val="none" w:sz="0" w:space="0" w:color="auto"/>
                <w:left w:val="none" w:sz="0" w:space="0" w:color="auto"/>
                <w:bottom w:val="none" w:sz="0" w:space="0" w:color="auto"/>
                <w:right w:val="none" w:sz="0" w:space="0" w:color="auto"/>
              </w:divBdr>
            </w:div>
            <w:div w:id="540365493">
              <w:marLeft w:val="0"/>
              <w:marRight w:val="0"/>
              <w:marTop w:val="0"/>
              <w:marBottom w:val="0"/>
              <w:divBdr>
                <w:top w:val="none" w:sz="0" w:space="0" w:color="auto"/>
                <w:left w:val="none" w:sz="0" w:space="0" w:color="auto"/>
                <w:bottom w:val="none" w:sz="0" w:space="0" w:color="auto"/>
                <w:right w:val="none" w:sz="0" w:space="0" w:color="auto"/>
              </w:divBdr>
              <w:divsChild>
                <w:div w:id="1570847125">
                  <w:marLeft w:val="-450"/>
                  <w:marRight w:val="0"/>
                  <w:marTop w:val="0"/>
                  <w:marBottom w:val="450"/>
                  <w:divBdr>
                    <w:top w:val="none" w:sz="0" w:space="0" w:color="auto"/>
                    <w:left w:val="none" w:sz="0" w:space="0" w:color="auto"/>
                    <w:bottom w:val="none" w:sz="0" w:space="0" w:color="auto"/>
                    <w:right w:val="none" w:sz="0" w:space="0" w:color="auto"/>
                  </w:divBdr>
                  <w:divsChild>
                    <w:div w:id="1191382173">
                      <w:marLeft w:val="0"/>
                      <w:marRight w:val="0"/>
                      <w:marTop w:val="0"/>
                      <w:marBottom w:val="0"/>
                      <w:divBdr>
                        <w:top w:val="none" w:sz="0" w:space="0" w:color="auto"/>
                        <w:left w:val="none" w:sz="0" w:space="0" w:color="auto"/>
                        <w:bottom w:val="none" w:sz="0" w:space="0" w:color="auto"/>
                        <w:right w:val="none" w:sz="0" w:space="0" w:color="auto"/>
                      </w:divBdr>
                      <w:divsChild>
                        <w:div w:id="1129056282">
                          <w:marLeft w:val="0"/>
                          <w:marRight w:val="0"/>
                          <w:marTop w:val="0"/>
                          <w:marBottom w:val="0"/>
                          <w:divBdr>
                            <w:top w:val="none" w:sz="0" w:space="0" w:color="auto"/>
                            <w:left w:val="none" w:sz="0" w:space="0" w:color="auto"/>
                            <w:bottom w:val="none" w:sz="0" w:space="0" w:color="auto"/>
                            <w:right w:val="none" w:sz="0" w:space="0" w:color="auto"/>
                          </w:divBdr>
                          <w:divsChild>
                            <w:div w:id="1638485502">
                              <w:marLeft w:val="0"/>
                              <w:marRight w:val="0"/>
                              <w:marTop w:val="0"/>
                              <w:marBottom w:val="0"/>
                              <w:divBdr>
                                <w:top w:val="none" w:sz="0" w:space="0" w:color="auto"/>
                                <w:left w:val="none" w:sz="0" w:space="0" w:color="auto"/>
                                <w:bottom w:val="none" w:sz="0" w:space="0" w:color="auto"/>
                                <w:right w:val="none" w:sz="0" w:space="0" w:color="auto"/>
                              </w:divBdr>
                            </w:div>
                            <w:div w:id="162630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906841">
          <w:marLeft w:val="0"/>
          <w:marRight w:val="0"/>
          <w:marTop w:val="750"/>
          <w:marBottom w:val="0"/>
          <w:divBdr>
            <w:top w:val="single" w:sz="12" w:space="30" w:color="AA332F"/>
            <w:left w:val="none" w:sz="0" w:space="0" w:color="auto"/>
            <w:bottom w:val="none" w:sz="0" w:space="0" w:color="auto"/>
            <w:right w:val="none" w:sz="0" w:space="0" w:color="auto"/>
          </w:divBdr>
          <w:divsChild>
            <w:div w:id="1645889993">
              <w:marLeft w:val="0"/>
              <w:marRight w:val="0"/>
              <w:marTop w:val="0"/>
              <w:marBottom w:val="0"/>
              <w:divBdr>
                <w:top w:val="none" w:sz="0" w:space="0" w:color="auto"/>
                <w:left w:val="none" w:sz="0" w:space="0" w:color="auto"/>
                <w:bottom w:val="none" w:sz="0" w:space="0" w:color="auto"/>
                <w:right w:val="none" w:sz="0" w:space="0" w:color="auto"/>
              </w:divBdr>
              <w:divsChild>
                <w:div w:id="99976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s.org/cbspeeches/index.htm?cbspeeches_institutions=9" TargetMode="External"/><Relationship Id="rId3" Type="http://schemas.openxmlformats.org/officeDocument/2006/relationships/settings" Target="settings.xml"/><Relationship Id="rId7" Type="http://schemas.openxmlformats.org/officeDocument/2006/relationships/hyperlink" Target="https://www.bis.org/review/r230816c.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s.org/author/norhana_endut.htm" TargetMode="External"/><Relationship Id="rId11" Type="http://schemas.openxmlformats.org/officeDocument/2006/relationships/theme" Target="theme/theme1.xml"/><Relationship Id="rId5" Type="http://schemas.openxmlformats.org/officeDocument/2006/relationships/hyperlink" Target="https://www.bis.org/author/norhana_endut.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is.org/country/MY.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2711</Words>
  <Characters>14912</Characters>
  <Application>Microsoft Office Word</Application>
  <DocSecurity>0</DocSecurity>
  <Lines>124</Lines>
  <Paragraphs>35</Paragraphs>
  <ScaleCrop>false</ScaleCrop>
  <Company/>
  <LinksUpToDate>false</LinksUpToDate>
  <CharactersWithSpaces>17588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2023-08-26T02:47:00Z</dcterms:created>
  <dcterms:modified xsi:type="dcterms:W3CDTF">2023-09-05T04:28:00Z</dcterms:modified>
</cp:coreProperties>
</file>