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D20B5" w14:textId="77777777" w:rsidR="00AC7CC6" w:rsidRPr="00AC7CC6" w:rsidRDefault="00AC7CC6" w:rsidP="000B4B87">
      <w:pPr>
        <w:rPr>
          <w:rFonts w:ascii="Arial Nova Cond" w:hAnsi="Arial Nova Cond"/>
          <w:sz w:val="28"/>
          <w:szCs w:val="28"/>
        </w:rPr>
      </w:pPr>
      <w:r w:rsidRPr="00AC7CC6">
        <w:rPr>
          <w:rFonts w:ascii="Arial Nova Cond" w:hAnsi="Arial Nova Cond"/>
          <w:sz w:val="28"/>
          <w:szCs w:val="28"/>
        </w:rPr>
        <w:t>Despegue para la transición a cero emisiones netas</w:t>
      </w:r>
    </w:p>
    <w:p w14:paraId="2CF9D7CB" w14:textId="75F807E2" w:rsidR="00AC7CC6" w:rsidRPr="00AC7CC6" w:rsidRDefault="00AC7CC6" w:rsidP="00AC7CC6">
      <w:r w:rsidRPr="00AC7CC6">
        <w:t>Por</w:t>
      </w:r>
      <w:r>
        <w:t xml:space="preserve">: </w:t>
      </w:r>
      <w:hyperlink r:id="rId5" w:tooltip="Posts by ESG Investor" w:history="1">
        <w:r w:rsidRPr="00AC7CC6">
          <w:rPr>
            <w:rStyle w:val="Hipervnculo"/>
          </w:rPr>
          <w:t>Inversor ESG</w:t>
        </w:r>
      </w:hyperlink>
    </w:p>
    <w:p w14:paraId="11D3399E" w14:textId="77777777" w:rsidR="00AC7CC6" w:rsidRPr="00AC7CC6" w:rsidRDefault="00AC7CC6" w:rsidP="00AC7CC6">
      <w:r w:rsidRPr="00AC7CC6">
        <w:t>20 de diciembre de 2023</w:t>
      </w:r>
    </w:p>
    <w:p w14:paraId="6F561C04" w14:textId="77777777" w:rsidR="00AC7CC6" w:rsidRPr="00AC7CC6" w:rsidRDefault="00AC7CC6" w:rsidP="00AC7CC6">
      <w:pPr>
        <w:jc w:val="both"/>
        <w:rPr>
          <w:b/>
          <w:bCs/>
        </w:rPr>
      </w:pPr>
      <w:r w:rsidRPr="00AC7CC6">
        <w:rPr>
          <w:b/>
          <w:bCs/>
        </w:rPr>
        <w:t>Puede que la COP28 no haya cumplido todo lo que prometía, pero los inversores tienen ahora una idea más clara de cómo afectará a sus carteras el camino hacia las cero emisiones netas.</w:t>
      </w:r>
    </w:p>
    <w:p w14:paraId="557DB971" w14:textId="5073B89C" w:rsidR="00AC7CC6" w:rsidRPr="00AC7CC6" w:rsidRDefault="00AC7CC6" w:rsidP="00AC7CC6">
      <w:pPr>
        <w:jc w:val="both"/>
      </w:pPr>
      <w:r w:rsidRPr="00AC7CC6">
        <w:t>Después del</w:t>
      </w:r>
      <w:r w:rsidR="000B4B87">
        <w:t xml:space="preserve"> </w:t>
      </w:r>
      <w:r w:rsidRPr="00AC7CC6">
        <w:t>ruido, la</w:t>
      </w:r>
      <w:r w:rsidR="000B4B87">
        <w:t xml:space="preserve"> </w:t>
      </w:r>
      <w:r w:rsidRPr="00AC7CC6">
        <w:t>furia y los compromisos, ¿por qué recordarán los inversores la COP28? A corto plazo, dominará el drama de los últimos días, específicamente</w:t>
      </w:r>
      <w:r w:rsidR="000B4B87">
        <w:t xml:space="preserve"> </w:t>
      </w:r>
      <w:hyperlink r:id="rId6" w:history="1">
        <w:r w:rsidRPr="00AC7CC6">
          <w:rPr>
            <w:rStyle w:val="Hipervnculo"/>
            <w:b/>
            <w:bCs/>
          </w:rPr>
          <w:t>las disputas</w:t>
        </w:r>
      </w:hyperlink>
      <w:r w:rsidR="000B4B87">
        <w:t xml:space="preserve"> </w:t>
      </w:r>
      <w:r w:rsidRPr="00AC7CC6">
        <w:t>sobre la redacción del "Consenso de los Emiratos Árabes Unidos"</w:t>
      </w:r>
      <w:r w:rsidR="000B4B87">
        <w:t xml:space="preserve"> </w:t>
      </w:r>
      <w:r w:rsidRPr="00AC7CC6">
        <w:t>sobre</w:t>
      </w:r>
      <w:r w:rsidR="000B4B87">
        <w:t xml:space="preserve"> </w:t>
      </w:r>
      <w:r w:rsidRPr="00AC7CC6">
        <w:t>la transición de los combustibles fósiles.</w:t>
      </w:r>
    </w:p>
    <w:p w14:paraId="534004C8" w14:textId="1B11C0A7" w:rsidR="00AC7CC6" w:rsidRPr="00AC7CC6" w:rsidRDefault="00AC7CC6" w:rsidP="00AC7CC6">
      <w:pPr>
        <w:jc w:val="both"/>
      </w:pPr>
      <w:r w:rsidRPr="00AC7CC6">
        <w:t>A largo plazo, ese episodio que acaparará los titulares se verá en el contexto no solo del panorama más amplio de la descarbonización mundial, sino también de las muchas otras primicias contenidas en ese texto final sobre el que se discutió, y otras que se dieron a conocer a un ritmo vertiginoso a partir del</w:t>
      </w:r>
      <w:r w:rsidR="000B4B87">
        <w:t xml:space="preserve"> </w:t>
      </w:r>
      <w:r w:rsidRPr="00AC7CC6">
        <w:t>anuncio</w:t>
      </w:r>
      <w:r w:rsidR="000B4B87">
        <w:t xml:space="preserve"> </w:t>
      </w:r>
      <w:r w:rsidRPr="00AC7CC6">
        <w:t>del</w:t>
      </w:r>
      <w:r w:rsidR="000B4B87">
        <w:t xml:space="preserve"> </w:t>
      </w:r>
      <w:hyperlink r:id="rId7" w:history="1">
        <w:r w:rsidRPr="00AC7CC6">
          <w:rPr>
            <w:rStyle w:val="Hipervnculo"/>
            <w:b/>
            <w:bCs/>
          </w:rPr>
          <w:t>Fondo de Pérdidas y Daños</w:t>
        </w:r>
      </w:hyperlink>
      <w:r w:rsidR="000B4B87">
        <w:t xml:space="preserve"> </w:t>
      </w:r>
      <w:r w:rsidRPr="00AC7CC6">
        <w:t>el día de la inauguración.</w:t>
      </w:r>
    </w:p>
    <w:p w14:paraId="5A04599A" w14:textId="2E68BFBA" w:rsidR="00AC7CC6" w:rsidRPr="00AC7CC6" w:rsidRDefault="00AC7CC6" w:rsidP="00AC7CC6">
      <w:pPr>
        <w:jc w:val="both"/>
      </w:pPr>
      <w:r w:rsidRPr="00AC7CC6">
        <w:t>En este artículo de resumen, ESG Investor cubre algunas de las áreas con mayores implicaciones para los propietarios de activos. Analizaremos la respuesta al balance mundial y lo que significa para los objetivos del Acuerdo de París y el ritmo de adopción de las energías renovables a nivel mundial; También exploraremos la intensificación del nexo entre el clima y la naturaleza y el papel del sector financiero en la transición hacia las cero emisiones netas.</w:t>
      </w:r>
    </w:p>
    <w:p w14:paraId="73EE46D4" w14:textId="2615BA1D" w:rsidR="00AC7CC6" w:rsidRPr="00AC7CC6" w:rsidRDefault="00AC7CC6" w:rsidP="00AC7CC6">
      <w:pPr>
        <w:jc w:val="both"/>
      </w:pPr>
      <w:r w:rsidRPr="00AC7CC6">
        <w:t>Los desafíos dispares de los diferentes países serán un tema recurrente, específicamente las necesidades de los mercados emergentes y las economías en desarrollo (EMED), pero</w:t>
      </w:r>
      <w:r w:rsidR="000B4B87">
        <w:t xml:space="preserve"> </w:t>
      </w:r>
      <w:r w:rsidRPr="00AC7CC6">
        <w:t>la</w:t>
      </w:r>
      <w:r w:rsidR="000B4B87">
        <w:t xml:space="preserve"> </w:t>
      </w:r>
      <w:hyperlink r:id="rId8" w:history="1">
        <w:r w:rsidRPr="00AC7CC6">
          <w:rPr>
            <w:rStyle w:val="Hipervnculo"/>
            <w:b/>
            <w:bCs/>
          </w:rPr>
          <w:t>adaptación</w:t>
        </w:r>
      </w:hyperlink>
      <w:r w:rsidR="000B4B87">
        <w:t xml:space="preserve"> </w:t>
      </w:r>
      <w:r w:rsidRPr="00AC7CC6">
        <w:t>desempeñará un papel menor, ya que se ha tratado en una reciente inmersión profunda, al igual que la falta de acuerdo sobre</w:t>
      </w:r>
      <w:r w:rsidR="000B4B87">
        <w:t xml:space="preserve"> </w:t>
      </w:r>
      <w:hyperlink r:id="rId9" w:history="1">
        <w:r w:rsidRPr="00AC7CC6">
          <w:rPr>
            <w:rStyle w:val="Hipervnculo"/>
            <w:b/>
            <w:bCs/>
          </w:rPr>
          <w:t>los mercados de carbono</w:t>
        </w:r>
      </w:hyperlink>
      <w:r w:rsidRPr="00AC7CC6">
        <w:t>.</w:t>
      </w:r>
    </w:p>
    <w:p w14:paraId="172023B6" w14:textId="77777777" w:rsidR="00AC7CC6" w:rsidRPr="00AC7CC6" w:rsidRDefault="00AC7CC6" w:rsidP="00AC7CC6">
      <w:pPr>
        <w:jc w:val="both"/>
        <w:rPr>
          <w:b/>
          <w:bCs/>
        </w:rPr>
      </w:pPr>
      <w:r w:rsidRPr="00AC7CC6">
        <w:rPr>
          <w:b/>
          <w:bCs/>
        </w:rPr>
        <w:t>¿De vuelta a la normalidad?</w:t>
      </w:r>
    </w:p>
    <w:p w14:paraId="4706B7C9" w14:textId="77777777" w:rsidR="00AC7CC6" w:rsidRPr="00AC7CC6" w:rsidRDefault="00AC7CC6" w:rsidP="00AC7CC6">
      <w:pPr>
        <w:jc w:val="both"/>
      </w:pPr>
      <w:r w:rsidRPr="00AC7CC6">
        <w:t>El principal reto de la COP28 fue responder al primer balance mundial en el marco del Acuerdo de París. Antes de la conferencia, se habían recopilado y analizado los datos, y se habían realizado evaluaciones sobre la eficacia de las medidas adoptadas hasta la fecha, principalmente en forma de contribuciones determinadas a nivel nacional (NDC) de los signatarios al Acuerdo de París.</w:t>
      </w:r>
    </w:p>
    <w:p w14:paraId="67C57C79" w14:textId="74FC95E7" w:rsidR="00AC7CC6" w:rsidRPr="00AC7CC6" w:rsidRDefault="00AC7CC6" w:rsidP="00AC7CC6">
      <w:pPr>
        <w:jc w:val="both"/>
      </w:pPr>
      <w:r w:rsidRPr="00AC7CC6">
        <w:t>El veredicto oficial fue claro. El</w:t>
      </w:r>
      <w:r w:rsidR="000B4B87">
        <w:t xml:space="preserve"> </w:t>
      </w:r>
      <w:hyperlink r:id="rId10" w:history="1">
        <w:r w:rsidRPr="00AC7CC6">
          <w:rPr>
            <w:rStyle w:val="Hipervnculo"/>
            <w:b/>
            <w:bCs/>
          </w:rPr>
          <w:t>informe de síntesis</w:t>
        </w:r>
      </w:hyperlink>
      <w:r w:rsidR="000B4B87">
        <w:t xml:space="preserve"> </w:t>
      </w:r>
      <w:r w:rsidRPr="00AC7CC6">
        <w:t>de las NDC de ONU Cambio Climático encontró que, en conjunto, solo lograrían una reducción del 5,3% en las emisiones de CO2 en comparación con 2019, estableciendo un rumbo para 2,1-2,8°C de cambio climático para 2100.</w:t>
      </w:r>
    </w:p>
    <w:p w14:paraId="1E4521B9" w14:textId="4CC88E36" w:rsidR="00AC7CC6" w:rsidRPr="00AC7CC6" w:rsidRDefault="00AC7CC6" w:rsidP="00AC7CC6">
      <w:pPr>
        <w:jc w:val="both"/>
      </w:pPr>
      <w:r w:rsidRPr="00AC7CC6">
        <w:t>Estábamos "</w:t>
      </w:r>
      <w:hyperlink r:id="rId11" w:history="1">
        <w:r w:rsidRPr="00AC7CC6">
          <w:rPr>
            <w:rStyle w:val="Hipervnculo"/>
            <w:b/>
            <w:bCs/>
          </w:rPr>
          <w:t>fuera del camino</w:t>
        </w:r>
      </w:hyperlink>
      <w:r w:rsidRPr="00AC7CC6">
        <w:t>" y necesitábamos "transformaciones de sistemas", no solo según el</w:t>
      </w:r>
      <w:r w:rsidR="000B4B87">
        <w:t xml:space="preserve"> </w:t>
      </w:r>
      <w:hyperlink r:id="rId12" w:history="1">
        <w:r w:rsidRPr="00AC7CC6">
          <w:rPr>
            <w:rStyle w:val="Hipervnculo"/>
            <w:b/>
            <w:bCs/>
          </w:rPr>
          <w:t>informe de síntesis</w:t>
        </w:r>
      </w:hyperlink>
      <w:r w:rsidR="000B4B87">
        <w:t xml:space="preserve"> </w:t>
      </w:r>
      <w:r w:rsidRPr="00AC7CC6">
        <w:t>de ONU Clima sobre el diálogo técnico del Balance Mundial, sino también según muchos otros análisis que ponen de relieve las brechas persistentes entre la realidad y la ambición declarada.</w:t>
      </w:r>
    </w:p>
    <w:p w14:paraId="5D2B8208" w14:textId="77777777" w:rsidR="00AC7CC6" w:rsidRPr="00AC7CC6" w:rsidRDefault="00AC7CC6" w:rsidP="00AC7CC6">
      <w:pPr>
        <w:jc w:val="both"/>
      </w:pPr>
      <w:r w:rsidRPr="00AC7CC6">
        <w:t>Lo que no estaba tan claro era hasta dónde llegarían los gobiernos para que volviéramos a encarrilarnos, y qué significaría eso para los gobiernos, los ciudadanos, las empresas y los financieros de todos los sectores y jurisdicciones.</w:t>
      </w:r>
    </w:p>
    <w:p w14:paraId="69286637" w14:textId="77777777" w:rsidR="00AC7CC6" w:rsidRPr="00AC7CC6" w:rsidRDefault="00AC7CC6" w:rsidP="00AC7CC6">
      <w:pPr>
        <w:jc w:val="both"/>
      </w:pPr>
      <w:r w:rsidRPr="00AC7CC6">
        <w:lastRenderedPageBreak/>
        <w:t>Después de dos semanas de negociaciones cada vez más intensas, se emitió la respuesta formal de las partes al Balance Mundial; con una cláusula que domina un texto de 21 páginas. La primera mención de la "transición hacia el abandono de los combustibles fósiles" en el texto final de la COP fue considerada como un hito importante en el camino hacia el cero neto, incluso por aquellos que reconocieron sus múltiples advertencias.</w:t>
      </w:r>
    </w:p>
    <w:p w14:paraId="4DE628BE" w14:textId="77777777" w:rsidR="00AC7CC6" w:rsidRPr="00AC7CC6" w:rsidRDefault="00AC7CC6" w:rsidP="00AC7CC6">
      <w:pPr>
        <w:jc w:val="both"/>
      </w:pPr>
      <w:r w:rsidRPr="00AC7CC6">
        <w:t>La magnitud de un hito depende de otros aspectos del texto, de los compromisos conexos asumidos en Dubái y de la forma en que los gobiernos adopten medidas en los próximos 12 meses y más allá.</w:t>
      </w:r>
    </w:p>
    <w:p w14:paraId="11B5D5EC" w14:textId="77777777" w:rsidR="00AC7CC6" w:rsidRPr="00AC7CC6" w:rsidRDefault="00AC7CC6" w:rsidP="00AC7CC6">
      <w:pPr>
        <w:jc w:val="both"/>
      </w:pPr>
      <w:r w:rsidRPr="00AC7CC6">
        <w:t>La reverenda Kirsten Snow Spalding, vicepresidenta de la Red de Inversores de Ceres, afirma que el resultado fue decepcionante para los inversores, en relación con las expectativas de una mayor certidumbre por parte de los responsables políticos sobre el ritmo, la escala y la naturaleza de sus compromisos de descarbonización.</w:t>
      </w:r>
    </w:p>
    <w:p w14:paraId="07DC6A7F" w14:textId="77777777" w:rsidR="00AC7CC6" w:rsidRPr="00AC7CC6" w:rsidRDefault="00AC7CC6" w:rsidP="00AC7CC6">
      <w:pPr>
        <w:jc w:val="both"/>
      </w:pPr>
      <w:r w:rsidRPr="00AC7CC6">
        <w:t>"Escucho mucha esperanza sobre las señales en torno a los combustibles fósiles. Pero los inversores llegaron a la COP28 con expectativas de una rápida eliminación, fechas reales y responsables políticos que empezaron a actuar para reducir los subsidios, establecer objetivos y adoptar NDC más sólidas".</w:t>
      </w:r>
    </w:p>
    <w:p w14:paraId="2DEE409C" w14:textId="77777777" w:rsidR="00AC7CC6" w:rsidRPr="00AC7CC6" w:rsidRDefault="00AC7CC6" w:rsidP="00AC7CC6">
      <w:pPr>
        <w:jc w:val="both"/>
      </w:pPr>
      <w:r w:rsidRPr="00AC7CC6">
        <w:t>Jakob Thomae, director de proyectos de Inevitable Policy Response (IPR), advierte que no se debe leer demasiado en una forma específica de palabras en un solo documento. "Desde una perspectiva política concreta, el lenguaje es irrelevante para los inversionistas, aunque sí es importante para el 'ambiente' de la COP", dijo.</w:t>
      </w:r>
    </w:p>
    <w:p w14:paraId="28317C89" w14:textId="77777777" w:rsidR="00AC7CC6" w:rsidRPr="00AC7CC6" w:rsidRDefault="00AC7CC6" w:rsidP="00AC7CC6">
      <w:pPr>
        <w:jc w:val="both"/>
      </w:pPr>
      <w:r w:rsidRPr="00AC7CC6">
        <w:t>"Estoy mucho más entusiasmado con el compromiso de triplicar la capacidad de energía renovable porque eso va a impulsar la transición lejos de los combustibles fósiles".</w:t>
      </w:r>
    </w:p>
    <w:p w14:paraId="0D8361C6" w14:textId="77777777" w:rsidR="00AC7CC6" w:rsidRPr="00AC7CC6" w:rsidRDefault="00AC7CC6" w:rsidP="00AC7CC6">
      <w:pPr>
        <w:jc w:val="both"/>
      </w:pPr>
      <w:r w:rsidRPr="00AC7CC6">
        <w:t>En el contexto de acuerdos anteriores, incluido el alcanzado en París, otros ven una importancia potencial en el respaldo universal de lo que la mejor ciencia disponible dice que se necesita, en términos de uso de combustibles fósiles, para mantener el 1,5 °C en un alcance realista.</w:t>
      </w:r>
    </w:p>
    <w:p w14:paraId="044A9FC8" w14:textId="77777777" w:rsidR="00AC7CC6" w:rsidRPr="00AC7CC6" w:rsidRDefault="00AC7CC6" w:rsidP="00AC7CC6">
      <w:pPr>
        <w:jc w:val="both"/>
      </w:pPr>
      <w:r w:rsidRPr="00AC7CC6">
        <w:t>"Podría haber sido posible una redacción más fuerte, pero este fue un gran paso en la dirección correcta", dijo Remco Fischer, Líder de Clima de la Iniciativa Financiera del Programa de las Naciones Unidas para el Medio Ambiente (UNEP FI).</w:t>
      </w:r>
    </w:p>
    <w:p w14:paraId="3DE06DA2" w14:textId="77777777" w:rsidR="00AC7CC6" w:rsidRPr="00AC7CC6" w:rsidRDefault="00AC7CC6" w:rsidP="00AC7CC6">
      <w:pPr>
        <w:jc w:val="both"/>
      </w:pPr>
      <w:r w:rsidRPr="00AC7CC6">
        <w:t>"La redacción combina 'transición' con el objetivo de 'lograr cero emisiones netas para 2050' y 'de acuerdo con la ciencia', todo en una sola oración. Es un buen resultado para un documento de consenso".</w:t>
      </w:r>
    </w:p>
    <w:p w14:paraId="65DABF9C" w14:textId="27A1ED5E" w:rsidR="00AC7CC6" w:rsidRPr="00AC7CC6" w:rsidRDefault="00AC7CC6" w:rsidP="00AC7CC6">
      <w:pPr>
        <w:jc w:val="both"/>
      </w:pPr>
      <w:r w:rsidRPr="00AC7CC6">
        <w:t>Como sugiere Thomae, la respuesta del balance mundial debe tomarse en su conjunto cuando los inversores evalúen su potencial para corregir el rumbo de la trayectoria mundial hacia el cero neto. También tendrán en cuenta las implicaciones para la política climática de iniciativas como el</w:t>
      </w:r>
      <w:r w:rsidR="000B4B87">
        <w:t xml:space="preserve"> </w:t>
      </w:r>
      <w:hyperlink r:id="rId13" w:history="1">
        <w:r w:rsidRPr="00AC7CC6">
          <w:rPr>
            <w:rStyle w:val="Hipervnculo"/>
            <w:b/>
            <w:bCs/>
          </w:rPr>
          <w:t>Acelerador Global de Descarbonización</w:t>
        </w:r>
      </w:hyperlink>
      <w:r w:rsidR="000B4B87">
        <w:t xml:space="preserve"> </w:t>
      </w:r>
      <w:r w:rsidRPr="00AC7CC6">
        <w:t>(GDA).</w:t>
      </w:r>
    </w:p>
    <w:p w14:paraId="13F5A2C2" w14:textId="7DCB9E62" w:rsidR="00AC7CC6" w:rsidRPr="00AC7CC6" w:rsidRDefault="00AC7CC6" w:rsidP="00AC7CC6">
      <w:pPr>
        <w:jc w:val="both"/>
      </w:pPr>
      <w:r w:rsidRPr="00AC7CC6">
        <w:t xml:space="preserve">Presentado durante el primer fin de semana de la COP28, el GDA cubrió tanto los aspectos de la oferta como la demanda de la transición a la energía limpia, y los gobiernos y las empresas se comprometieron a acelerar el uso de las energías renovables, incluido el hidrógeno, al tiempo que aumentaron los esfuerzos para descarbonizar los sectores difíciles de reducir, a través de </w:t>
      </w:r>
      <w:r w:rsidRPr="00AC7CC6">
        <w:lastRenderedPageBreak/>
        <w:t>asociaciones público-privadas como el Acelerador de la</w:t>
      </w:r>
      <w:r w:rsidR="000B4B87">
        <w:t xml:space="preserve"> </w:t>
      </w:r>
      <w:hyperlink r:id="rId14" w:history="1">
        <w:r w:rsidRPr="00AC7CC6">
          <w:rPr>
            <w:rStyle w:val="Hipervnculo"/>
            <w:b/>
            <w:bCs/>
          </w:rPr>
          <w:t>Transición Industrial</w:t>
        </w:r>
      </w:hyperlink>
      <w:r w:rsidR="000B4B87">
        <w:t xml:space="preserve"> </w:t>
      </w:r>
      <w:r w:rsidRPr="00AC7CC6">
        <w:t>y los planes sectoriales relacionados.</w:t>
      </w:r>
    </w:p>
    <w:p w14:paraId="5171B335" w14:textId="77777777" w:rsidR="00AC7CC6" w:rsidRPr="00AC7CC6" w:rsidRDefault="00AC7CC6" w:rsidP="00AC7CC6">
      <w:pPr>
        <w:jc w:val="both"/>
      </w:pPr>
      <w:r w:rsidRPr="00AC7CC6">
        <w:t>Thomae ve algunas pruebas de que los costes de transición son cada vez más tangibles para los inversores, como la inversión necesaria para abordar finalmente la quema de metano, tal y como promete la Carta de Descarbonización del Petróleo y el Gas (OGDC), que forma parte de la GDA.</w:t>
      </w:r>
    </w:p>
    <w:p w14:paraId="11F4E414" w14:textId="77777777" w:rsidR="00AC7CC6" w:rsidRPr="00AC7CC6" w:rsidRDefault="00AC7CC6" w:rsidP="00AC7CC6">
      <w:pPr>
        <w:jc w:val="both"/>
      </w:pPr>
      <w:r w:rsidRPr="00AC7CC6">
        <w:t>"El perfil de costos [de la transición] va a pasar a ocupar un lugar central", señala.</w:t>
      </w:r>
    </w:p>
    <w:p w14:paraId="7ADE9559" w14:textId="77777777" w:rsidR="00AC7CC6" w:rsidRPr="00AC7CC6" w:rsidRDefault="00AC7CC6" w:rsidP="00AC7CC6">
      <w:pPr>
        <w:jc w:val="both"/>
        <w:rPr>
          <w:b/>
          <w:bCs/>
        </w:rPr>
      </w:pPr>
      <w:r w:rsidRPr="00AC7CC6">
        <w:rPr>
          <w:b/>
          <w:bCs/>
        </w:rPr>
        <w:t>El reto de la eficiencia</w:t>
      </w:r>
    </w:p>
    <w:p w14:paraId="48147F7A" w14:textId="5F6BC439" w:rsidR="00AC7CC6" w:rsidRPr="00AC7CC6" w:rsidRDefault="00AC7CC6" w:rsidP="00AC7CC6">
      <w:pPr>
        <w:jc w:val="both"/>
      </w:pPr>
      <w:r w:rsidRPr="00AC7CC6">
        <w:t>La COP28 también reconoció la importancia de aumentar la capacidad de energía renovable y mejorar la eficiencia energética a nivel mundial. Más de 100 países</w:t>
      </w:r>
      <w:r w:rsidR="000B4B87">
        <w:t xml:space="preserve"> </w:t>
      </w:r>
      <w:hyperlink r:id="rId15" w:anchor=":~:text=We%20declare%20our%20intent%20to,starting%20points%20and%20national%20circumstances" w:history="1">
        <w:r w:rsidRPr="00AC7CC6">
          <w:rPr>
            <w:rStyle w:val="Hipervnculo"/>
            <w:b/>
            <w:bCs/>
          </w:rPr>
          <w:t>se comprometieron</w:t>
        </w:r>
      </w:hyperlink>
      <w:r w:rsidR="000B4B87">
        <w:t xml:space="preserve"> </w:t>
      </w:r>
      <w:r w:rsidRPr="00AC7CC6">
        <w:t>a</w:t>
      </w:r>
      <w:r w:rsidR="000B4B87">
        <w:t xml:space="preserve"> </w:t>
      </w:r>
      <w:hyperlink r:id="rId16" w:history="1">
        <w:r w:rsidRPr="00AC7CC6">
          <w:rPr>
            <w:rStyle w:val="Hipervnculo"/>
            <w:b/>
            <w:bCs/>
          </w:rPr>
          <w:t>triplicar</w:t>
        </w:r>
      </w:hyperlink>
      <w:r w:rsidR="000B4B87">
        <w:t xml:space="preserve"> </w:t>
      </w:r>
      <w:r w:rsidRPr="00AC7CC6">
        <w:t>la capacidad de energía renovable a al menos 11.000 gigavatios (GW) y duplicar la tasa anual de mejoras de eficiencia energética del 2% al 4% para finales de la década.</w:t>
      </w:r>
    </w:p>
    <w:p w14:paraId="556B46CF" w14:textId="213B8779" w:rsidR="00AC7CC6" w:rsidRPr="00AC7CC6" w:rsidRDefault="00AC7CC6" w:rsidP="00AC7CC6">
      <w:pPr>
        <w:jc w:val="both"/>
      </w:pPr>
      <w:r w:rsidRPr="00AC7CC6">
        <w:t>El Compromiso Mundial sobre Energías Renovables y Eficiencia Energética,</w:t>
      </w:r>
      <w:r w:rsidR="000B4B87">
        <w:t xml:space="preserve"> </w:t>
      </w:r>
      <w:hyperlink r:id="rId17" w:history="1">
        <w:r w:rsidRPr="00AC7CC6">
          <w:rPr>
            <w:rStyle w:val="Hipervnculo"/>
            <w:b/>
            <w:bCs/>
          </w:rPr>
          <w:t>calculado</w:t>
        </w:r>
      </w:hyperlink>
      <w:r w:rsidR="000B4B87">
        <w:t xml:space="preserve"> </w:t>
      </w:r>
      <w:r w:rsidRPr="00AC7CC6">
        <w:t>como el mínimo necesario para mantener una trayectoria de 1,5°C para 2050, fue aprobado y ampliado a todas las partes mediante su inclusión en el texto del Balance Mundial.</w:t>
      </w:r>
    </w:p>
    <w:p w14:paraId="0F8844B9" w14:textId="77777777" w:rsidR="00AC7CC6" w:rsidRPr="00AC7CC6" w:rsidRDefault="00AC7CC6" w:rsidP="00AC7CC6">
      <w:pPr>
        <w:jc w:val="both"/>
      </w:pPr>
      <w:r w:rsidRPr="00AC7CC6">
        <w:t>Si bien los expertos han acogido con beneplácito el compromiso, advierten que la consecución de estos objetivos no será fácil. "Vamos a tener dificultades para duplicar la eficiencia energética", dice Annika Brouwer, especialista en sostenibilidad de la gestora de inversiones globales Ninety One.</w:t>
      </w:r>
    </w:p>
    <w:p w14:paraId="79C138A8" w14:textId="77777777" w:rsidR="00AC7CC6" w:rsidRPr="00AC7CC6" w:rsidRDefault="00AC7CC6" w:rsidP="00AC7CC6">
      <w:pPr>
        <w:jc w:val="both"/>
      </w:pPr>
      <w:r w:rsidRPr="00AC7CC6">
        <w:t>"En todos los sectores (construcción, edificios, sistemas de energía, las bombillas de su casa) es necesario realizar revisiones de la eficiencia energética. La cantidad de inversión necesaria es casi incuantificable, porque es de gran alcance. No hay una sola intervención que realmente consiga eficiencia en la yugular", explica.</w:t>
      </w:r>
    </w:p>
    <w:p w14:paraId="04A781DE" w14:textId="17CAAEE0" w:rsidR="00AC7CC6" w:rsidRPr="00AC7CC6" w:rsidRDefault="00AC7CC6" w:rsidP="00AC7CC6">
      <w:pPr>
        <w:jc w:val="both"/>
      </w:pPr>
      <w:r w:rsidRPr="00AC7CC6">
        <w:t>Según un</w:t>
      </w:r>
      <w:r w:rsidR="000B4B87">
        <w:t xml:space="preserve"> </w:t>
      </w:r>
      <w:hyperlink r:id="rId18" w:history="1">
        <w:r w:rsidRPr="00AC7CC6">
          <w:rPr>
            <w:rStyle w:val="Hipervnculo"/>
            <w:b/>
            <w:bCs/>
          </w:rPr>
          <w:t>informe</w:t>
        </w:r>
      </w:hyperlink>
      <w:r w:rsidR="000B4B87">
        <w:t xml:space="preserve"> </w:t>
      </w:r>
      <w:r w:rsidRPr="00AC7CC6">
        <w:t>publicado por la Agencia Internacional de la Energía (AIE), el progreso mundial anual debe crecer un 4% cada año, las inversiones en eficiencia energética deberán aumentar de los 600.000 millones de dólares actuales a más de 1,8 billones de dólares en 2030.</w:t>
      </w:r>
    </w:p>
    <w:p w14:paraId="292DC671" w14:textId="2D17E021" w:rsidR="00AC7CC6" w:rsidRPr="00AC7CC6" w:rsidRDefault="00AC7CC6" w:rsidP="00AC7CC6">
      <w:pPr>
        <w:jc w:val="both"/>
      </w:pPr>
      <w:r w:rsidRPr="00AC7CC6">
        <w:t>Un</w:t>
      </w:r>
      <w:r w:rsidR="000B4B87">
        <w:t xml:space="preserve"> </w:t>
      </w:r>
      <w:hyperlink r:id="rId19" w:history="1">
        <w:r w:rsidRPr="00AC7CC6">
          <w:rPr>
            <w:rStyle w:val="Hipervnculo"/>
            <w:b/>
            <w:bCs/>
          </w:rPr>
          <w:t>informe</w:t>
        </w:r>
      </w:hyperlink>
      <w:r w:rsidR="000B4B87">
        <w:t xml:space="preserve"> </w:t>
      </w:r>
      <w:r w:rsidRPr="00AC7CC6">
        <w:t>separado de la AIE señaló que las inversiones en eficiencia energética han crecido un 45% desde 2020, pero las mejoras globales en la intensidad energética -una medida primaria de la eficiencia energética- se ralentizaron en el año hasta noviembre de 2023, debido a un repunte de los sectores intensivos en energía, como los petroquímicos y la aviación, en algunas regiones, así como a la demanda de aire acondicionado durante un año de calor récord.</w:t>
      </w:r>
    </w:p>
    <w:p w14:paraId="5C2297A5" w14:textId="77777777" w:rsidR="00AC7CC6" w:rsidRPr="00AC7CC6" w:rsidRDefault="00AC7CC6" w:rsidP="00AC7CC6">
      <w:pPr>
        <w:jc w:val="both"/>
      </w:pPr>
      <w:r w:rsidRPr="00AC7CC6">
        <w:t>"La capacidad de la red es una preocupación creciente", añade Dave Jones, director del programa Global Insights del grupo de expertos en energía Ember.</w:t>
      </w:r>
    </w:p>
    <w:p w14:paraId="3620706E" w14:textId="77777777" w:rsidR="00AC7CC6" w:rsidRPr="00AC7CC6" w:rsidRDefault="00AC7CC6" w:rsidP="00AC7CC6">
      <w:pPr>
        <w:jc w:val="both"/>
      </w:pPr>
      <w:r w:rsidRPr="00AC7CC6">
        <w:t>"Triplicar las energías renovables significa abordar el uso y la planificación de la tierra, las amenazas a la biodiversidad y los problemas relacionados con la cadena de suministro", dice.</w:t>
      </w:r>
    </w:p>
    <w:p w14:paraId="1585FD7C" w14:textId="3D578952" w:rsidR="00AC7CC6" w:rsidRPr="00AC7CC6" w:rsidRDefault="00AC7CC6" w:rsidP="00AC7CC6">
      <w:pPr>
        <w:jc w:val="both"/>
      </w:pPr>
      <w:r w:rsidRPr="00AC7CC6">
        <w:t>La AIE ha</w:t>
      </w:r>
      <w:r w:rsidR="000B4B87">
        <w:t xml:space="preserve"> </w:t>
      </w:r>
      <w:hyperlink r:id="rId20" w:history="1">
        <w:r w:rsidRPr="00AC7CC6">
          <w:rPr>
            <w:rStyle w:val="Hipervnculo"/>
            <w:b/>
            <w:bCs/>
          </w:rPr>
          <w:t>dicho</w:t>
        </w:r>
      </w:hyperlink>
      <w:r w:rsidR="000B4B87">
        <w:t xml:space="preserve"> </w:t>
      </w:r>
      <w:r w:rsidRPr="00AC7CC6">
        <w:t>que para alcanzar todos los objetivos nacionales existentes en materia de clima y energía será necesario añadir o sustituir hasta 80 millones de kilómetros de líneas eléctricas para 2040, lo que equivale a toda la red mundial existente.</w:t>
      </w:r>
    </w:p>
    <w:p w14:paraId="505A4980" w14:textId="77777777" w:rsidR="00AC7CC6" w:rsidRPr="00AC7CC6" w:rsidRDefault="00AC7CC6" w:rsidP="00AC7CC6">
      <w:pPr>
        <w:jc w:val="both"/>
      </w:pPr>
      <w:r w:rsidRPr="00AC7CC6">
        <w:lastRenderedPageBreak/>
        <w:t>"Puedes construir energía renovable hasta que te pongas azul, pero si no tienes una red para aceptar y transmitir esa energía, entonces no es comercial y no se puede utilizar", coincide Brouwer.</w:t>
      </w:r>
    </w:p>
    <w:p w14:paraId="32C289F8" w14:textId="77777777" w:rsidR="00AC7CC6" w:rsidRPr="00AC7CC6" w:rsidRDefault="00AC7CC6" w:rsidP="00AC7CC6">
      <w:pPr>
        <w:jc w:val="both"/>
      </w:pPr>
      <w:r w:rsidRPr="00AC7CC6">
        <w:t>El Compromiso Mundial de Energías Renovables y Eficiencia Energética de la COP28 también pedía una reducción gradual de la energía del carbón y el fin de la inversión en nuevas centrales eléctricas de carbón.</w:t>
      </w:r>
    </w:p>
    <w:p w14:paraId="6C33BA18" w14:textId="2198E306" w:rsidR="00AC7CC6" w:rsidRPr="00AC7CC6" w:rsidRDefault="00AC7CC6" w:rsidP="00AC7CC6">
      <w:pPr>
        <w:jc w:val="both"/>
      </w:pPr>
      <w:r w:rsidRPr="00AC7CC6">
        <w:t>Esto requerirá una financiación sustancial para la transición, como la proporcionada por las Asociaciones para una Transición Energética Justa, pero también el fin de las subvenciones, en las que el texto del balance mundial no hacía tanto hincapié como algunos hubieran deseado. El</w:t>
      </w:r>
      <w:r w:rsidR="000B4B87">
        <w:t xml:space="preserve"> </w:t>
      </w:r>
      <w:hyperlink r:id="rId21" w:anchor=":~:text=Close%20to%20%247%20trillion%20is,Gross%20Domestic%20Product%20(GDP" w:history="1">
        <w:r w:rsidRPr="00AC7CC6">
          <w:rPr>
            <w:rStyle w:val="Hipervnculo"/>
            <w:b/>
            <w:bCs/>
          </w:rPr>
          <w:t>informe</w:t>
        </w:r>
      </w:hyperlink>
      <w:r w:rsidR="000B4B87">
        <w:t xml:space="preserve"> </w:t>
      </w:r>
      <w:r w:rsidRPr="00AC7CC6">
        <w:t>"Estado de las finanzas para la naturaleza" de 2023 del Programa de las Naciones Unidas para el Medio Ambiente, también publicado en la COP28, señaló que el gasto público en subsidios perjudiciales para el medio ambiente en la agricultura, los combustibles fósiles, la pesca y la silvicultura alcanzó los 1,7 billones de dólares en 2022.</w:t>
      </w:r>
    </w:p>
    <w:p w14:paraId="1777241B" w14:textId="77777777" w:rsidR="00AC7CC6" w:rsidRPr="00AC7CC6" w:rsidRDefault="00AC7CC6" w:rsidP="00AC7CC6">
      <w:pPr>
        <w:jc w:val="both"/>
      </w:pPr>
      <w:r w:rsidRPr="00AC7CC6">
        <w:t>Una pregunta clave en los próximos 12 meses será cuántos gobiernos tomarán los compromisos y textos de la COP28 como un detonante para unirse a los que ya están tomando medidas.</w:t>
      </w:r>
    </w:p>
    <w:p w14:paraId="50B0DD2D" w14:textId="77777777" w:rsidR="00AC7CC6" w:rsidRPr="00AC7CC6" w:rsidRDefault="00AC7CC6" w:rsidP="00AC7CC6">
      <w:pPr>
        <w:jc w:val="both"/>
      </w:pPr>
      <w:r w:rsidRPr="00AC7CC6">
        <w:t>"Muchos gobiernos ya se han comprometido a eliminar gradualmente los combustibles fósiles y los subsidios a los combustibles fósiles, al tiempo que incentivan las energías renovables", dice Julie Segal, investigadora visitante del Instituto de Investigación Grantham sobre Cambio Climático y Medio Ambiente de la London School of Economics y directora sénior de Finanzas Climáticas en Environmental Defense.</w:t>
      </w:r>
    </w:p>
    <w:p w14:paraId="2C21D81F" w14:textId="77777777" w:rsidR="00AC7CC6" w:rsidRPr="00AC7CC6" w:rsidRDefault="00AC7CC6" w:rsidP="00AC7CC6">
      <w:pPr>
        <w:jc w:val="both"/>
      </w:pPr>
      <w:r w:rsidRPr="00AC7CC6">
        <w:t>"Otros, como el Gobierno de Alberta en Canadá, establecieron recientemente una </w:t>
      </w:r>
      <w:hyperlink r:id="rId22" w:history="1">
        <w:r w:rsidRPr="00AC7CC6">
          <w:rPr>
            <w:rStyle w:val="Hipervnculo"/>
            <w:b/>
            <w:bCs/>
          </w:rPr>
          <w:t>moratoria</w:t>
        </w:r>
      </w:hyperlink>
      <w:r w:rsidRPr="00AC7CC6">
        <w:t> sobre la construcción de energías renovables, lo que desalienta la inversión y crea un entorno inestable. Esto es lo contrario del tipo de políticas que necesitamos para ver un apoyo constante a todo tipo de financiación de las energías renovables".</w:t>
      </w:r>
    </w:p>
    <w:p w14:paraId="296CEFC2" w14:textId="77777777" w:rsidR="00AC7CC6" w:rsidRPr="00AC7CC6" w:rsidRDefault="00AC7CC6" w:rsidP="00AC7CC6">
      <w:pPr>
        <w:jc w:val="both"/>
        <w:rPr>
          <w:b/>
          <w:bCs/>
        </w:rPr>
      </w:pPr>
      <w:r w:rsidRPr="00AC7CC6">
        <w:rPr>
          <w:b/>
          <w:bCs/>
        </w:rPr>
        <w:t>Transición a toda la economía</w:t>
      </w:r>
    </w:p>
    <w:p w14:paraId="5336BECA" w14:textId="77777777" w:rsidR="00AC7CC6" w:rsidRPr="00AC7CC6" w:rsidRDefault="00AC7CC6" w:rsidP="00AC7CC6">
      <w:pPr>
        <w:jc w:val="both"/>
      </w:pPr>
      <w:r w:rsidRPr="00AC7CC6">
        <w:t>Dados estos nuevos compromisos con la transición energética, los inversores deberían ver cambios importantes en la política nacional, tarde o temprano.</w:t>
      </w:r>
    </w:p>
    <w:p w14:paraId="76423900" w14:textId="77777777" w:rsidR="00AC7CC6" w:rsidRPr="00AC7CC6" w:rsidRDefault="00AC7CC6" w:rsidP="00AC7CC6">
      <w:pPr>
        <w:jc w:val="both"/>
      </w:pPr>
      <w:r w:rsidRPr="00AC7CC6">
        <w:t>El API realiza un seguimiento trimestral de la evolución de las políticas, calculando actualmente que las políticas existentes en materia de acción climática nos sitúan en el camino de un calentamiento global de 1,8 °C, inferior a la trayectoria implícita en las NDC colectivas.</w:t>
      </w:r>
    </w:p>
    <w:p w14:paraId="6591AB3C" w14:textId="5143896D" w:rsidR="00AC7CC6" w:rsidRPr="00AC7CC6" w:rsidRDefault="00AC7CC6" w:rsidP="00AC7CC6">
      <w:pPr>
        <w:jc w:val="both"/>
      </w:pPr>
      <w:r w:rsidRPr="00AC7CC6">
        <w:t>"Las NDC ya no son un punto de referencia relevante para la ambición política subyacente; se han convertido en un indicador rezagado. Si bien estamos muy lejos de 1,5°C, la buena noticia es que también estamos muy lejos de 2,5°C. La ventana de incertidumbre política se está reduciendo", dice Thomae.</w:t>
      </w:r>
    </w:p>
    <w:p w14:paraId="20630EEA" w14:textId="77777777" w:rsidR="00AC7CC6" w:rsidRPr="00AC7CC6" w:rsidRDefault="00AC7CC6" w:rsidP="00AC7CC6">
      <w:pPr>
        <w:jc w:val="both"/>
      </w:pPr>
      <w:r w:rsidRPr="00AC7CC6">
        <w:t>Espera que las NDC reflejen mejor las políticas más ambiciosas a lo largo del tiempo, reflejando tanto el texto del Balance Mundial como otros desarrollos de la COP28, pero también predice que el calendario político desempeñará un papel en la determinación de los calendarios de implementación de políticas.</w:t>
      </w:r>
    </w:p>
    <w:p w14:paraId="133FF2FD" w14:textId="77777777" w:rsidR="00AC7CC6" w:rsidRPr="00AC7CC6" w:rsidRDefault="00AC7CC6" w:rsidP="00AC7CC6">
      <w:pPr>
        <w:jc w:val="both"/>
      </w:pPr>
      <w:r w:rsidRPr="00AC7CC6">
        <w:lastRenderedPageBreak/>
        <w:t>"No me sorprendería que el próximo año veamos una especie de pausa política en 2024, en parte debido a la naturaleza del ciclo electoral", dice Thomae.</w:t>
      </w:r>
    </w:p>
    <w:p w14:paraId="17598E6F" w14:textId="77777777" w:rsidR="00AC7CC6" w:rsidRPr="00AC7CC6" w:rsidRDefault="00AC7CC6" w:rsidP="00AC7CC6">
      <w:pPr>
        <w:jc w:val="both"/>
      </w:pPr>
      <w:r w:rsidRPr="00AC7CC6">
        <w:t>Mientras tanto, las principales iniciativas existentes, como la Ley de Reducción de la Inflación en EE. UU. y Europa, la Ley de Industria Net Zero y el Mecanismo de Ajuste en Frontera de Carbono, seguirán remodelando el panorama.</w:t>
      </w:r>
    </w:p>
    <w:p w14:paraId="61B9E67A" w14:textId="143B0F49" w:rsidR="00AC7CC6" w:rsidRPr="00AC7CC6" w:rsidRDefault="00AC7CC6" w:rsidP="00AC7CC6">
      <w:pPr>
        <w:jc w:val="both"/>
      </w:pPr>
      <w:r w:rsidRPr="00AC7CC6">
        <w:t>Las excepciones a la pausa podrían incluir a China, que no solo allanó el camino para las iniciativas de reducción de emisiones de metano a través de su</w:t>
      </w:r>
      <w:r w:rsidR="000B4B87">
        <w:t xml:space="preserve"> </w:t>
      </w:r>
      <w:hyperlink r:id="rId23" w:history="1">
        <w:r w:rsidRPr="00AC7CC6">
          <w:rPr>
            <w:rStyle w:val="Hipervnculo"/>
            <w:b/>
            <w:bCs/>
          </w:rPr>
          <w:t>Declaración de Sunnylands</w:t>
        </w:r>
      </w:hyperlink>
      <w:r w:rsidR="000B4B87">
        <w:t xml:space="preserve"> </w:t>
      </w:r>
      <w:r w:rsidRPr="00AC7CC6">
        <w:t>con Estados Unidos, firmada en noviembre, sino que también respaldó una serie de</w:t>
      </w:r>
      <w:r w:rsidR="000B4B87">
        <w:t xml:space="preserve"> </w:t>
      </w:r>
      <w:hyperlink r:id="rId24" w:history="1">
        <w:r w:rsidRPr="00AC7CC6">
          <w:rPr>
            <w:rStyle w:val="Hipervnculo"/>
            <w:b/>
            <w:bCs/>
          </w:rPr>
          <w:t>iniciativas centradas</w:t>
        </w:r>
      </w:hyperlink>
      <w:r w:rsidR="000B4B87">
        <w:t xml:space="preserve"> </w:t>
      </w:r>
      <w:r w:rsidRPr="00AC7CC6">
        <w:t>en la naturaleza presentadas en Dubái.</w:t>
      </w:r>
    </w:p>
    <w:p w14:paraId="33CBD254" w14:textId="77777777" w:rsidR="00AC7CC6" w:rsidRPr="00AC7CC6" w:rsidRDefault="00AC7CC6" w:rsidP="00AC7CC6">
      <w:pPr>
        <w:jc w:val="both"/>
      </w:pPr>
      <w:r w:rsidRPr="00AC7CC6">
        <w:t>Eliette Riera, jefa de políticas del Reino Unido en los Principios de Inversión Responsable, dice que la próxima ronda de NDC, prevista para 2025, será una prueba clave para la capacidad y la voluntad de los gobiernos de proporcionar planes de descarbonización integrales y detallados.</w:t>
      </w:r>
    </w:p>
    <w:p w14:paraId="2D50AB98" w14:textId="77777777" w:rsidR="00AC7CC6" w:rsidRPr="00AC7CC6" w:rsidRDefault="00AC7CC6" w:rsidP="00AC7CC6">
      <w:pPr>
        <w:jc w:val="both"/>
      </w:pPr>
      <w:r w:rsidRPr="00AC7CC6">
        <w:t>"Al preparar estas nuevas estrategias nacionales, es crucial que los gobiernos lleven a cabo una transición económica completa y construyan con la mejor ciencia disponible. El sector privado puede apoyar este enfoque, pero solo si los responsables de la formulación de políticas lideran la creación de un entorno propicio para dicha acción", afirma.</w:t>
      </w:r>
    </w:p>
    <w:p w14:paraId="0AD3C036" w14:textId="77777777" w:rsidR="00AC7CC6" w:rsidRPr="00AC7CC6" w:rsidRDefault="00AC7CC6" w:rsidP="00AC7CC6">
      <w:pPr>
        <w:jc w:val="both"/>
      </w:pPr>
      <w:r w:rsidRPr="00AC7CC6">
        <w:t>Mientras tanto, los inversores deben seguir de cerca los indicadores de política.</w:t>
      </w:r>
    </w:p>
    <w:p w14:paraId="788190DC" w14:textId="77777777" w:rsidR="00AC7CC6" w:rsidRPr="00AC7CC6" w:rsidRDefault="00AC7CC6" w:rsidP="00AC7CC6">
      <w:pPr>
        <w:jc w:val="both"/>
      </w:pPr>
      <w:r w:rsidRPr="00AC7CC6">
        <w:t>"La tensión entre la visión global representada por el Consenso de los Emiratos Árabes Unidos y las ambiciones nacionales y los paquetes de políticas está aumentando. Eso es algo que los mercados y los inversores necesitan navegar", dice Fischer de UNEP FI.</w:t>
      </w:r>
    </w:p>
    <w:p w14:paraId="1D9F3F6F" w14:textId="77777777" w:rsidR="00AC7CC6" w:rsidRPr="00AC7CC6" w:rsidRDefault="00AC7CC6" w:rsidP="00AC7CC6">
      <w:pPr>
        <w:jc w:val="both"/>
        <w:rPr>
          <w:b/>
          <w:bCs/>
        </w:rPr>
      </w:pPr>
      <w:r w:rsidRPr="00AC7CC6">
        <w:rPr>
          <w:b/>
          <w:bCs/>
        </w:rPr>
        <w:t>Espacio para el optimismo</w:t>
      </w:r>
    </w:p>
    <w:p w14:paraId="01515461" w14:textId="77777777" w:rsidR="00AC7CC6" w:rsidRPr="00AC7CC6" w:rsidRDefault="00AC7CC6" w:rsidP="00AC7CC6">
      <w:pPr>
        <w:jc w:val="both"/>
      </w:pPr>
      <w:r w:rsidRPr="00AC7CC6">
        <w:t>Si bien muchas Partes reaccionaron enérgicamente a la omisión de la "eliminación gradual" en el borrador del Balance Mundial distribuido durante el penúltimo fin de semana, otras señalaron una falta de equidad en las demandas de transición de los países desarrollados. Muchos países de ingresos medios y bajos se preguntaron por qué deberían renunciar a los ingresos del petróleo y el gas que habían inflado las economías de las naciones ricas, muchas de las cuales se estaban estancando en los compromisos de financiación climática.</w:t>
      </w:r>
    </w:p>
    <w:p w14:paraId="281EB28E" w14:textId="037E4E6B" w:rsidR="00AC7CC6" w:rsidRPr="00AC7CC6" w:rsidRDefault="00AC7CC6" w:rsidP="00AC7CC6">
      <w:pPr>
        <w:jc w:val="both"/>
      </w:pPr>
      <w:r w:rsidRPr="00AC7CC6">
        <w:t>Aunque la COP28 comenzó con un acuerdo sobre la puesta en marcha del Fondo de Pérdidas y Daños, la cantidad comprometida hasta ahora sigue siendo</w:t>
      </w:r>
      <w:r w:rsidR="000B4B87">
        <w:t xml:space="preserve"> </w:t>
      </w:r>
      <w:hyperlink r:id="rId25" w:history="1">
        <w:r w:rsidRPr="00AC7CC6">
          <w:rPr>
            <w:rStyle w:val="Hipervnculo"/>
            <w:b/>
            <w:bCs/>
          </w:rPr>
          <w:t>limitada</w:t>
        </w:r>
      </w:hyperlink>
      <w:r w:rsidRPr="00AC7CC6">
        <w:t>. En general, se comprometieron cantidades significativas, con 57.000 millones de dólares prometidos por fuentes públicas y privadas solo en los primeros cuatro días (84.000 millones de dólares al cierre de la COP28), incluidos 3.500 millones de dólares comprometidos para la segunda reposición del</w:t>
      </w:r>
      <w:r w:rsidR="000B4B87">
        <w:t xml:space="preserve"> </w:t>
      </w:r>
      <w:hyperlink r:id="rId26" w:history="1">
        <w:r w:rsidRPr="00AC7CC6">
          <w:rPr>
            <w:rStyle w:val="Hipervnculo"/>
            <w:b/>
            <w:bCs/>
          </w:rPr>
          <w:t>Fondo Verde</w:t>
        </w:r>
      </w:hyperlink>
      <w:r w:rsidR="000B4B87">
        <w:t xml:space="preserve"> </w:t>
      </w:r>
      <w:r w:rsidRPr="00AC7CC6">
        <w:t>para el Clima.</w:t>
      </w:r>
    </w:p>
    <w:p w14:paraId="3CB4B699" w14:textId="77777777" w:rsidR="00AC7CC6" w:rsidRPr="00AC7CC6" w:rsidRDefault="00AC7CC6" w:rsidP="00AC7CC6">
      <w:pPr>
        <w:jc w:val="both"/>
      </w:pPr>
      <w:r w:rsidRPr="00AC7CC6">
        <w:t>Fischer, de UNEP FI, cree que el acuerdo inicial sobre el Fondo de Pérdidas y Daños ayudó a incorporar "más confianza en el sistema", y argumenta que los continuos retrasos en la financiación climática no son necesariamente motivo de consternación.</w:t>
      </w:r>
    </w:p>
    <w:p w14:paraId="7BCDD5B8" w14:textId="77777777" w:rsidR="00AC7CC6" w:rsidRPr="00AC7CC6" w:rsidRDefault="00AC7CC6" w:rsidP="00AC7CC6">
      <w:pPr>
        <w:jc w:val="both"/>
      </w:pPr>
      <w:r w:rsidRPr="00AC7CC6">
        <w:t xml:space="preserve">Con los detalles que se ultimarán en la COP29, se establece un Nuevo Objetivo Cualitativo Colectivo que reemplazará el compromiso de larga data de los países ricos de proporcionar 100 mil millones </w:t>
      </w:r>
      <w:r w:rsidRPr="00AC7CC6">
        <w:lastRenderedPageBreak/>
        <w:t>de dólares anuales en financiamiento climático a las naciones en desarrollo. Según Fischer, una apreciación cada vez más evidente del tipo y las fuentes de financiación necesarias tiene más posibilidades de obtener resultados sobre el terreno.</w:t>
      </w:r>
    </w:p>
    <w:p w14:paraId="228CFCF7" w14:textId="77777777" w:rsidR="00AC7CC6" w:rsidRPr="00AC7CC6" w:rsidRDefault="00AC7CC6" w:rsidP="00AC7CC6">
      <w:pPr>
        <w:jc w:val="both"/>
      </w:pPr>
      <w:r w:rsidRPr="00AC7CC6">
        <w:t>"Lo que veo, con cierto grado de optimismo, es que hay muchos más matices en estas negociaciones sobre la financiación climática, lo que está llevando a un enfoque más sofisticado para un uso más estratégico de las limitadas finanzas públicas para movilizar la financiación privada", dice.</w:t>
      </w:r>
    </w:p>
    <w:p w14:paraId="15D152CB" w14:textId="77777777" w:rsidR="00AC7CC6" w:rsidRPr="00AC7CC6" w:rsidRDefault="00AC7CC6" w:rsidP="00AC7CC6">
      <w:pPr>
        <w:jc w:val="both"/>
      </w:pPr>
      <w:r w:rsidRPr="00AC7CC6">
        <w:t>Sin embargo, Spalding, de Ceres, sigue pensando que los gobiernos deben hacer más para atraer capital privado.</w:t>
      </w:r>
    </w:p>
    <w:p w14:paraId="1A61FF07" w14:textId="77777777" w:rsidR="00AC7CC6" w:rsidRPr="00AC7CC6" w:rsidRDefault="00AC7CC6" w:rsidP="00AC7CC6">
      <w:pPr>
        <w:jc w:val="both"/>
      </w:pPr>
      <w:r w:rsidRPr="00AC7CC6">
        <w:t>"Los inversores están de acuerdo en que hay oportunidades, pero hay una necesidad real de que los gobiernos den un paso al frente. Sin el apoyo del gobierno, va a ser muy difícil para los inversores moverse a la escala y velocidad necesarias".</w:t>
      </w:r>
    </w:p>
    <w:p w14:paraId="3C817BBF" w14:textId="77777777" w:rsidR="00AC7CC6" w:rsidRPr="00AC7CC6" w:rsidRDefault="00AC7CC6" w:rsidP="00AC7CC6">
      <w:pPr>
        <w:jc w:val="both"/>
      </w:pPr>
      <w:r w:rsidRPr="00AC7CC6">
        <w:t>Se espera que los retos a los que se enfrentan los inversores en proyectos de energías renovables en las economías emergentes y en desarrollo sean un foco clave a medida que los gobiernos que regresan de la COP28 buscan cumplir con los compromisos de energías renovables y eficiencia.</w:t>
      </w:r>
    </w:p>
    <w:p w14:paraId="4E751DCF" w14:textId="77777777" w:rsidR="00AC7CC6" w:rsidRPr="00AC7CC6" w:rsidRDefault="00AC7CC6" w:rsidP="00AC7CC6">
      <w:pPr>
        <w:jc w:val="both"/>
      </w:pPr>
      <w:r w:rsidRPr="00AC7CC6">
        <w:t>Jones dice: "Una gran cantidad de la capacidad actual de energías renovables se encuentra en los países desarrollados; Los mercados emergentes y emergentes han tenido dificultades para mantener el ritmo. Hay una gran cantidad de trabajo por hacer sobre cómo los países pueden acceder a la financiación de estos proyectos sin tener que pagar tasas de interés exorbitantes, lo que hace que las energías renovables sean mucho menos viables para los EMED".</w:t>
      </w:r>
    </w:p>
    <w:p w14:paraId="7E057CB7" w14:textId="77777777" w:rsidR="00AC7CC6" w:rsidRPr="00AC7CC6" w:rsidRDefault="00AC7CC6" w:rsidP="00AC7CC6">
      <w:pPr>
        <w:jc w:val="both"/>
        <w:rPr>
          <w:b/>
          <w:bCs/>
        </w:rPr>
      </w:pPr>
      <w:r w:rsidRPr="00AC7CC6">
        <w:rPr>
          <w:b/>
          <w:bCs/>
        </w:rPr>
        <w:t>Capital concesional</w:t>
      </w:r>
    </w:p>
    <w:p w14:paraId="338E759D" w14:textId="7F950561" w:rsidR="00AC7CC6" w:rsidRPr="00AC7CC6" w:rsidRDefault="00AC7CC6" w:rsidP="00AC7CC6">
      <w:pPr>
        <w:jc w:val="both"/>
      </w:pPr>
      <w:r w:rsidRPr="00AC7CC6">
        <w:t>Para ello es necesario reformar la arquitectura financiera mundial, en particular los</w:t>
      </w:r>
      <w:r w:rsidR="000B4B87">
        <w:t xml:space="preserve"> </w:t>
      </w:r>
      <w:hyperlink r:id="rId27" w:history="1">
        <w:r w:rsidRPr="00AC7CC6">
          <w:rPr>
            <w:rStyle w:val="Hipervnculo"/>
            <w:b/>
            <w:bCs/>
          </w:rPr>
          <w:t>bancos multilaterales de desarrollo (BMD),</w:t>
        </w:r>
      </w:hyperlink>
      <w:r w:rsidR="000B4B87">
        <w:t xml:space="preserve"> </w:t>
      </w:r>
      <w:r w:rsidRPr="00AC7CC6">
        <w:t>que desempeñan un papel fundamental en la creación de un entorno propicio para la inversión privada y la ampliación de las carteras de proyectos mediante asistencia técnica financiada con donaciones.</w:t>
      </w:r>
    </w:p>
    <w:p w14:paraId="7B42C8B2" w14:textId="7859D972" w:rsidR="00AC7CC6" w:rsidRPr="00AC7CC6" w:rsidRDefault="00AC7CC6" w:rsidP="00AC7CC6">
      <w:pPr>
        <w:jc w:val="both"/>
      </w:pPr>
      <w:r w:rsidRPr="00AC7CC6">
        <w:t>Los bancos multilaterales de desarrollo, liderados por el Banco Mundial, mantuvieron un alto perfil en la COP28, aprovechando los avances en la reforma de los procesos y prácticas de los prestamistas públicos en las recientes reuniones del Banco Mundial y el FMI en</w:t>
      </w:r>
      <w:r w:rsidR="000B4B87">
        <w:t xml:space="preserve"> </w:t>
      </w:r>
      <w:hyperlink r:id="rId28" w:history="1">
        <w:r w:rsidRPr="00AC7CC6">
          <w:rPr>
            <w:rStyle w:val="Hipervnculo"/>
            <w:b/>
            <w:bCs/>
          </w:rPr>
          <w:t>Marruecos</w:t>
        </w:r>
      </w:hyperlink>
      <w:r w:rsidRPr="00AC7CC6">
        <w:t>.</w:t>
      </w:r>
    </w:p>
    <w:p w14:paraId="4C1A4B80" w14:textId="77777777" w:rsidR="00AC7CC6" w:rsidRPr="00AC7CC6" w:rsidRDefault="00AC7CC6" w:rsidP="00AC7CC6">
      <w:pPr>
        <w:jc w:val="both"/>
      </w:pPr>
      <w:r w:rsidRPr="00AC7CC6">
        <w:t>"La reforma de los bancos multilaterales de desarrollo y el uso del capital concesional para preparar a los gobiernos para implementar la energía renovable a escala mundial es clave", dice Brouwer.</w:t>
      </w:r>
    </w:p>
    <w:p w14:paraId="27CF4AA3" w14:textId="351BEA35" w:rsidR="00AC7CC6" w:rsidRPr="00AC7CC6" w:rsidRDefault="00AC7CC6" w:rsidP="00AC7CC6">
      <w:pPr>
        <w:jc w:val="both"/>
      </w:pPr>
      <w:r w:rsidRPr="00AC7CC6">
        <w:t>Tras un </w:t>
      </w:r>
      <w:hyperlink r:id="rId29" w:history="1">
        <w:r w:rsidRPr="00AC7CC6">
          <w:rPr>
            <w:rStyle w:val="Hipervnculo"/>
            <w:b/>
            <w:bCs/>
          </w:rPr>
          <w:t>compromiso conjunto</w:t>
        </w:r>
      </w:hyperlink>
      <w:r w:rsidR="000B4B87">
        <w:t xml:space="preserve"> </w:t>
      </w:r>
      <w:r w:rsidRPr="00AC7CC6">
        <w:t>en la</w:t>
      </w:r>
      <w:r w:rsidR="000B4B87">
        <w:t xml:space="preserve"> </w:t>
      </w:r>
      <w:hyperlink r:id="rId30" w:history="1">
        <w:r w:rsidRPr="00AC7CC6">
          <w:rPr>
            <w:rStyle w:val="Hipervnculo"/>
            <w:b/>
            <w:bCs/>
          </w:rPr>
          <w:t>COP27</w:t>
        </w:r>
      </w:hyperlink>
      <w:r w:rsidR="000B4B87">
        <w:t xml:space="preserve"> </w:t>
      </w:r>
      <w:r w:rsidRPr="00AC7CC6">
        <w:t>de ampliar su apoyo a los esfuerzos de transición climática de los países, 12 meses después, los bancos multilaterales de desarrollo</w:t>
      </w:r>
      <w:r w:rsidR="000B4B87">
        <w:t xml:space="preserve"> </w:t>
      </w:r>
      <w:hyperlink r:id="rId31" w:history="1">
        <w:r w:rsidRPr="00AC7CC6">
          <w:rPr>
            <w:rStyle w:val="Hipervnculo"/>
            <w:b/>
            <w:bCs/>
          </w:rPr>
          <w:t>anunciaron</w:t>
        </w:r>
      </w:hyperlink>
      <w:r w:rsidR="000B4B87">
        <w:t xml:space="preserve"> </w:t>
      </w:r>
      <w:r w:rsidRPr="00AC7CC6">
        <w:t>más de 180.000 millones de dólares en nuevos compromisos de financiación climática durante la próxima década, además de</w:t>
      </w:r>
      <w:r w:rsidR="000B4B87">
        <w:t xml:space="preserve"> </w:t>
      </w:r>
      <w:hyperlink r:id="rId32" w:history="1">
        <w:r w:rsidRPr="00AC7CC6">
          <w:rPr>
            <w:rStyle w:val="Hipervnculo"/>
            <w:b/>
            <w:bCs/>
          </w:rPr>
          <w:t>comprometerse</w:t>
        </w:r>
      </w:hyperlink>
      <w:r w:rsidR="000B4B87">
        <w:t xml:space="preserve"> </w:t>
      </w:r>
      <w:r w:rsidRPr="00AC7CC6">
        <w:t>a apoyar los esfuerzos para ampliar la financiación de la adaptación climática a través de la planificación y las políticas, las evaluaciones de riesgos, los mecanismos de financiación y el desarrollo de capacidades.</w:t>
      </w:r>
    </w:p>
    <w:p w14:paraId="566F2096" w14:textId="4B627B5F" w:rsidR="00AC7CC6" w:rsidRPr="00AC7CC6" w:rsidRDefault="00AC7CC6" w:rsidP="00AC7CC6">
      <w:pPr>
        <w:jc w:val="both"/>
      </w:pPr>
      <w:r w:rsidRPr="00AC7CC6">
        <w:t>Junto con esto, vino un flujo constante de anuncios de financiamiento, incluida una</w:t>
      </w:r>
      <w:r w:rsidR="000B4B87">
        <w:t xml:space="preserve"> </w:t>
      </w:r>
      <w:hyperlink r:id="rId33" w:history="1">
        <w:r w:rsidRPr="00AC7CC6">
          <w:rPr>
            <w:rStyle w:val="Hipervnculo"/>
            <w:b/>
            <w:bCs/>
          </w:rPr>
          <w:t>colaboración</w:t>
        </w:r>
      </w:hyperlink>
      <w:r w:rsidR="000B4B87">
        <w:t xml:space="preserve"> </w:t>
      </w:r>
      <w:r w:rsidRPr="00AC7CC6">
        <w:t xml:space="preserve">financiera combinada entre la Agencia de los Estados Unidos para el Desarrollo Internacional (USAID) y varios gobiernos nórdicos para canalizar capital privado hacia la mitigación y adaptación </w:t>
      </w:r>
      <w:r w:rsidRPr="00AC7CC6">
        <w:lastRenderedPageBreak/>
        <w:t>al clima, la biodiversidad y las soluciones basadas en la naturaleza. Utilizará un consejo asesor de propietarios de activos para asesorar sobre posibles transacciones e incentivos financieros privados, y luego se comprometerá con los administradores de activos en las llamadas para la originación de vehículos de financiamiento combinado y los propietarios de activos para compromisos financieros.</w:t>
      </w:r>
    </w:p>
    <w:p w14:paraId="0041FE60" w14:textId="2F788D4A" w:rsidR="00AC7CC6" w:rsidRPr="00AC7CC6" w:rsidRDefault="00AC7CC6" w:rsidP="00AC7CC6">
      <w:pPr>
        <w:jc w:val="both"/>
      </w:pPr>
      <w:r w:rsidRPr="00AC7CC6">
        <w:t>Además, Brouwer, de Ninety One, hace hincapié en la importancia del</w:t>
      </w:r>
      <w:r w:rsidR="000B4B87">
        <w:t xml:space="preserve"> </w:t>
      </w:r>
      <w:hyperlink r:id="rId34" w:history="1">
        <w:r w:rsidRPr="00AC7CC6">
          <w:rPr>
            <w:rStyle w:val="Hipervnculo"/>
            <w:b/>
            <w:bCs/>
          </w:rPr>
          <w:t>nuevo fondo Alterra de 30.000 millones</w:t>
        </w:r>
      </w:hyperlink>
      <w:r w:rsidR="000B4B87">
        <w:t xml:space="preserve"> </w:t>
      </w:r>
      <w:r w:rsidRPr="00AC7CC6">
        <w:t>de dólares de los Emiratos Árabes Unidos, también presentado durante la COP28, que tiene como objetivo impulsar el capital privado a escala en los mercados emergentes y desarrollados para apoyar la ampliación de la infraestructura climática y los esfuerzos de transición.</w:t>
      </w:r>
    </w:p>
    <w:p w14:paraId="7EC86138" w14:textId="77777777" w:rsidR="00AC7CC6" w:rsidRPr="00AC7CC6" w:rsidRDefault="00AC7CC6" w:rsidP="00AC7CC6">
      <w:pPr>
        <w:jc w:val="both"/>
      </w:pPr>
      <w:r w:rsidRPr="00AC7CC6">
        <w:t>"Esto establece el estándar de lo que es un compromiso grande y ambicioso", señala Brouwer. "En lugar de tratar de desplazar al resto del sector privado, está tratando de amontonarlos".</w:t>
      </w:r>
    </w:p>
    <w:p w14:paraId="684691F6" w14:textId="77777777" w:rsidR="00AC7CC6" w:rsidRPr="00AC7CC6" w:rsidRDefault="00AC7CC6" w:rsidP="00AC7CC6">
      <w:pPr>
        <w:jc w:val="both"/>
        <w:rPr>
          <w:b/>
          <w:bCs/>
        </w:rPr>
      </w:pPr>
      <w:r w:rsidRPr="00AC7CC6">
        <w:rPr>
          <w:b/>
          <w:bCs/>
        </w:rPr>
        <w:t>Señales fuertes</w:t>
      </w:r>
    </w:p>
    <w:p w14:paraId="765A72E4" w14:textId="77777777" w:rsidR="00AC7CC6" w:rsidRPr="00AC7CC6" w:rsidRDefault="00AC7CC6" w:rsidP="00AC7CC6">
      <w:pPr>
        <w:jc w:val="both"/>
      </w:pPr>
      <w:r w:rsidRPr="00AC7CC6">
        <w:t>A medida que las implicaciones de costes de la descarbonización se cristalicen aún más, especialmente a la luz de los resultados e indicadores de la COP28 para el sector energético y sus clientes, Thomae, de IPR, espera que se intensifique la competencia por los escasos recursos.</w:t>
      </w:r>
    </w:p>
    <w:p w14:paraId="06F67D95" w14:textId="77777777" w:rsidR="00AC7CC6" w:rsidRPr="00AC7CC6" w:rsidRDefault="00AC7CC6" w:rsidP="00AC7CC6">
      <w:pPr>
        <w:jc w:val="both"/>
      </w:pPr>
      <w:r w:rsidRPr="00AC7CC6">
        <w:t>"Desde la perspectiva de un inversionista, la historia del uso de la tierra se está volviendo más clara. Habrá tanta gente pujando por la tierra en las próximas décadas que se convertirá en un activo mucho más competitivo, y el cambio climático también afectará a la disponibilidad", dice, señalando también los posibles impactos de las complejidades geopolíticas.</w:t>
      </w:r>
    </w:p>
    <w:p w14:paraId="393C6E35" w14:textId="77777777" w:rsidR="00AC7CC6" w:rsidRPr="00AC7CC6" w:rsidRDefault="00AC7CC6" w:rsidP="00AC7CC6">
      <w:pPr>
        <w:jc w:val="both"/>
      </w:pPr>
      <w:r w:rsidRPr="00AC7CC6">
        <w:t>"Si la energía fue el primer capítulo de la historia de la descarbonización", añade, "el uso de la tierra será el segundo".</w:t>
      </w:r>
    </w:p>
    <w:p w14:paraId="5E5CC01E" w14:textId="30D7753F" w:rsidR="00AC7CC6" w:rsidRPr="00AC7CC6" w:rsidRDefault="00AC7CC6" w:rsidP="00AC7CC6">
      <w:pPr>
        <w:jc w:val="both"/>
      </w:pPr>
      <w:r w:rsidRPr="00AC7CC6">
        <w:t xml:space="preserve">En la COP de este año se hizo mayor hincapié hasta la fecha en el perfil de emisiones de los entornos terrestres y marinos, tanto positivas como negativas, y se reconoció cada vez más la necesidad de considerar, de </w:t>
      </w:r>
      <w:r w:rsidR="0010549C" w:rsidRPr="00AC7CC6">
        <w:t>hecho,</w:t>
      </w:r>
      <w:r w:rsidRPr="00AC7CC6">
        <w:t xml:space="preserve"> aprovechar el nexo entre el clima y la naturaleza en beneficio mutuo.</w:t>
      </w:r>
    </w:p>
    <w:p w14:paraId="27432913" w14:textId="74C40785" w:rsidR="00AC7CC6" w:rsidRPr="00AC7CC6" w:rsidRDefault="00AC7CC6" w:rsidP="00AC7CC6">
      <w:pPr>
        <w:jc w:val="both"/>
      </w:pPr>
      <w:r w:rsidRPr="00AC7CC6">
        <w:t xml:space="preserve">"Lo que estamos escuchando de los inversores es una señal muy fuerte de que consideran que la pérdida de la naturaleza y la biodiversidad es un riesgo financiero real que está interconectado con el riesgo climático. Y lo que obtuvimos en la COP fue la señal más fuerte de que los países realmente están considerando estos riesgos integrados", dijo Meryl Richards, </w:t>
      </w:r>
      <w:r w:rsidR="0010549C" w:rsidRPr="00AC7CC6">
        <w:t>directora</w:t>
      </w:r>
      <w:r w:rsidRPr="00AC7CC6">
        <w:t xml:space="preserve"> del Programa de Alimentos y Bosques de Ceres.</w:t>
      </w:r>
    </w:p>
    <w:p w14:paraId="568B8023" w14:textId="77777777" w:rsidR="00AC7CC6" w:rsidRPr="00AC7CC6" w:rsidRDefault="00AC7CC6" w:rsidP="00AC7CC6">
      <w:pPr>
        <w:jc w:val="both"/>
      </w:pPr>
      <w:r w:rsidRPr="00AC7CC6">
        <w:t>Esto se manifestó en los días dedicados a la naturaleza, los sistemas alimentarios y la salud en Dubái, que dieron lugar a múltiples iniciativas, promesas de financiación y compromisos. También se reflejó en el texto final de la respuesta al balance mundial.</w:t>
      </w:r>
    </w:p>
    <w:p w14:paraId="40BFAE6F" w14:textId="77777777" w:rsidR="00AC7CC6" w:rsidRPr="00AC7CC6" w:rsidRDefault="00AC7CC6" w:rsidP="00AC7CC6">
      <w:pPr>
        <w:jc w:val="both"/>
      </w:pPr>
      <w:r w:rsidRPr="00AC7CC6">
        <w:t>El texto final de la COP28 destacó la importancia de conservar, proteger y restaurar la naturaleza para lograr los objetivos del Acuerdo de París, en línea con el Marco Mundial de la Biodiversidad. Además, señaló la necesidad de aumentar el apoyo y la inversión para revertir la deforestación y la degradación forestal para 2030, incluidos los pagos y los incentivos para la gestión sostenible de los bosques.</w:t>
      </w:r>
    </w:p>
    <w:p w14:paraId="1493AB7F" w14:textId="77777777" w:rsidR="00AC7CC6" w:rsidRPr="00AC7CC6" w:rsidRDefault="00AC7CC6" w:rsidP="00AC7CC6">
      <w:pPr>
        <w:jc w:val="both"/>
      </w:pPr>
      <w:r w:rsidRPr="00AC7CC6">
        <w:t xml:space="preserve">Las referencias a los sistemas alimentarios en el texto del Balance Mundial fueron positivas, dicen los expertos, pero se habrían acogido con beneplácito nuevas medidas. El texto reconocía el papel </w:t>
      </w:r>
      <w:r w:rsidRPr="00AC7CC6">
        <w:lastRenderedPageBreak/>
        <w:t>de los sistemas alimentarios resilientes para la adaptación, pero no hacía referencia explícita a la necesidad de reducir sus emisiones. Señaló la importancia de la transición a "patrones sostenibles de consumo y producción" sin mencionar específicamente los cambios en la dieta. Y si bien el texto destacó la necesidad de reducir los incentivos dañinos para el uso de combustibles fósiles, no se refirió específicamente a la eliminación gradual de los subsidios agrícolas dañinos.</w:t>
      </w:r>
    </w:p>
    <w:p w14:paraId="0026F272" w14:textId="61F8B5FB" w:rsidR="00AC7CC6" w:rsidRPr="00AC7CC6" w:rsidRDefault="00AC7CC6" w:rsidP="00AC7CC6">
      <w:pPr>
        <w:jc w:val="both"/>
      </w:pPr>
      <w:r w:rsidRPr="00AC7CC6">
        <w:t>Los principales avances relacionados incluyen la incorporación de la alimentación y la agricultura en las NDC a través de la</w:t>
      </w:r>
      <w:r w:rsidR="000B4B87">
        <w:t xml:space="preserve"> </w:t>
      </w:r>
      <w:hyperlink r:id="rId35" w:history="1">
        <w:r w:rsidRPr="00AC7CC6">
          <w:rPr>
            <w:rStyle w:val="Hipervnculo"/>
            <w:b/>
            <w:bCs/>
          </w:rPr>
          <w:t>Declaración de los Emiratos firmada</w:t>
        </w:r>
      </w:hyperlink>
      <w:r w:rsidR="000B4B87">
        <w:t xml:space="preserve"> </w:t>
      </w:r>
      <w:r w:rsidRPr="00AC7CC6">
        <w:t>por más de 150 países, un</w:t>
      </w:r>
      <w:r w:rsidR="000B4B87">
        <w:t xml:space="preserve"> </w:t>
      </w:r>
      <w:hyperlink r:id="rId36" w:history="1">
        <w:r w:rsidRPr="00AC7CC6">
          <w:rPr>
            <w:rStyle w:val="Hipervnculo"/>
            <w:b/>
            <w:bCs/>
          </w:rPr>
          <w:t>compromiso liderado por China</w:t>
        </w:r>
      </w:hyperlink>
      <w:r w:rsidR="000B4B87">
        <w:t xml:space="preserve"> </w:t>
      </w:r>
      <w:r w:rsidRPr="00AC7CC6">
        <w:t>para una coordinación más estrecha de los planes nacionales sobre el clima y la naturaleza, y los plazos y directrices para la transición de la alimentación y la agricultura hacia un futuro más sostenible y equitativo, en el marco de la</w:t>
      </w:r>
      <w:r w:rsidR="000B4B87">
        <w:t xml:space="preserve"> </w:t>
      </w:r>
      <w:hyperlink r:id="rId37" w:history="1">
        <w:r w:rsidRPr="00AC7CC6">
          <w:rPr>
            <w:rStyle w:val="Hipervnculo"/>
            <w:b/>
            <w:bCs/>
          </w:rPr>
          <w:t>hoja de ruta de cero emisiones netas</w:t>
        </w:r>
      </w:hyperlink>
      <w:r w:rsidR="000B4B87">
        <w:t xml:space="preserve"> </w:t>
      </w:r>
      <w:r w:rsidRPr="00AC7CC6">
        <w:t>de la Organización de las Naciones Unidas para la Alimentación y la Agricultura (FAO). Entre los signatarios del compromiso sobre el</w:t>
      </w:r>
      <w:r w:rsidR="000B4B87">
        <w:t xml:space="preserve"> </w:t>
      </w:r>
      <w:hyperlink r:id="rId38" w:history="1">
        <w:r w:rsidRPr="00AC7CC6">
          <w:rPr>
            <w:rStyle w:val="Hipervnculo"/>
            <w:b/>
            <w:bCs/>
          </w:rPr>
          <w:t>metano</w:t>
        </w:r>
      </w:hyperlink>
      <w:r w:rsidRPr="00AC7CC6">
        <w:t>, que prometía nuevas medidas y transparencia, se encontraban varias grandes empresas del sector de la alimentación y la agricultura.</w:t>
      </w:r>
    </w:p>
    <w:p w14:paraId="712FA194" w14:textId="759D21CF" w:rsidR="00AC7CC6" w:rsidRPr="00AC7CC6" w:rsidRDefault="00AC7CC6" w:rsidP="00AC7CC6">
      <w:pPr>
        <w:jc w:val="both"/>
      </w:pPr>
      <w:r w:rsidRPr="00AC7CC6">
        <w:t xml:space="preserve">"Antes, la agricultura tenía un pase libre, ahora está bajo la lupa. La necesidad de contar con planes de acción nacionales para reducir esas emisiones se filtra primero a las empresas y luego a los inversores", afirma Sofía Condes, </w:t>
      </w:r>
      <w:r w:rsidR="0010549C" w:rsidRPr="00AC7CC6">
        <w:t>directora</w:t>
      </w:r>
      <w:r w:rsidRPr="00AC7CC6">
        <w:t xml:space="preserve"> de Alcance a los Inversores de la Iniciativa FAIRR, en relación con la Declaración de los Emiratos.</w:t>
      </w:r>
    </w:p>
    <w:p w14:paraId="4B56A460" w14:textId="77777777" w:rsidR="00AC7CC6" w:rsidRPr="00AC7CC6" w:rsidRDefault="00AC7CC6" w:rsidP="00AC7CC6">
      <w:pPr>
        <w:jc w:val="both"/>
      </w:pPr>
      <w:r w:rsidRPr="00AC7CC6">
        <w:t>"Indica a los inversores que es probable que la velocidad y la escala de la transición en el sector alimentario aumenten rápidamente. También demuestra que la transición climática y medioambiental ya no es algo a lo que puedas dedicar una pequeña parte de tu cartera; Está ocurriendo en diferentes sectores. Habrá un cambio en las prácticas y los patrones de consumo, así como en las innovaciones y oportunidades".</w:t>
      </w:r>
    </w:p>
    <w:p w14:paraId="55ECD79B" w14:textId="77777777" w:rsidR="00AC7CC6" w:rsidRPr="00AC7CC6" w:rsidRDefault="00AC7CC6" w:rsidP="00AC7CC6">
      <w:pPr>
        <w:jc w:val="both"/>
      </w:pPr>
      <w:r w:rsidRPr="00AC7CC6">
        <w:t>La hoja de ruta de la FAO se actualizará en los próximos tres años, pero ya ofrece "un primer paso bienvenido" para orientar a los gobiernos, las empresas y los inversores sobre cómo planificar la transición para el sector alimentario, añadió Condes.</w:t>
      </w:r>
    </w:p>
    <w:p w14:paraId="7A184240" w14:textId="77777777" w:rsidR="00AC7CC6" w:rsidRPr="00AC7CC6" w:rsidRDefault="00AC7CC6" w:rsidP="00AC7CC6">
      <w:pPr>
        <w:jc w:val="both"/>
      </w:pPr>
      <w:r w:rsidRPr="00AC7CC6">
        <w:t>"A medida que evolucione, esperamos que tenga detalles mucho más granulares sobre la implementación e incorpore más prioridades de la naturaleza en sus vías climáticas".</w:t>
      </w:r>
    </w:p>
    <w:p w14:paraId="0FB29580" w14:textId="77777777" w:rsidR="00AC7CC6" w:rsidRPr="00AC7CC6" w:rsidRDefault="00AC7CC6" w:rsidP="00AC7CC6">
      <w:pPr>
        <w:jc w:val="both"/>
        <w:rPr>
          <w:b/>
          <w:bCs/>
        </w:rPr>
      </w:pPr>
      <w:r w:rsidRPr="00AC7CC6">
        <w:rPr>
          <w:b/>
          <w:bCs/>
        </w:rPr>
        <w:t>Avances azules</w:t>
      </w:r>
    </w:p>
    <w:p w14:paraId="511E19E7" w14:textId="77777777" w:rsidR="00AC7CC6" w:rsidRPr="00AC7CC6" w:rsidRDefault="00AC7CC6" w:rsidP="00AC7CC6">
      <w:pPr>
        <w:jc w:val="both"/>
      </w:pPr>
      <w:r w:rsidRPr="00AC7CC6">
        <w:t>El papel de los océanos y las regiones costeras tanto en la mitigación como en la adaptación al cambio climático se mencionó por primera vez en el texto final de la COP sobre el clima, en el que se alentó a "seguir fortaleciendo la acción basada en los océanos". Si bien esto último se consideró positivo, las referencias a la "mitigación basada en los océanos" podrían considerarse como una apertura a técnicas no probadas y potencialmente dañinas para explotar el papel de los océanos como sumideros de carbono, especialmente junto con la redacción relacionada con la aceleración de las innovaciones en materia de eliminación de carbono.</w:t>
      </w:r>
    </w:p>
    <w:p w14:paraId="0AD49AEC" w14:textId="4FB810E0" w:rsidR="00AC7CC6" w:rsidRPr="00AC7CC6" w:rsidRDefault="00AC7CC6" w:rsidP="00AC7CC6">
      <w:pPr>
        <w:jc w:val="both"/>
      </w:pPr>
      <w:r w:rsidRPr="00AC7CC6">
        <w:t>Además de las referencias mixtas en el texto de balance global, que no establece nuevos objetivos de protección o conservación, el perfil de los océanos y las costas se elevó en la COP mediante la Declaración de los</w:t>
      </w:r>
      <w:r w:rsidR="000B4B87">
        <w:t xml:space="preserve"> </w:t>
      </w:r>
      <w:hyperlink r:id="rId39" w:history="1">
        <w:r w:rsidRPr="00AC7CC6">
          <w:rPr>
            <w:rStyle w:val="Hipervnculo"/>
            <w:b/>
            <w:bCs/>
          </w:rPr>
          <w:t>Océanos de Dubái de la COP28</w:t>
        </w:r>
      </w:hyperlink>
      <w:r w:rsidR="000B4B87">
        <w:t xml:space="preserve"> </w:t>
      </w:r>
      <w:r w:rsidRPr="00AC7CC6">
        <w:t>y las promesas de financiación en las que participaron organizaciones como el Fondo Bezos para la Tierra,</w:t>
      </w:r>
      <w:r w:rsidR="000B4B87">
        <w:t xml:space="preserve"> </w:t>
      </w:r>
      <w:hyperlink r:id="rId40" w:history="1">
        <w:r w:rsidRPr="00AC7CC6">
          <w:rPr>
            <w:rStyle w:val="Hipervnculo"/>
            <w:b/>
            <w:bCs/>
          </w:rPr>
          <w:t>USAID</w:t>
        </w:r>
      </w:hyperlink>
      <w:r w:rsidR="000B4B87">
        <w:t xml:space="preserve"> </w:t>
      </w:r>
      <w:r w:rsidRPr="00AC7CC6">
        <w:t>y la Iniciativa Internacional de Arrecifes de Coral.</w:t>
      </w:r>
    </w:p>
    <w:p w14:paraId="194807B5" w14:textId="77777777" w:rsidR="00AC7CC6" w:rsidRPr="00AC7CC6" w:rsidRDefault="00AC7CC6" w:rsidP="00AC7CC6">
      <w:pPr>
        <w:jc w:val="both"/>
      </w:pPr>
      <w:r w:rsidRPr="00AC7CC6">
        <w:lastRenderedPageBreak/>
        <w:t>Esto se basa en el impulso generado por la publicación en octubre, bajo la égida de la Alianza de Marrakech para la Acción Climática Mundial, de cinco "</w:t>
      </w:r>
      <w:hyperlink r:id="rId41" w:history="1">
        <w:r w:rsidRPr="00AC7CC6">
          <w:rPr>
            <w:rStyle w:val="Hipervnculo"/>
            <w:b/>
            <w:bCs/>
          </w:rPr>
          <w:t>avances oceánicos</w:t>
        </w:r>
      </w:hyperlink>
      <w:r w:rsidRPr="00AC7CC6">
        <w:t>", destinados a acelerar la inversión y la acción hacia un futuro "resiliente, positivo para la naturaleza y cero emisiones netas" para 2050. Los avances esbozan vías sostenibles para la conservación marina, la energía renovable oceánica, el transporte marítimo, los alimentos acuáticos y el turismo costero.</w:t>
      </w:r>
    </w:p>
    <w:p w14:paraId="7B5C7887" w14:textId="77777777" w:rsidR="00AC7CC6" w:rsidRPr="00AC7CC6" w:rsidRDefault="00AC7CC6" w:rsidP="00AC7CC6">
      <w:pPr>
        <w:jc w:val="both"/>
      </w:pPr>
      <w:r w:rsidRPr="00AC7CC6">
        <w:t>Según Karen Sack, directora ejecutiva de la Alianza para la Acción contra el Riesgo y la Resiliencia de los Océanos (ORRAA, por sus siglas en inglés), uno de los resultados más positivos para los océanos de la COP28 se centró en nuevos enfoques de inversión en la "economía azul" que podrían utilizarse para reducir el riesgo de múltiples proyectos.</w:t>
      </w:r>
    </w:p>
    <w:p w14:paraId="2588C1B7" w14:textId="4C2C777A" w:rsidR="00AC7CC6" w:rsidRPr="00AC7CC6" w:rsidRDefault="00AC7CC6" w:rsidP="00AC7CC6">
      <w:pPr>
        <w:jc w:val="both"/>
      </w:pPr>
      <w:r w:rsidRPr="00AC7CC6">
        <w:t>Esta "ola de acción" incluyó que Deutsche Bank se convirtiera en el primer banco mundial en firmar el compromiso de financiación de los océanos #BackBlue, destinado a reducir el riesgo de las inversiones sostenibles relacionadas con el océano y la costa. Sack hace hincapié en la necesidad de desarrollar soluciones de financiación a múltiples niveles, incluidas aquellas que puedan apoyar al "medio perdido", citando el</w:t>
      </w:r>
      <w:r w:rsidR="000B4B87">
        <w:t xml:space="preserve"> </w:t>
      </w:r>
      <w:hyperlink r:id="rId42" w:history="1">
        <w:r w:rsidRPr="00AC7CC6">
          <w:rPr>
            <w:rStyle w:val="Hipervnculo"/>
            <w:b/>
            <w:bCs/>
          </w:rPr>
          <w:t>Fondo de Impacto Oceánico Outrigger</w:t>
        </w:r>
      </w:hyperlink>
      <w:r w:rsidRPr="00AC7CC6">
        <w:t>, que invierte en pequeñas y medianas empresas en las economías sostenibles y regenerativas de los Pequeños Estados Insulares en Desarrollo.</w:t>
      </w:r>
    </w:p>
    <w:p w14:paraId="0A7C47E6" w14:textId="77777777" w:rsidR="00AC7CC6" w:rsidRPr="00AC7CC6" w:rsidRDefault="00AC7CC6" w:rsidP="00AC7CC6">
      <w:pPr>
        <w:jc w:val="both"/>
        <w:rPr>
          <w:b/>
          <w:bCs/>
        </w:rPr>
      </w:pPr>
      <w:r w:rsidRPr="00AC7CC6">
        <w:rPr>
          <w:b/>
          <w:bCs/>
        </w:rPr>
        <w:t>Integración de la transición</w:t>
      </w:r>
    </w:p>
    <w:p w14:paraId="5CDF01CB" w14:textId="70B9DB24" w:rsidR="00AC7CC6" w:rsidRPr="00AC7CC6" w:rsidRDefault="00AC7CC6" w:rsidP="00AC7CC6">
      <w:pPr>
        <w:jc w:val="both"/>
      </w:pPr>
      <w:r w:rsidRPr="00AC7CC6">
        <w:t>Es ampliamente entendido que la</w:t>
      </w:r>
      <w:r w:rsidR="000B4B87">
        <w:t xml:space="preserve"> </w:t>
      </w:r>
      <w:hyperlink r:id="rId43" w:history="1">
        <w:r w:rsidRPr="00AC7CC6">
          <w:rPr>
            <w:rStyle w:val="Hipervnculo"/>
            <w:b/>
            <w:bCs/>
          </w:rPr>
          <w:t>transición</w:t>
        </w:r>
      </w:hyperlink>
      <w:r w:rsidR="000B4B87">
        <w:t xml:space="preserve"> </w:t>
      </w:r>
      <w:r w:rsidRPr="00AC7CC6">
        <w:t>a una trayectoria de temperatura de 1,5°C no será lineal. Lograr el equilibrio adecuado entre apoyar a las empresas intensivas en carbono en su transición climática -como una empresa de servicios públicos de energía que hace la transición a la generación de energía renovable- y dar luz verde inadvertidamente a</w:t>
      </w:r>
      <w:r w:rsidR="000B4B87">
        <w:t xml:space="preserve"> </w:t>
      </w:r>
      <w:hyperlink r:id="rId44" w:history="1">
        <w:r w:rsidRPr="00AC7CC6">
          <w:rPr>
            <w:rStyle w:val="Hipervnculo"/>
            <w:b/>
            <w:bCs/>
          </w:rPr>
          <w:t>procesos insostenibles</w:t>
        </w:r>
      </w:hyperlink>
      <w:r w:rsidR="000B4B87">
        <w:t xml:space="preserve"> </w:t>
      </w:r>
      <w:r w:rsidRPr="00AC7CC6">
        <w:t>ha sido un reto para los inversores.</w:t>
      </w:r>
    </w:p>
    <w:p w14:paraId="7254AE45" w14:textId="693C1F77" w:rsidR="00AC7CC6" w:rsidRPr="00AC7CC6" w:rsidRDefault="00AC7CC6" w:rsidP="00AC7CC6">
      <w:pPr>
        <w:jc w:val="both"/>
      </w:pPr>
      <w:r w:rsidRPr="00AC7CC6">
        <w:t>Con</w:t>
      </w:r>
      <w:r w:rsidR="000B4B87">
        <w:t xml:space="preserve"> </w:t>
      </w:r>
      <w:hyperlink r:id="rId45" w:history="1">
        <w:r w:rsidRPr="00AC7CC6">
          <w:rPr>
            <w:rStyle w:val="Hipervnculo"/>
            <w:b/>
            <w:bCs/>
          </w:rPr>
          <w:t>hasta 50 billones de dólares</w:t>
        </w:r>
      </w:hyperlink>
      <w:r w:rsidR="000B4B87">
        <w:t xml:space="preserve"> </w:t>
      </w:r>
      <w:r w:rsidRPr="00AC7CC6">
        <w:t>necesarios para la transición de las cadenas de suministro mundiales a cero emisiones netas para 2050, es imprescindible tener claro qué puede definirse como una actividad económica de transición frente a una sostenible, coinciden los expertos.</w:t>
      </w:r>
    </w:p>
    <w:p w14:paraId="35AE91FD" w14:textId="3527FDB8" w:rsidR="00AC7CC6" w:rsidRPr="00AC7CC6" w:rsidRDefault="00AC7CC6" w:rsidP="00AC7CC6">
      <w:pPr>
        <w:jc w:val="both"/>
      </w:pPr>
      <w:r w:rsidRPr="00AC7CC6">
        <w:t>Los esfuerzos se están acelerando en todas las jurisdicciones. El gobierno del Reino Unido tiene previsto llevar a cabo una</w:t>
      </w:r>
      <w:r w:rsidR="000B4B87">
        <w:t xml:space="preserve"> </w:t>
      </w:r>
      <w:hyperlink r:id="rId46" w:history="1">
        <w:r w:rsidRPr="00AC7CC6">
          <w:rPr>
            <w:rStyle w:val="Hipervnculo"/>
            <w:b/>
            <w:bCs/>
          </w:rPr>
          <w:t>revisión del mercado financiero</w:t>
        </w:r>
      </w:hyperlink>
      <w:r w:rsidR="000B4B87">
        <w:t xml:space="preserve"> </w:t>
      </w:r>
      <w:r w:rsidRPr="00AC7CC6">
        <w:t>de transición, ya que su Grupo de Trabajo del Plan de Transición sigue desarrollando sus directrices del plan de transición de "estándar de oro". El Tesoro de EE.UU. publicó recientemente sus Principios para la</w:t>
      </w:r>
      <w:r w:rsidR="000B4B87">
        <w:t xml:space="preserve"> </w:t>
      </w:r>
      <w:hyperlink r:id="rId47" w:history="1">
        <w:r w:rsidRPr="00AC7CC6">
          <w:rPr>
            <w:rStyle w:val="Hipervnculo"/>
            <w:b/>
            <w:bCs/>
          </w:rPr>
          <w:t>financiación y la inversión en cero emisiones netas</w:t>
        </w:r>
      </w:hyperlink>
      <w:r w:rsidRPr="00AC7CC6">
        <w:t>, basándose en el trabajo centrado en la transición de la</w:t>
      </w:r>
      <w:r w:rsidR="000A5724">
        <w:t xml:space="preserve"> </w:t>
      </w:r>
      <w:hyperlink r:id="rId48" w:history="1">
        <w:r w:rsidRPr="00AC7CC6">
          <w:rPr>
            <w:rStyle w:val="Hipervnculo"/>
            <w:b/>
            <w:bCs/>
          </w:rPr>
          <w:t>Alianza Financiera de Glasgow para las Cero Emisiones Netas (GFANZ, por sus siglas</w:t>
        </w:r>
      </w:hyperlink>
      <w:r w:rsidR="000A5724">
        <w:t xml:space="preserve"> </w:t>
      </w:r>
      <w:r w:rsidRPr="00AC7CC6">
        <w:t>en inglés), centrada en la transición.</w:t>
      </w:r>
    </w:p>
    <w:p w14:paraId="052379BF" w14:textId="7A3B9837" w:rsidR="00AC7CC6" w:rsidRPr="00AC7CC6" w:rsidRDefault="00AC7CC6" w:rsidP="00AC7CC6">
      <w:pPr>
        <w:jc w:val="both"/>
      </w:pPr>
      <w:r w:rsidRPr="00AC7CC6">
        <w:t>En su</w:t>
      </w:r>
      <w:r w:rsidR="000A5724">
        <w:t xml:space="preserve"> </w:t>
      </w:r>
      <w:hyperlink r:id="rId49" w:history="1">
        <w:r w:rsidRPr="00AC7CC6">
          <w:rPr>
            <w:rStyle w:val="Hipervnculo"/>
            <w:b/>
            <w:bCs/>
          </w:rPr>
          <w:t>informe de progreso de 2023</w:t>
        </w:r>
      </w:hyperlink>
      <w:r w:rsidRPr="00AC7CC6">
        <w:t>, publicado en la COP28, GFANZ pidió una aceleración del impulso a nivel mundial para "integrar la planificación de la transición en la economía real, así como en los sectores financieros".</w:t>
      </w:r>
    </w:p>
    <w:p w14:paraId="3D0237E7" w14:textId="6CDF41A3" w:rsidR="00AC7CC6" w:rsidRPr="00AC7CC6" w:rsidRDefault="00AC7CC6" w:rsidP="00AC7CC6">
      <w:pPr>
        <w:jc w:val="both"/>
      </w:pPr>
      <w:r w:rsidRPr="00AC7CC6">
        <w:t>En Dubái se puso de manifiesto el compromiso de los gobiernos a través de la primera</w:t>
      </w:r>
      <w:r w:rsidR="000A5724">
        <w:t xml:space="preserve"> </w:t>
      </w:r>
      <w:hyperlink r:id="rId50" w:history="1">
        <w:r w:rsidRPr="00AC7CC6">
          <w:rPr>
            <w:rStyle w:val="Hipervnculo"/>
            <w:b/>
            <w:bCs/>
          </w:rPr>
          <w:t>mesa redonda ministerial anual de alto nivel</w:t>
        </w:r>
      </w:hyperlink>
      <w:r w:rsidR="000A5724">
        <w:t xml:space="preserve"> </w:t>
      </w:r>
      <w:r w:rsidRPr="00AC7CC6">
        <w:t>para el</w:t>
      </w:r>
      <w:r w:rsidR="000A5724">
        <w:t xml:space="preserve"> </w:t>
      </w:r>
      <w:hyperlink r:id="rId51" w:history="1">
        <w:r w:rsidRPr="00AC7CC6">
          <w:rPr>
            <w:rStyle w:val="Hipervnculo"/>
            <w:b/>
            <w:bCs/>
          </w:rPr>
          <w:t>Programa de Trabajo sobre Transición Justa</w:t>
        </w:r>
      </w:hyperlink>
      <w:r w:rsidR="000A5724">
        <w:t xml:space="preserve"> </w:t>
      </w:r>
      <w:r w:rsidRPr="00AC7CC6">
        <w:t>de las Naciones Unidas, en la que los debates se centraron en esbozar las vías de transición justa para los países; Cada uno de ellos diferirá en función de la dependencia de los combustibles fósiles, así como de los niveles de pobreza y otros retos nacionales.</w:t>
      </w:r>
    </w:p>
    <w:p w14:paraId="19277682" w14:textId="4DD3B89D" w:rsidR="00AC7CC6" w:rsidRPr="00AC7CC6" w:rsidRDefault="00AC7CC6" w:rsidP="00AC7CC6">
      <w:pPr>
        <w:jc w:val="both"/>
      </w:pPr>
      <w:r w:rsidRPr="00AC7CC6">
        <w:lastRenderedPageBreak/>
        <w:t>En cuanto a la movilización de la financiación de la transición y la lucha contra el cambio climático en los ámbitos adecuados, se puso en marcha la</w:t>
      </w:r>
      <w:r w:rsidR="000A5724">
        <w:t xml:space="preserve"> </w:t>
      </w:r>
      <w:hyperlink r:id="rId52" w:history="1">
        <w:r w:rsidRPr="00AC7CC6">
          <w:rPr>
            <w:rStyle w:val="Hipervnculo"/>
            <w:b/>
            <w:bCs/>
          </w:rPr>
          <w:t>Coalición Mundial</w:t>
        </w:r>
      </w:hyperlink>
      <w:r w:rsidR="000A5724">
        <w:t xml:space="preserve"> </w:t>
      </w:r>
      <w:r w:rsidRPr="00AC7CC6">
        <w:t>para el Desarrollo de Capacidades con el fin de aumentar la disponibilidad y la eficacia de los programas de asistencia técnica en materia de financiación de la lucha contra el cambio climático para las instituciones financieras de las economías emergentes y de desarrollo.</w:t>
      </w:r>
    </w:p>
    <w:p w14:paraId="19FA07AF" w14:textId="135A764F" w:rsidR="00AC7CC6" w:rsidRPr="00AC7CC6" w:rsidRDefault="00AC7CC6" w:rsidP="00AC7CC6">
      <w:pPr>
        <w:jc w:val="both"/>
      </w:pPr>
      <w:r w:rsidRPr="00AC7CC6">
        <w:t>Además, los Principios de Inversión Responsable (PRI) convocados por la ONU respondieron a</w:t>
      </w:r>
      <w:r w:rsidR="000A5724">
        <w:t xml:space="preserve"> </w:t>
      </w:r>
      <w:hyperlink r:id="rId53" w:history="1">
        <w:r w:rsidRPr="00AC7CC6">
          <w:rPr>
            <w:rStyle w:val="Hipervnculo"/>
            <w:b/>
            <w:bCs/>
          </w:rPr>
          <w:t>las recomendaciones</w:t>
        </w:r>
      </w:hyperlink>
      <w:r w:rsidR="000A5724">
        <w:t xml:space="preserve"> </w:t>
      </w:r>
      <w:r w:rsidRPr="00AC7CC6">
        <w:t>formuladas en la COP27 por el Grupo de Expertos de Alto Nivel (GEAN) del Secretario General con la formación del Grupo de</w:t>
      </w:r>
      <w:r w:rsidR="000A5724">
        <w:t xml:space="preserve"> </w:t>
      </w:r>
      <w:hyperlink r:id="rId54" w:anchor=":~:text=The%20focus%20of%20the%20Taskforce,coherent%20policies%20and%20regulatory%20certainty." w:history="1">
        <w:r w:rsidRPr="00AC7CC6">
          <w:rPr>
            <w:rStyle w:val="Hipervnculo"/>
            <w:b/>
            <w:bCs/>
          </w:rPr>
          <w:t>Trabajo sobre la Política de Cero Emisiones Netas</w:t>
        </w:r>
      </w:hyperlink>
      <w:r w:rsidRPr="00AC7CC6">
        <w:t>.</w:t>
      </w:r>
    </w:p>
    <w:p w14:paraId="28058FBB" w14:textId="77777777" w:rsidR="00AC7CC6" w:rsidRPr="00AC7CC6" w:rsidRDefault="00AC7CC6" w:rsidP="00AC7CC6">
      <w:pPr>
        <w:jc w:val="both"/>
      </w:pPr>
      <w:r w:rsidRPr="00AC7CC6">
        <w:t>El grupo de trabajo tiene como objetivo apoyar la planificación de la transición por parte de las empresas y las instituciones financieras proporcionando un foro de debate sobre los obstáculos políticos para la adopción de cero emisiones netas, equilibrando las necesidades de los actores relevantes del sector privado con las demandas y los plazos de un entorno normativo orientado a un futuro con cero emisiones netas.</w:t>
      </w:r>
    </w:p>
    <w:p w14:paraId="7867B386" w14:textId="77777777" w:rsidR="00AC7CC6" w:rsidRPr="00AC7CC6" w:rsidRDefault="00AC7CC6" w:rsidP="00AC7CC6">
      <w:pPr>
        <w:jc w:val="both"/>
      </w:pPr>
      <w:r w:rsidRPr="00AC7CC6">
        <w:t>"Espero ver un mayor impulso para impulsar la regulación de planes de transición creíbles por parte del sector privado", dice Segal.</w:t>
      </w:r>
    </w:p>
    <w:p w14:paraId="3D5F1D88" w14:textId="77777777" w:rsidR="00AC7CC6" w:rsidRPr="00AC7CC6" w:rsidRDefault="00AC7CC6" w:rsidP="00AC7CC6">
      <w:pPr>
        <w:jc w:val="both"/>
      </w:pPr>
      <w:r w:rsidRPr="00AC7CC6">
        <w:t>Brouwer, de Ninety One, señala que una amplia comprensión global de lo que constituye la financiación de la transición sería útil en última instancia para los inversores globales, pero la armonización total sería un desafío. La industria y la combinación energética predominantes en los países difiere inevitablemente ampliamente, por ejemplo, al igual que su contribución actual y anterior al calentamiento global de una manera diferente.</w:t>
      </w:r>
    </w:p>
    <w:p w14:paraId="04FCBC02" w14:textId="77777777" w:rsidR="00AC7CC6" w:rsidRPr="00AC7CC6" w:rsidRDefault="00AC7CC6" w:rsidP="00AC7CC6">
      <w:pPr>
        <w:jc w:val="both"/>
      </w:pPr>
      <w:r w:rsidRPr="00AC7CC6">
        <w:t>"Por ejemplo, Estados Unidos ha contribuido con la mayor cantidad de emisiones históricamente, pero hoy está en su trayectoria descendente. ¿Significa eso que debería tener las mismas regulaciones, ambiciones y expectativas que un país africano que no ha contribuido en nada al problema, pero que es probable que contribuya mucho al problema en el futuro?", plantea.</w:t>
      </w:r>
    </w:p>
    <w:p w14:paraId="6EC544C8" w14:textId="77777777" w:rsidR="00AC7CC6" w:rsidRPr="00AC7CC6" w:rsidRDefault="00AC7CC6" w:rsidP="00AC7CC6">
      <w:pPr>
        <w:jc w:val="both"/>
      </w:pPr>
      <w:r w:rsidRPr="00AC7CC6">
        <w:t>Lo mismo ocurre a nivel de inversores y empresas, dice Brouwer.</w:t>
      </w:r>
    </w:p>
    <w:p w14:paraId="20ECA55E" w14:textId="77777777" w:rsidR="00AC7CC6" w:rsidRPr="00AC7CC6" w:rsidRDefault="00AC7CC6" w:rsidP="00AC7CC6">
      <w:pPr>
        <w:jc w:val="both"/>
      </w:pPr>
      <w:r w:rsidRPr="00AC7CC6">
        <w:t>Y añade: "La COP es un lugar para este tipo de debates, pero no es el único. Las instituciones financieras y los gobiernos deberían reunirse fuera de la COP. Espero que para el año que viene tengamos más consenso en torno a un marco de transición consolidado y justo, pero ese trabajo comienza ahora. No empieza en noviembre del año que viene".</w:t>
      </w:r>
    </w:p>
    <w:p w14:paraId="3190D29A" w14:textId="77777777" w:rsidR="00AC7CC6" w:rsidRPr="00AC7CC6" w:rsidRDefault="00AC7CC6" w:rsidP="00AC7CC6">
      <w:pPr>
        <w:jc w:val="both"/>
      </w:pPr>
      <w:r w:rsidRPr="00AC7CC6">
        <w:t>El texto final de la COP28 tal vez insinúe los inicios de dicho marco, sobre todo a través de su resultado más citado.</w:t>
      </w:r>
    </w:p>
    <w:p w14:paraId="1BEC346A" w14:textId="77777777" w:rsidR="00AC7CC6" w:rsidRPr="00AC7CC6" w:rsidRDefault="00AC7CC6" w:rsidP="00AC7CC6">
      <w:pPr>
        <w:jc w:val="both"/>
      </w:pPr>
      <w:r w:rsidRPr="00AC7CC6">
        <w:t>"Cualquier definición de transición que incluya la expansión de los combustibles fósiles o considere cualquier utilidad para los combustibles fósiles más allá de esta década es una luz verde para el lavado verde e iría en contra de lo que casi 200 países acaban de acordar", dice Segal.</w:t>
      </w:r>
    </w:p>
    <w:p w14:paraId="4FA39183" w14:textId="77777777" w:rsidR="00AC7CC6" w:rsidRPr="00AC7CC6" w:rsidRDefault="00AC7CC6" w:rsidP="00AC7CC6">
      <w:pPr>
        <w:jc w:val="both"/>
        <w:rPr>
          <w:b/>
          <w:bCs/>
        </w:rPr>
      </w:pPr>
      <w:r w:rsidRPr="00AC7CC6">
        <w:rPr>
          <w:b/>
          <w:bCs/>
        </w:rPr>
        <w:t>Un objetivo más enfocado</w:t>
      </w:r>
    </w:p>
    <w:p w14:paraId="5112219C" w14:textId="77777777" w:rsidR="00AC7CC6" w:rsidRPr="00AC7CC6" w:rsidRDefault="00AC7CC6" w:rsidP="00AC7CC6">
      <w:pPr>
        <w:jc w:val="both"/>
      </w:pPr>
      <w:r w:rsidRPr="00AC7CC6">
        <w:t>¿Por qué recordarán los inversores la COP28? Fischer, de UNEP FI, sugiere que podría proporcionar un punto de inflexión, después del cual las implicaciones de la transición a cero emisiones netas se volvieron mucho más claras para los inversores.</w:t>
      </w:r>
    </w:p>
    <w:p w14:paraId="3FA04167" w14:textId="77777777" w:rsidR="00AC7CC6" w:rsidRPr="00AC7CC6" w:rsidRDefault="00AC7CC6" w:rsidP="00AC7CC6">
      <w:pPr>
        <w:jc w:val="both"/>
      </w:pPr>
      <w:r w:rsidRPr="00AC7CC6">
        <w:lastRenderedPageBreak/>
        <w:t>"Estas referencias explícitas a las energías renovables, la eficiencia energética, la deforestación, etc., ayudarán a los propietarios de activos a ver sus exposiciones a diversos sectores a través de esos lentes. Donde antes se centraban más en las emisiones, ahora adoptarán un enfoque más multidimensional", añade.</w:t>
      </w:r>
    </w:p>
    <w:p w14:paraId="01F9DD32" w14:textId="77777777" w:rsidR="00AC7CC6" w:rsidRPr="00AC7CC6" w:rsidRDefault="00AC7CC6" w:rsidP="00AC7CC6">
      <w:pPr>
        <w:jc w:val="both"/>
      </w:pPr>
      <w:r w:rsidRPr="00AC7CC6">
        <w:t>Sin embargo, la cruda realidad de las brechas actuales entre la acción y la ambición deja un margen continuo para la incertidumbre sobre el ritmo, la escala y la eficacia de las políticas en el futuro, lo que puede retrasar las decisiones de inversión.</w:t>
      </w:r>
    </w:p>
    <w:p w14:paraId="69A7734B" w14:textId="2FF202DC" w:rsidR="00AC7CC6" w:rsidRPr="00AC7CC6" w:rsidRDefault="00AC7CC6" w:rsidP="00AC7CC6">
      <w:pPr>
        <w:jc w:val="both"/>
      </w:pPr>
      <w:r w:rsidRPr="00AC7CC6">
        <w:t>Un resultado clave de la COP28 podría ser un aumento continuo en el enfoque de los inversores en la promoción y el compromiso para comprender mejor e influir en las políticas. Esto ya se ha visto en las</w:t>
      </w:r>
      <w:r w:rsidR="0010549C">
        <w:t xml:space="preserve"> </w:t>
      </w:r>
      <w:hyperlink r:id="rId55" w:history="1">
        <w:r w:rsidRPr="00AC7CC6">
          <w:rPr>
            <w:rStyle w:val="Hipervnculo"/>
            <w:b/>
            <w:bCs/>
          </w:rPr>
          <w:t>iniciativas de participación</w:t>
        </w:r>
      </w:hyperlink>
      <w:r w:rsidR="0010549C">
        <w:t xml:space="preserve"> </w:t>
      </w:r>
      <w:r w:rsidRPr="00AC7CC6">
        <w:t>anunciadas en los últimos 12 meses por las redes de inversores, incluido el Grupo de Trabajo sobre la Política de Cero Emisiones Netas. También se refleja en las prioridades de compromiso de los inversores con las empresas, asegurando que sus</w:t>
      </w:r>
      <w:r w:rsidR="0010549C">
        <w:t xml:space="preserve"> </w:t>
      </w:r>
      <w:hyperlink r:id="rId56" w:history="1">
        <w:r w:rsidRPr="00AC7CC6">
          <w:rPr>
            <w:rStyle w:val="Hipervnculo"/>
            <w:b/>
            <w:bCs/>
          </w:rPr>
          <w:t>actividades de cabildeo</w:t>
        </w:r>
      </w:hyperlink>
      <w:r w:rsidR="0010549C">
        <w:t xml:space="preserve"> </w:t>
      </w:r>
      <w:r w:rsidRPr="00AC7CC6">
        <w:t>se alineen con sus compromisos declarados sobre el cero neto.</w:t>
      </w:r>
    </w:p>
    <w:p w14:paraId="57FF03ED" w14:textId="77777777" w:rsidR="00AC7CC6" w:rsidRPr="00AC7CC6" w:rsidRDefault="00AC7CC6" w:rsidP="00AC7CC6">
      <w:pPr>
        <w:jc w:val="both"/>
      </w:pPr>
      <w:r w:rsidRPr="00AC7CC6">
        <w:t>"Si bien el acuerdo de la COP28 es un significante útil e importante, debemos tener claro que los países deben tomar medidas por sí mismos para facilitar el cambio. El cambio de política es absolutamente integral para este proceso", dice Riera, del PRI.</w:t>
      </w:r>
    </w:p>
    <w:p w14:paraId="7BD09429" w14:textId="08E624C8" w:rsidR="00AC7CC6" w:rsidRPr="00AC7CC6" w:rsidRDefault="00AC7CC6" w:rsidP="00AC7CC6">
      <w:pPr>
        <w:jc w:val="both"/>
      </w:pPr>
      <w:r w:rsidRPr="00AC7CC6">
        <w:t>ARTÍCULOS RELACIONADOS:</w:t>
      </w:r>
      <w:r w:rsidR="0010549C">
        <w:t xml:space="preserve"> </w:t>
      </w:r>
      <w:hyperlink r:id="rId57" w:history="1">
        <w:r w:rsidRPr="00AC7CC6">
          <w:rPr>
            <w:rStyle w:val="Hipervnculo"/>
          </w:rPr>
          <w:t>CARBONO,</w:t>
        </w:r>
      </w:hyperlink>
      <w:r w:rsidR="0010549C">
        <w:t xml:space="preserve"> </w:t>
      </w:r>
      <w:hyperlink r:id="rId58" w:history="1">
        <w:r w:rsidRPr="00AC7CC6">
          <w:rPr>
            <w:rStyle w:val="Hipervnculo"/>
          </w:rPr>
          <w:t>CLIMA</w:t>
        </w:r>
      </w:hyperlink>
      <w:r w:rsidRPr="00AC7CC6">
        <w:t>,</w:t>
      </w:r>
      <w:r w:rsidR="0010549C">
        <w:t xml:space="preserve"> </w:t>
      </w:r>
      <w:hyperlink r:id="rId59" w:history="1">
        <w:r w:rsidRPr="00AC7CC6">
          <w:rPr>
            <w:rStyle w:val="Hipervnculo"/>
          </w:rPr>
          <w:t>COP28</w:t>
        </w:r>
      </w:hyperlink>
      <w:r w:rsidRPr="00AC7CC6">
        <w:t>,</w:t>
      </w:r>
      <w:r w:rsidR="0010549C">
        <w:t xml:space="preserve"> </w:t>
      </w:r>
      <w:hyperlink r:id="rId60" w:history="1">
        <w:r w:rsidRPr="00AC7CC6">
          <w:rPr>
            <w:rStyle w:val="Hipervnculo"/>
          </w:rPr>
          <w:t>DESTACADOS</w:t>
        </w:r>
      </w:hyperlink>
      <w:r w:rsidRPr="00AC7CC6">
        <w:t>,</w:t>
      </w:r>
      <w:r w:rsidR="0010549C">
        <w:t xml:space="preserve"> </w:t>
      </w:r>
      <w:hyperlink r:id="rId61" w:history="1">
        <w:r w:rsidRPr="00AC7CC6">
          <w:rPr>
            <w:rStyle w:val="Hipervnculo"/>
          </w:rPr>
          <w:t>NATURALEZA</w:t>
        </w:r>
      </w:hyperlink>
      <w:r w:rsidRPr="00AC7CC6">
        <w:t>,</w:t>
      </w:r>
      <w:r w:rsidR="0010549C">
        <w:t xml:space="preserve"> </w:t>
      </w:r>
      <w:hyperlink r:id="rId62" w:history="1">
        <w:r w:rsidRPr="00AC7CC6">
          <w:rPr>
            <w:rStyle w:val="Hipervnculo"/>
          </w:rPr>
          <w:t>POLÍTICA,</w:t>
        </w:r>
      </w:hyperlink>
      <w:r w:rsidR="0010549C">
        <w:t xml:space="preserve"> </w:t>
      </w:r>
      <w:hyperlink r:id="rId63" w:history="1">
        <w:r w:rsidRPr="00AC7CC6">
          <w:rPr>
            <w:rStyle w:val="Hipervnculo"/>
          </w:rPr>
          <w:t>REGULACIÓN</w:t>
        </w:r>
      </w:hyperlink>
    </w:p>
    <w:p w14:paraId="0BD0F277" w14:textId="77777777" w:rsidR="00AC7CC6" w:rsidRPr="00AC7CC6" w:rsidRDefault="00AC7CC6" w:rsidP="00AC7CC6">
      <w:pPr>
        <w:jc w:val="both"/>
      </w:pPr>
      <w:r w:rsidRPr="00AC7CC6">
        <w:t>RECOMENDADO PARA TI</w:t>
      </w:r>
    </w:p>
    <w:p w14:paraId="69F28596" w14:textId="182DFB0B" w:rsidR="00AC7CC6" w:rsidRPr="00AC7CC6" w:rsidRDefault="000A5724" w:rsidP="0010549C">
      <w:pPr>
        <w:numPr>
          <w:ilvl w:val="0"/>
          <w:numId w:val="2"/>
        </w:numPr>
        <w:spacing w:after="0"/>
        <w:jc w:val="both"/>
      </w:pPr>
      <w:hyperlink r:id="rId64" w:history="1">
        <w:r w:rsidR="00AC7CC6" w:rsidRPr="00AC7CC6">
          <w:rPr>
            <w:rStyle w:val="Hipervnculo"/>
          </w:rPr>
          <w:t>No hay un camino "creíble" hacia el cero neto sin detener la deforestación</w:t>
        </w:r>
      </w:hyperlink>
      <w:r w:rsidR="00AC7CC6">
        <w:t xml:space="preserve"> </w:t>
      </w:r>
    </w:p>
    <w:p w14:paraId="17FBBAD7" w14:textId="39608BBE" w:rsidR="00AC7CC6" w:rsidRPr="00AC7CC6" w:rsidRDefault="000A5724" w:rsidP="0010549C">
      <w:pPr>
        <w:numPr>
          <w:ilvl w:val="0"/>
          <w:numId w:val="2"/>
        </w:numPr>
        <w:spacing w:after="0"/>
        <w:jc w:val="both"/>
      </w:pPr>
      <w:hyperlink r:id="rId65" w:history="1">
        <w:r w:rsidR="00AC7CC6" w:rsidRPr="00AC7CC6">
          <w:rPr>
            <w:rStyle w:val="Hipervnculo"/>
          </w:rPr>
          <w:t>Los propietarios de activos deben votar con los pies en el clima</w:t>
        </w:r>
      </w:hyperlink>
    </w:p>
    <w:p w14:paraId="2F3B7A70" w14:textId="6A73BF05" w:rsidR="00AC7CC6" w:rsidRPr="00AC7CC6" w:rsidRDefault="000A5724" w:rsidP="00AC7CC6">
      <w:pPr>
        <w:numPr>
          <w:ilvl w:val="0"/>
          <w:numId w:val="2"/>
        </w:numPr>
        <w:jc w:val="both"/>
      </w:pPr>
      <w:hyperlink r:id="rId66" w:history="1">
        <w:r w:rsidR="00AC7CC6" w:rsidRPr="00AC7CC6">
          <w:rPr>
            <w:rStyle w:val="Hipervnculo"/>
          </w:rPr>
          <w:t>Un grupo de trabajo reconocerá "la naturaleza como un activo"</w:t>
        </w:r>
      </w:hyperlink>
    </w:p>
    <w:p w14:paraId="6C3F1D81" w14:textId="77777777" w:rsidR="00BF4089" w:rsidRDefault="00BF4089" w:rsidP="00AC7CC6">
      <w:pPr>
        <w:jc w:val="both"/>
      </w:pPr>
    </w:p>
    <w:sectPr w:rsidR="00BF40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877E2"/>
    <w:multiLevelType w:val="multilevel"/>
    <w:tmpl w:val="BA96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7A155F"/>
    <w:multiLevelType w:val="multilevel"/>
    <w:tmpl w:val="1FAE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CC6"/>
    <w:rsid w:val="000A5724"/>
    <w:rsid w:val="000B4B87"/>
    <w:rsid w:val="0010549C"/>
    <w:rsid w:val="00AC7CC6"/>
    <w:rsid w:val="00BF40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D2F5F"/>
  <w15:chartTrackingRefBased/>
  <w15:docId w15:val="{D71B82B1-27C4-4C01-B58D-26C942AE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C7CC6"/>
    <w:rPr>
      <w:color w:val="0563C1" w:themeColor="hyperlink"/>
      <w:u w:val="single"/>
    </w:rPr>
  </w:style>
  <w:style w:type="character" w:styleId="Mencinsinresolver">
    <w:name w:val="Unresolved Mention"/>
    <w:basedOn w:val="Fuentedeprrafopredeter"/>
    <w:uiPriority w:val="99"/>
    <w:semiHidden/>
    <w:unhideWhenUsed/>
    <w:rsid w:val="00AC7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0343">
      <w:bodyDiv w:val="1"/>
      <w:marLeft w:val="0"/>
      <w:marRight w:val="0"/>
      <w:marTop w:val="0"/>
      <w:marBottom w:val="0"/>
      <w:divBdr>
        <w:top w:val="none" w:sz="0" w:space="0" w:color="auto"/>
        <w:left w:val="none" w:sz="0" w:space="0" w:color="auto"/>
        <w:bottom w:val="none" w:sz="0" w:space="0" w:color="auto"/>
        <w:right w:val="none" w:sz="0" w:space="0" w:color="auto"/>
      </w:divBdr>
      <w:divsChild>
        <w:div w:id="623535583">
          <w:marLeft w:val="0"/>
          <w:marRight w:val="0"/>
          <w:marTop w:val="150"/>
          <w:marBottom w:val="0"/>
          <w:divBdr>
            <w:top w:val="none" w:sz="0" w:space="0" w:color="auto"/>
            <w:left w:val="none" w:sz="0" w:space="0" w:color="auto"/>
            <w:bottom w:val="none" w:sz="0" w:space="0" w:color="auto"/>
            <w:right w:val="none" w:sz="0" w:space="0" w:color="auto"/>
          </w:divBdr>
          <w:divsChild>
            <w:div w:id="52853359">
              <w:marLeft w:val="-1050"/>
              <w:marRight w:val="0"/>
              <w:marTop w:val="0"/>
              <w:marBottom w:val="0"/>
              <w:divBdr>
                <w:top w:val="none" w:sz="0" w:space="0" w:color="auto"/>
                <w:left w:val="none" w:sz="0" w:space="0" w:color="auto"/>
                <w:bottom w:val="none" w:sz="0" w:space="0" w:color="auto"/>
                <w:right w:val="none" w:sz="0" w:space="0" w:color="auto"/>
              </w:divBdr>
              <w:divsChild>
                <w:div w:id="1943026756">
                  <w:marLeft w:val="0"/>
                  <w:marRight w:val="300"/>
                  <w:marTop w:val="0"/>
                  <w:marBottom w:val="0"/>
                  <w:divBdr>
                    <w:top w:val="none" w:sz="0" w:space="0" w:color="auto"/>
                    <w:left w:val="none" w:sz="0" w:space="0" w:color="auto"/>
                    <w:bottom w:val="none" w:sz="0" w:space="0" w:color="auto"/>
                    <w:right w:val="none" w:sz="0" w:space="0" w:color="auto"/>
                  </w:divBdr>
                </w:div>
                <w:div w:id="958223196">
                  <w:marLeft w:val="1050"/>
                  <w:marRight w:val="0"/>
                  <w:marTop w:val="0"/>
                  <w:marBottom w:val="0"/>
                  <w:divBdr>
                    <w:top w:val="none" w:sz="0" w:space="0" w:color="auto"/>
                    <w:left w:val="none" w:sz="0" w:space="0" w:color="auto"/>
                    <w:bottom w:val="none" w:sz="0" w:space="0" w:color="auto"/>
                    <w:right w:val="none" w:sz="0" w:space="0" w:color="auto"/>
                  </w:divBdr>
                  <w:divsChild>
                    <w:div w:id="802624672">
                      <w:marLeft w:val="0"/>
                      <w:marRight w:val="0"/>
                      <w:marTop w:val="75"/>
                      <w:marBottom w:val="0"/>
                      <w:divBdr>
                        <w:top w:val="none" w:sz="0" w:space="0" w:color="auto"/>
                        <w:left w:val="none" w:sz="0" w:space="0" w:color="auto"/>
                        <w:bottom w:val="none" w:sz="0" w:space="0" w:color="auto"/>
                        <w:right w:val="none" w:sz="0" w:space="0" w:color="auto"/>
                      </w:divBdr>
                      <w:divsChild>
                        <w:div w:id="403718809">
                          <w:marLeft w:val="0"/>
                          <w:marRight w:val="0"/>
                          <w:marTop w:val="0"/>
                          <w:marBottom w:val="75"/>
                          <w:divBdr>
                            <w:top w:val="none" w:sz="0" w:space="0" w:color="auto"/>
                            <w:left w:val="none" w:sz="0" w:space="0" w:color="auto"/>
                            <w:bottom w:val="single" w:sz="6" w:space="4" w:color="DDDDDD"/>
                            <w:right w:val="none" w:sz="0" w:space="0" w:color="auto"/>
                          </w:divBdr>
                          <w:divsChild>
                            <w:div w:id="470245723">
                              <w:marLeft w:val="0"/>
                              <w:marRight w:val="0"/>
                              <w:marTop w:val="0"/>
                              <w:marBottom w:val="0"/>
                              <w:divBdr>
                                <w:top w:val="none" w:sz="0" w:space="0" w:color="auto"/>
                                <w:left w:val="none" w:sz="0" w:space="0" w:color="auto"/>
                                <w:bottom w:val="none" w:sz="0" w:space="0" w:color="auto"/>
                                <w:right w:val="none" w:sz="0" w:space="0" w:color="auto"/>
                              </w:divBdr>
                            </w:div>
                          </w:divsChild>
                        </w:div>
                        <w:div w:id="209357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763324">
          <w:marLeft w:val="0"/>
          <w:marRight w:val="0"/>
          <w:marTop w:val="0"/>
          <w:marBottom w:val="0"/>
          <w:divBdr>
            <w:top w:val="none" w:sz="0" w:space="0" w:color="auto"/>
            <w:left w:val="none" w:sz="0" w:space="0" w:color="auto"/>
            <w:bottom w:val="none" w:sz="0" w:space="0" w:color="auto"/>
            <w:right w:val="none" w:sz="0" w:space="0" w:color="auto"/>
          </w:divBdr>
          <w:divsChild>
            <w:div w:id="895507946">
              <w:marLeft w:val="0"/>
              <w:marRight w:val="0"/>
              <w:marTop w:val="0"/>
              <w:marBottom w:val="0"/>
              <w:divBdr>
                <w:top w:val="none" w:sz="0" w:space="0" w:color="auto"/>
                <w:left w:val="none" w:sz="0" w:space="0" w:color="auto"/>
                <w:bottom w:val="none" w:sz="0" w:space="0" w:color="auto"/>
                <w:right w:val="none" w:sz="0" w:space="0" w:color="auto"/>
              </w:divBdr>
              <w:divsChild>
                <w:div w:id="809638852">
                  <w:marLeft w:val="0"/>
                  <w:marRight w:val="0"/>
                  <w:marTop w:val="0"/>
                  <w:marBottom w:val="0"/>
                  <w:divBdr>
                    <w:top w:val="none" w:sz="0" w:space="0" w:color="auto"/>
                    <w:left w:val="none" w:sz="0" w:space="0" w:color="auto"/>
                    <w:bottom w:val="none" w:sz="0" w:space="0" w:color="auto"/>
                    <w:right w:val="none" w:sz="0" w:space="0" w:color="auto"/>
                  </w:divBdr>
                  <w:divsChild>
                    <w:div w:id="893126905">
                      <w:marLeft w:val="0"/>
                      <w:marRight w:val="0"/>
                      <w:marTop w:val="0"/>
                      <w:marBottom w:val="0"/>
                      <w:divBdr>
                        <w:top w:val="none" w:sz="0" w:space="0" w:color="auto"/>
                        <w:left w:val="none" w:sz="0" w:space="0" w:color="auto"/>
                        <w:bottom w:val="none" w:sz="0" w:space="0" w:color="auto"/>
                        <w:right w:val="none" w:sz="0" w:space="0" w:color="auto"/>
                      </w:divBdr>
                      <w:divsChild>
                        <w:div w:id="1936815459">
                          <w:marLeft w:val="0"/>
                          <w:marRight w:val="0"/>
                          <w:marTop w:val="375"/>
                          <w:marBottom w:val="375"/>
                          <w:divBdr>
                            <w:top w:val="none" w:sz="0" w:space="0" w:color="auto"/>
                            <w:left w:val="none" w:sz="0" w:space="0" w:color="auto"/>
                            <w:bottom w:val="none" w:sz="0" w:space="0" w:color="auto"/>
                            <w:right w:val="none" w:sz="0" w:space="0" w:color="auto"/>
                          </w:divBdr>
                          <w:divsChild>
                            <w:div w:id="486827588">
                              <w:marLeft w:val="0"/>
                              <w:marRight w:val="0"/>
                              <w:marTop w:val="0"/>
                              <w:marBottom w:val="0"/>
                              <w:divBdr>
                                <w:top w:val="none" w:sz="0" w:space="0" w:color="auto"/>
                                <w:left w:val="none" w:sz="0" w:space="0" w:color="auto"/>
                                <w:bottom w:val="none" w:sz="0" w:space="0" w:color="auto"/>
                                <w:right w:val="none" w:sz="0" w:space="0" w:color="auto"/>
                              </w:divBdr>
                            </w:div>
                          </w:divsChild>
                        </w:div>
                        <w:div w:id="222374231">
                          <w:marLeft w:val="0"/>
                          <w:marRight w:val="0"/>
                          <w:marTop w:val="0"/>
                          <w:marBottom w:val="450"/>
                          <w:divBdr>
                            <w:top w:val="none" w:sz="0" w:space="0" w:color="auto"/>
                            <w:left w:val="none" w:sz="0" w:space="0" w:color="auto"/>
                            <w:bottom w:val="none" w:sz="0" w:space="0" w:color="auto"/>
                            <w:right w:val="none" w:sz="0" w:space="0" w:color="auto"/>
                          </w:divBdr>
                        </w:div>
                        <w:div w:id="1494568843">
                          <w:marLeft w:val="0"/>
                          <w:marRight w:val="0"/>
                          <w:marTop w:val="0"/>
                          <w:marBottom w:val="450"/>
                          <w:divBdr>
                            <w:top w:val="none" w:sz="0" w:space="0" w:color="auto"/>
                            <w:left w:val="none" w:sz="0" w:space="0" w:color="auto"/>
                            <w:bottom w:val="none" w:sz="0" w:space="0" w:color="auto"/>
                            <w:right w:val="none" w:sz="0" w:space="0" w:color="auto"/>
                          </w:divBdr>
                          <w:divsChild>
                            <w:div w:id="437407305">
                              <w:marLeft w:val="0"/>
                              <w:marRight w:val="0"/>
                              <w:marTop w:val="0"/>
                              <w:marBottom w:val="0"/>
                              <w:divBdr>
                                <w:top w:val="none" w:sz="0" w:space="0" w:color="auto"/>
                                <w:left w:val="none" w:sz="0" w:space="0" w:color="auto"/>
                                <w:bottom w:val="none" w:sz="0" w:space="0" w:color="auto"/>
                                <w:right w:val="none" w:sz="0" w:space="0" w:color="auto"/>
                              </w:divBdr>
                            </w:div>
                            <w:div w:id="1700810851">
                              <w:marLeft w:val="0"/>
                              <w:marRight w:val="0"/>
                              <w:marTop w:val="0"/>
                              <w:marBottom w:val="0"/>
                              <w:divBdr>
                                <w:top w:val="none" w:sz="0" w:space="0" w:color="auto"/>
                                <w:left w:val="none" w:sz="0" w:space="0" w:color="auto"/>
                                <w:bottom w:val="none" w:sz="0" w:space="0" w:color="auto"/>
                                <w:right w:val="none" w:sz="0" w:space="0" w:color="auto"/>
                              </w:divBdr>
                            </w:div>
                            <w:div w:id="19958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reenclimate.fund/news/cop28-green-climate-fund-reaches-record-funding-level" TargetMode="External"/><Relationship Id="rId21" Type="http://schemas.openxmlformats.org/officeDocument/2006/relationships/hyperlink" Target="https://www.unep.org/resources/state-finance-nature-2023" TargetMode="External"/><Relationship Id="rId34" Type="http://schemas.openxmlformats.org/officeDocument/2006/relationships/hyperlink" Target="https://www.cop28.com/en/news/2023/12/commits-US$30-billion-in-catalytic--capital-to-launch-landmark" TargetMode="External"/><Relationship Id="rId42" Type="http://schemas.openxmlformats.org/officeDocument/2006/relationships/hyperlink" Target="https://www.outriggerimpact.com/" TargetMode="External"/><Relationship Id="rId47" Type="http://schemas.openxmlformats.org/officeDocument/2006/relationships/hyperlink" Target="https://home.treasury.gov/news/press-releases/jy1744" TargetMode="External"/><Relationship Id="rId50" Type="http://schemas.openxmlformats.org/officeDocument/2006/relationships/hyperlink" Target="https://unfccc.int/sites/default/files/resource/jtwp_workshop_summary_report.pdf" TargetMode="External"/><Relationship Id="rId55" Type="http://schemas.openxmlformats.org/officeDocument/2006/relationships/hyperlink" Target="https://www.esginvestor.net/pri-springs-to-natures-defence-with-policy-led-engagement/" TargetMode="External"/><Relationship Id="rId63" Type="http://schemas.openxmlformats.org/officeDocument/2006/relationships/hyperlink" Target="https://www.esginvestor.net/tag/regulation/" TargetMode="External"/><Relationship Id="rId68" Type="http://schemas.openxmlformats.org/officeDocument/2006/relationships/theme" Target="theme/theme1.xml"/><Relationship Id="rId7" Type="http://schemas.openxmlformats.org/officeDocument/2006/relationships/hyperlink" Target="https://www.cop28.com/en/news/2023/11/COP28-Presidency-unites-the-world-on-Loss-and-Damage" TargetMode="External"/><Relationship Id="rId2" Type="http://schemas.openxmlformats.org/officeDocument/2006/relationships/styles" Target="styles.xml"/><Relationship Id="rId16" Type="http://schemas.openxmlformats.org/officeDocument/2006/relationships/hyperlink" Target="https://www.mea.gov.in/Images/CPV/G20-New-Delhi-Leaders-Declaration.pdf" TargetMode="External"/><Relationship Id="rId29" Type="http://schemas.openxmlformats.org/officeDocument/2006/relationships/hyperlink" Target="https://www.eib.org/attachments/press/cop27-mdb-joint-statement-en.pdf" TargetMode="External"/><Relationship Id="rId11" Type="http://schemas.openxmlformats.org/officeDocument/2006/relationships/hyperlink" Target="https://www.esginvestor.net/live/global-energy-transition-off-track-irena/" TargetMode="External"/><Relationship Id="rId24" Type="http://schemas.openxmlformats.org/officeDocument/2006/relationships/hyperlink" Target="https://www.cop28.com/en/joint-statement-on-climate-nature" TargetMode="External"/><Relationship Id="rId32" Type="http://schemas.openxmlformats.org/officeDocument/2006/relationships/hyperlink" Target="https://www.ndb.int/news/cop28-multilateral-development-banks-mdb-joint-statement/" TargetMode="External"/><Relationship Id="rId37" Type="http://schemas.openxmlformats.org/officeDocument/2006/relationships/hyperlink" Target="https://www.fao.org/newsroom/detail/cop28-fao-launches-global-roadmap-process-to-eradicate-hunger/en" TargetMode="External"/><Relationship Id="rId40" Type="http://schemas.openxmlformats.org/officeDocument/2006/relationships/hyperlink" Target="https://oceanriskalliance.org/news/u-s-announces-plans-to-stimulate-investment-and-safeguards-for-coastal-resilience-through-orraa-partnership/" TargetMode="External"/><Relationship Id="rId45" Type="http://schemas.openxmlformats.org/officeDocument/2006/relationships/hyperlink" Target="https://www.ey.com/en_iq/sustainability-financial-services/how-to-accelerate-transition-finance-for-net-zero" TargetMode="External"/><Relationship Id="rId53" Type="http://schemas.openxmlformats.org/officeDocument/2006/relationships/hyperlink" Target="https://www.un.org/sites/un2.un.org/files/high-level_expert_group_n7b.pdf" TargetMode="External"/><Relationship Id="rId58" Type="http://schemas.openxmlformats.org/officeDocument/2006/relationships/hyperlink" Target="https://www.esginvestor.net/tag/climate/" TargetMode="External"/><Relationship Id="rId66" Type="http://schemas.openxmlformats.org/officeDocument/2006/relationships/hyperlink" Target="https://www.esginvestor.net/taskforce-to-recognise-nature-as-an-asset/" TargetMode="External"/><Relationship Id="rId5" Type="http://schemas.openxmlformats.org/officeDocument/2006/relationships/hyperlink" Target="https://www.esginvestor.net/author/esg-investor/" TargetMode="External"/><Relationship Id="rId61" Type="http://schemas.openxmlformats.org/officeDocument/2006/relationships/hyperlink" Target="https://www.esginvestor.net/tag/nature/" TargetMode="External"/><Relationship Id="rId19" Type="http://schemas.openxmlformats.org/officeDocument/2006/relationships/hyperlink" Target="https://www.iea.org/news/strong-policy-progress-on-energy-efficiency-seen-in-2023-but-meeting-climate-goals-means-moving-faster?utm_content=buffer72eba&amp;utm_medium=social&amp;utm_source=twitter-ieabirol&amp;utm_campaign=buffer" TargetMode="External"/><Relationship Id="rId14" Type="http://schemas.openxmlformats.org/officeDocument/2006/relationships/hyperlink" Target="https://www.bloomberg.org/press/cop28-presidency-united-nations-climate-change-and-bloomberg-philanthropies-launch-new-industrial-transition-accelerator-for-heavy-emitting-industries/" TargetMode="External"/><Relationship Id="rId22" Type="http://schemas.openxmlformats.org/officeDocument/2006/relationships/hyperlink" Target="https://www.theguardian.com/world/2023/aug/09/alberta-canada-solar-wind-project-six-month-moratorium" TargetMode="External"/><Relationship Id="rId27" Type="http://schemas.openxmlformats.org/officeDocument/2006/relationships/hyperlink" Target="https://www.esginvestor.net/reform-in-a-storm/" TargetMode="External"/><Relationship Id="rId30" Type="http://schemas.openxmlformats.org/officeDocument/2006/relationships/hyperlink" Target="https://www.esginvestor.net/taking-the-heat-out-of-cop27/" TargetMode="External"/><Relationship Id="rId35" Type="http://schemas.openxmlformats.org/officeDocument/2006/relationships/hyperlink" Target="https://www.cop28.com/en/food-and-agriculture" TargetMode="External"/><Relationship Id="rId43" Type="http://schemas.openxmlformats.org/officeDocument/2006/relationships/hyperlink" Target="https://www.esginvestor.net/live/global-energy-transition-off-track-irena/" TargetMode="External"/><Relationship Id="rId48" Type="http://schemas.openxmlformats.org/officeDocument/2006/relationships/hyperlink" Target="https://assets.bbhub.io/company/sites/63/2023/11/GFANZ-2023-Progress-Report.pdf" TargetMode="External"/><Relationship Id="rId56" Type="http://schemas.openxmlformats.org/officeDocument/2006/relationships/hyperlink" Target="https://www.esginvestor.net/behind-closed-doors/" TargetMode="External"/><Relationship Id="rId64" Type="http://schemas.openxmlformats.org/officeDocument/2006/relationships/hyperlink" Target="https://www.esginvestor.net/no-credible-net-zero-path-without-halting-deforestation/" TargetMode="External"/><Relationship Id="rId8" Type="http://schemas.openxmlformats.org/officeDocument/2006/relationships/hyperlink" Target="https://www.esginvestor.net/starting-to-adapt/" TargetMode="External"/><Relationship Id="rId51" Type="http://schemas.openxmlformats.org/officeDocument/2006/relationships/hyperlink" Target="https://unfccc.int/news/work-programme-on-just-transition-pathways-workshop-discusses-way-forward-at-cop28" TargetMode="External"/><Relationship Id="rId3" Type="http://schemas.openxmlformats.org/officeDocument/2006/relationships/settings" Target="settings.xml"/><Relationship Id="rId12" Type="http://schemas.openxmlformats.org/officeDocument/2006/relationships/hyperlink" Target="https://www.esginvestor.net/live/unfccc-systems-transformations-needed-to-meet-paris-goals/" TargetMode="External"/><Relationship Id="rId17" Type="http://schemas.openxmlformats.org/officeDocument/2006/relationships/hyperlink" Target="https://www.esginvestor.net/live/renewable-power-must-triple-by-2030-to-achieve-climate-goals/" TargetMode="External"/><Relationship Id="rId25" Type="http://schemas.openxmlformats.org/officeDocument/2006/relationships/hyperlink" Target="https://www.theguardian.com/environment/2023/dec/06/700m-pledged-to-loss-and-damage-fund-cop28-covers-less-than-02-percent-needed" TargetMode="External"/><Relationship Id="rId33" Type="http://schemas.openxmlformats.org/officeDocument/2006/relationships/hyperlink" Target="https://www.prnewswire.com/news-releases/the-united-states-and-nordic-countries-launch-joint-funding-initiative-to-increase-climate-investments-in-emerging-and-developing-markets-world-climate-foundation-302004369.html" TargetMode="External"/><Relationship Id="rId38" Type="http://schemas.openxmlformats.org/officeDocument/2006/relationships/hyperlink" Target="https://news.un.org/en/story/2023/12/1144282" TargetMode="External"/><Relationship Id="rId46" Type="http://schemas.openxmlformats.org/officeDocument/2006/relationships/hyperlink" Target="https://www.gov.uk/government/publications/transition-finance-market-review/transition-finance-market-review-terms-of-reference" TargetMode="External"/><Relationship Id="rId59" Type="http://schemas.openxmlformats.org/officeDocument/2006/relationships/hyperlink" Target="https://www.esginvestor.net/tag/cop28/" TargetMode="External"/><Relationship Id="rId67" Type="http://schemas.openxmlformats.org/officeDocument/2006/relationships/fontTable" Target="fontTable.xml"/><Relationship Id="rId20" Type="http://schemas.openxmlformats.org/officeDocument/2006/relationships/hyperlink" Target="https://iea.blob.core.windows.net/assets/ea2ff609-8180-4312-8de9-494bcf21696d/ElectricityGridsandSecureEnergyTransitions.pdf" TargetMode="External"/><Relationship Id="rId41" Type="http://schemas.openxmlformats.org/officeDocument/2006/relationships/hyperlink" Target="https://climatechampions.unfccc.int/launch-of-the-ocean-breakthroughs/" TargetMode="External"/><Relationship Id="rId54" Type="http://schemas.openxmlformats.org/officeDocument/2006/relationships/hyperlink" Target="https://www.unpri.org/news-and-press/leading-international-agencies-form-taskforce-on-net-zero-policy-to-further-hleg-recommendations/11967.article" TargetMode="External"/><Relationship Id="rId62" Type="http://schemas.openxmlformats.org/officeDocument/2006/relationships/hyperlink" Target="https://www.esginvestor.net/tag/policy/" TargetMode="External"/><Relationship Id="rId1" Type="http://schemas.openxmlformats.org/officeDocument/2006/relationships/numbering" Target="numbering.xml"/><Relationship Id="rId6" Type="http://schemas.openxmlformats.org/officeDocument/2006/relationships/hyperlink" Target="https://www.esginvestor.net/take-five-in-the-end-a-beginning/" TargetMode="External"/><Relationship Id="rId15" Type="http://schemas.openxmlformats.org/officeDocument/2006/relationships/hyperlink" Target="https://www.cop28.com/en/global-renewables-and-energy-efficiency-pledge" TargetMode="External"/><Relationship Id="rId23" Type="http://schemas.openxmlformats.org/officeDocument/2006/relationships/hyperlink" Target="https://www.state.gov/sunnylands-statement-on-enhancing-cooperation-to-address-the-climate-crisis/" TargetMode="External"/><Relationship Id="rId28" Type="http://schemas.openxmlformats.org/officeDocument/2006/relationships/hyperlink" Target="https://www.reuters.com/business/finance/key-takeaways-imfworld-bank-meetings-2023-10-14/" TargetMode="External"/><Relationship Id="rId36" Type="http://schemas.openxmlformats.org/officeDocument/2006/relationships/hyperlink" Target="https://www.cop28.com/en/joint-statement-on-climate-nature" TargetMode="External"/><Relationship Id="rId49" Type="http://schemas.openxmlformats.org/officeDocument/2006/relationships/hyperlink" Target="https://assets.bbhub.io/company/sites/63/2023/11/GFANZ-2023-Progress-Report.pdf" TargetMode="External"/><Relationship Id="rId57" Type="http://schemas.openxmlformats.org/officeDocument/2006/relationships/hyperlink" Target="https://www.esginvestor.net/tag/carbon/" TargetMode="External"/><Relationship Id="rId10" Type="http://schemas.openxmlformats.org/officeDocument/2006/relationships/hyperlink" Target="https://unfccc.int/documents/632334" TargetMode="External"/><Relationship Id="rId31" Type="http://schemas.openxmlformats.org/officeDocument/2006/relationships/hyperlink" Target="https://www.cop28.com/en/news/2023/12/Multilateral-Development-Banks-announce-over-180-billion-in-new-climate-finance" TargetMode="External"/><Relationship Id="rId44" Type="http://schemas.openxmlformats.org/officeDocument/2006/relationships/hyperlink" Target="https://www.esginvestor.net/live/global-firms-decarbonisation-pace-slows-ahead-of-cop28-msci/" TargetMode="External"/><Relationship Id="rId52" Type="http://schemas.openxmlformats.org/officeDocument/2006/relationships/hyperlink" Target="https://www.esginvestor.net/live/global-south-focused-climate-finance-collaboration-unveiled-at-cop28/" TargetMode="External"/><Relationship Id="rId60" Type="http://schemas.openxmlformats.org/officeDocument/2006/relationships/hyperlink" Target="https://www.esginvestor.net/tag/featured/" TargetMode="External"/><Relationship Id="rId65" Type="http://schemas.openxmlformats.org/officeDocument/2006/relationships/hyperlink" Target="https://www.esginvestor.net/asset-owners-should-vote-with-their-feet-on-climate/" TargetMode="External"/><Relationship Id="rId4" Type="http://schemas.openxmlformats.org/officeDocument/2006/relationships/webSettings" Target="webSettings.xml"/><Relationship Id="rId9" Type="http://schemas.openxmlformats.org/officeDocument/2006/relationships/hyperlink" Target="https://www.esginvestor.net/live/cop28-misses-opportunity-to-set-high-bar-in-carbon-markets/" TargetMode="External"/><Relationship Id="rId13" Type="http://schemas.openxmlformats.org/officeDocument/2006/relationships/hyperlink" Target="https://www.cop28.com/en/news/2023/12/COP28-Presidency-launches-landmark-initiatives-accelerating-the-energy-transition" TargetMode="External"/><Relationship Id="rId18" Type="http://schemas.openxmlformats.org/officeDocument/2006/relationships/hyperlink" Target="https://www.iea.org/news/doubling-global-pace-of-energy-efficiency-progress-by-2030-is-key-step-in-efforts-to-reach-net-zero-emissions" TargetMode="External"/><Relationship Id="rId39" Type="http://schemas.openxmlformats.org/officeDocument/2006/relationships/hyperlink" Target="https://oceandecade.org/news/ocean-pavilion-partners-unveil-cop28-dubai-ocean-declarat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11</Pages>
  <Words>6212</Words>
  <Characters>34167</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3</cp:revision>
  <dcterms:created xsi:type="dcterms:W3CDTF">2023-12-21T16:40:00Z</dcterms:created>
  <dcterms:modified xsi:type="dcterms:W3CDTF">2024-01-23T01:06:00Z</dcterms:modified>
</cp:coreProperties>
</file>