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1CE2" w14:textId="131F8645" w:rsidR="00D5049D" w:rsidRPr="00D5049D" w:rsidRDefault="00D5049D" w:rsidP="00D5049D">
      <w:pPr>
        <w:rPr>
          <w:rFonts w:ascii="Arial Nova Cond" w:hAnsi="Arial Nova Cond"/>
          <w:sz w:val="28"/>
          <w:szCs w:val="28"/>
        </w:rPr>
      </w:pPr>
      <w:r w:rsidRPr="00D5049D">
        <w:rPr>
          <w:rFonts w:ascii="Arial Nova Cond" w:hAnsi="Arial Nova Cond"/>
          <w:sz w:val="28"/>
          <w:szCs w:val="28"/>
        </w:rPr>
        <w:t>Acertar con la financiación de la transición</w:t>
      </w:r>
    </w:p>
    <w:p w14:paraId="2B3CE032" w14:textId="4C172277" w:rsidR="00D5049D" w:rsidRPr="00D5049D" w:rsidRDefault="00D5049D" w:rsidP="00D5049D">
      <w:pPr>
        <w:jc w:val="both"/>
      </w:pPr>
      <w:r w:rsidRPr="00D5049D">
        <w:t>Discurso pronunciado por el Sr. Ravi Menon, director Gerente de la Autoridad Monetaria de Singapur, en el Día de la Financiación del Pabellón de Singapur COP28, Singapur, 3 de diciembre de 2023.</w:t>
      </w:r>
    </w:p>
    <w:p w14:paraId="78FAC38F" w14:textId="1DCC103C" w:rsidR="00D5049D" w:rsidRPr="00AA2D48" w:rsidRDefault="00D5049D" w:rsidP="00D5049D">
      <w:r w:rsidRPr="00AA2D48">
        <w:t>Discurso del banco central</w:t>
      </w:r>
      <w:r w:rsidR="00AA2D48" w:rsidRPr="00AA2D48">
        <w:t xml:space="preserve"> </w:t>
      </w:r>
      <w:r w:rsidRPr="00AA2D48">
        <w:t>|</w:t>
      </w:r>
      <w:r w:rsidR="00AA2D48" w:rsidRPr="00AA2D48">
        <w:t xml:space="preserve"> </w:t>
      </w:r>
      <w:r w:rsidRPr="00AA2D48">
        <w:t>06 diciembre 2023</w:t>
      </w:r>
    </w:p>
    <w:p w14:paraId="472D4D2B" w14:textId="4C1C43A8" w:rsidR="00D5049D" w:rsidRPr="00D5049D" w:rsidRDefault="00AA2D48" w:rsidP="00D5049D">
      <w:r w:rsidRPr="00D5049D">
        <w:t>P</w:t>
      </w:r>
      <w:r w:rsidR="00D5049D" w:rsidRPr="00D5049D">
        <w:t>or</w:t>
      </w:r>
      <w:r>
        <w:t xml:space="preserve">: </w:t>
      </w:r>
      <w:hyperlink r:id="rId5" w:history="1">
        <w:r w:rsidR="00D5049D" w:rsidRPr="00D5049D">
          <w:rPr>
            <w:rStyle w:val="Hipervnculo"/>
          </w:rPr>
          <w:t>Ravi Menon</w:t>
        </w:r>
      </w:hyperlink>
    </w:p>
    <w:p w14:paraId="28AD66D7" w14:textId="77E42648" w:rsidR="00D5049D" w:rsidRPr="00D5049D" w:rsidRDefault="005742FD" w:rsidP="00D5049D">
      <w:hyperlink r:id="rId6" w:history="1">
        <w:r w:rsidR="00D5049D" w:rsidRPr="00D5049D">
          <w:rPr>
            <w:rStyle w:val="Hipervnculo"/>
            <w:b/>
            <w:bCs/>
          </w:rPr>
          <w:t>Texto completo en PDF</w:t>
        </w:r>
        <w:r w:rsidR="00564AD7">
          <w:rPr>
            <w:rStyle w:val="Hipervnculo"/>
            <w:b/>
            <w:bCs/>
          </w:rPr>
          <w:t xml:space="preserve"> </w:t>
        </w:r>
        <w:r w:rsidR="00D5049D" w:rsidRPr="00D5049D">
          <w:rPr>
            <w:rStyle w:val="Hipervnculo"/>
            <w:b/>
            <w:bCs/>
          </w:rPr>
          <w:t>(21kb)</w:t>
        </w:r>
        <w:r w:rsidR="00D5049D">
          <w:rPr>
            <w:rStyle w:val="Hipervnculo"/>
            <w:b/>
            <w:bCs/>
          </w:rPr>
          <w:t xml:space="preserve"> </w:t>
        </w:r>
      </w:hyperlink>
      <w:r w:rsidR="00D5049D" w:rsidRPr="00D5049D">
        <w:t>|</w:t>
      </w:r>
      <w:r w:rsidR="00AA2D48">
        <w:t xml:space="preserve"> </w:t>
      </w:r>
      <w:r w:rsidR="00D5049D" w:rsidRPr="00D5049D">
        <w:t>8 Páginas</w:t>
      </w:r>
    </w:p>
    <w:p w14:paraId="1F4F196E" w14:textId="77777777" w:rsidR="00D5049D" w:rsidRPr="00D5049D" w:rsidRDefault="00D5049D" w:rsidP="00D5049D">
      <w:pPr>
        <w:jc w:val="both"/>
      </w:pPr>
      <w:r w:rsidRPr="00D5049D">
        <w:t>Buenos días, señoras y señores. Bienvenidos al Pabellón de Singapur. El tema de hoy y de mañana es la financiación de la transición a cero emisiones netas.</w:t>
      </w:r>
    </w:p>
    <w:p w14:paraId="388F43D7" w14:textId="77777777" w:rsidR="00D5049D" w:rsidRPr="00D5049D" w:rsidRDefault="00D5049D" w:rsidP="00D5049D">
      <w:pPr>
        <w:jc w:val="both"/>
      </w:pPr>
      <w:r w:rsidRPr="00D5049D">
        <w:t>Permítanme comenzar con tres hechos incómodos.</w:t>
      </w:r>
    </w:p>
    <w:p w14:paraId="6B2A4F64" w14:textId="65E53EDC" w:rsidR="00D5049D" w:rsidRPr="00D5049D" w:rsidRDefault="00D5049D" w:rsidP="00D5049D">
      <w:pPr>
        <w:jc w:val="both"/>
      </w:pPr>
      <w:r w:rsidRPr="00D5049D">
        <w:rPr>
          <w:b/>
          <w:bCs/>
          <w:i/>
          <w:iCs/>
        </w:rPr>
        <w:t>En primer lugar, el cambio climático ya está ocurriendo.</w:t>
      </w:r>
      <w:r w:rsidR="00AA2D48">
        <w:t xml:space="preserve"> </w:t>
      </w:r>
      <w:r w:rsidRPr="00D5049D">
        <w:t>Según la Organización Meteorológica Mundial, la mitad del planeta ha experimentado un aumento de las inundaciones y un tercio ha experimentado un aumento de las sequías. Las tormentas, las inundaciones, los incendios forestales y las olas de calor están aumentando en intensidad y frecuencia en todo el mundo. Los científicos del clima advierten que estos fenómenos meteorológicos extremos son solo el principio.</w:t>
      </w:r>
    </w:p>
    <w:p w14:paraId="5134A9AF" w14:textId="4DFC92F2" w:rsidR="00D5049D" w:rsidRPr="00D5049D" w:rsidRDefault="00D5049D" w:rsidP="00D5049D">
      <w:pPr>
        <w:jc w:val="both"/>
      </w:pPr>
      <w:r w:rsidRPr="00D5049D">
        <w:rPr>
          <w:b/>
          <w:bCs/>
          <w:i/>
          <w:iCs/>
        </w:rPr>
        <w:t>En segundo lugar, las emisiones mundiales de gases de efecto invernadero están aumentando, no disminuyendo.</w:t>
      </w:r>
      <w:r w:rsidR="00AA2D48">
        <w:t xml:space="preserve"> </w:t>
      </w:r>
      <w:r w:rsidRPr="00D5049D">
        <w:t>Según el último informe del IPCC, necesitamos reducir las emisiones en un 43% para 2030, para evitar que las temperaturas globales promedio aumenten por encima del objetivo de 1,5 grados centígrados. Es poco probable que esto se logre. La temperatura media global ya está 1,1 grados centígrados por encima de los niveles preindustriales. De hecho, este año estuvo por encima de los 1,5 grados centígrados en casi uno de cada cuatro días.</w:t>
      </w:r>
    </w:p>
    <w:p w14:paraId="6C5E903D" w14:textId="5CD8CF93" w:rsidR="00D5049D" w:rsidRPr="00D5049D" w:rsidRDefault="00D5049D" w:rsidP="00D5049D">
      <w:pPr>
        <w:jc w:val="both"/>
      </w:pPr>
      <w:r w:rsidRPr="00D5049D">
        <w:rPr>
          <w:b/>
          <w:bCs/>
          <w:i/>
          <w:iCs/>
        </w:rPr>
        <w:t>En tercer lugar, los flujos financieros hacia la acción climática siguen siendo muy insuficientes.</w:t>
      </w:r>
      <w:r w:rsidR="007C261B">
        <w:t xml:space="preserve"> </w:t>
      </w:r>
      <w:r w:rsidRPr="00D5049D">
        <w:t>Según el reciente Balance Mundial de las Naciones Unidas, los flujos anuales de financiación climática mundial han aumentado y han superado los 800.000 millones de dólares. Pero esto es solo alrededor del 30% de los 2,5 billones de dólares que se necesitan cada año hasta 2030 para cumplir con los objetivos del Acuerdo de París.</w:t>
      </w:r>
    </w:p>
    <w:p w14:paraId="02D0630F" w14:textId="77777777" w:rsidR="00D5049D" w:rsidRPr="00D5049D" w:rsidRDefault="00D5049D" w:rsidP="00D5049D">
      <w:pPr>
        <w:jc w:val="both"/>
      </w:pPr>
      <w:r w:rsidRPr="00D5049D">
        <w:rPr>
          <w:b/>
          <w:bCs/>
          <w:i/>
          <w:iCs/>
        </w:rPr>
        <w:t>Tenemos que actuar con rapidez y tenemos que actuar juntos.</w:t>
      </w:r>
    </w:p>
    <w:p w14:paraId="0F74E356" w14:textId="77777777" w:rsidR="00D5049D" w:rsidRPr="00D5049D" w:rsidRDefault="00D5049D" w:rsidP="00D5049D">
      <w:pPr>
        <w:jc w:val="both"/>
      </w:pPr>
      <w:r w:rsidRPr="00D5049D">
        <w:rPr>
          <w:b/>
          <w:bCs/>
          <w:i/>
          <w:iCs/>
        </w:rPr>
        <w:t>Para alcanzar el cero neto en 2050, necesitamos estrategias de transición en toda la economía y financiación de la transición que la respalden.</w:t>
      </w:r>
    </w:p>
    <w:p w14:paraId="12420628" w14:textId="77777777" w:rsidR="00D5049D" w:rsidRPr="00D5049D" w:rsidRDefault="00D5049D" w:rsidP="00D5049D">
      <w:pPr>
        <w:numPr>
          <w:ilvl w:val="0"/>
          <w:numId w:val="1"/>
        </w:numPr>
        <w:jc w:val="both"/>
      </w:pPr>
      <w:r w:rsidRPr="00D5049D">
        <w:t>La transición efectiva consiste en ecologizar toda la economía, no solo en hacer crecer la economía verde. Invertir en tecnologías verdes y energías renovables es importante, pero representan menos del 8% de la economía mundial.</w:t>
      </w:r>
    </w:p>
    <w:p w14:paraId="09F2E196" w14:textId="77777777" w:rsidR="00D5049D" w:rsidRPr="00D5049D" w:rsidRDefault="00D5049D" w:rsidP="00D5049D">
      <w:pPr>
        <w:numPr>
          <w:ilvl w:val="0"/>
          <w:numId w:val="1"/>
        </w:numPr>
        <w:jc w:val="both"/>
      </w:pPr>
      <w:r w:rsidRPr="00D5049D">
        <w:t>Para llegar a cero emisiones netas, debemos descarbonizar progresivamente todos los sectores de la economía.</w:t>
      </w:r>
    </w:p>
    <w:p w14:paraId="45C4DBAF" w14:textId="77777777" w:rsidR="00D5049D" w:rsidRPr="00D5049D" w:rsidRDefault="00D5049D" w:rsidP="00D5049D">
      <w:pPr>
        <w:numPr>
          <w:ilvl w:val="0"/>
          <w:numId w:val="1"/>
        </w:numPr>
        <w:jc w:val="both"/>
      </w:pPr>
      <w:r w:rsidRPr="00D5049D">
        <w:t>El mundo no solo necesita financiación verde para paneles solares y parques eólicos.</w:t>
      </w:r>
    </w:p>
    <w:p w14:paraId="2C2C9826" w14:textId="703A6529" w:rsidR="00D5049D" w:rsidRPr="00D5049D" w:rsidRDefault="00D5049D" w:rsidP="00D5049D">
      <w:pPr>
        <w:numPr>
          <w:ilvl w:val="0"/>
          <w:numId w:val="1"/>
        </w:numPr>
        <w:jc w:val="both"/>
      </w:pPr>
      <w:r w:rsidRPr="00D5049D">
        <w:lastRenderedPageBreak/>
        <w:t>Necesita</w:t>
      </w:r>
      <w:r w:rsidR="007C261B">
        <w:t xml:space="preserve"> </w:t>
      </w:r>
      <w:r w:rsidRPr="00D5049D">
        <w:t>financiación de</w:t>
      </w:r>
      <w:r w:rsidR="007C261B">
        <w:t xml:space="preserve"> </w:t>
      </w:r>
      <w:r w:rsidRPr="00D5049D">
        <w:rPr>
          <w:i/>
          <w:iCs/>
        </w:rPr>
        <w:t>transición</w:t>
      </w:r>
      <w:r w:rsidRPr="00D5049D">
        <w:t>: proporcionar apoyo financiero a las empresas y sectores que no son tan ecológicos, adoptar tecnologías más limpias, aumentar la eficiencia energética y ser más ecológicos con el tiempo.</w:t>
      </w:r>
    </w:p>
    <w:p w14:paraId="45D5BFE6" w14:textId="77777777" w:rsidR="00D5049D" w:rsidRPr="00D5049D" w:rsidRDefault="00D5049D" w:rsidP="00D5049D">
      <w:pPr>
        <w:jc w:val="both"/>
      </w:pPr>
      <w:r w:rsidRPr="00D5049D">
        <w:rPr>
          <w:b/>
          <w:bCs/>
          <w:i/>
          <w:iCs/>
        </w:rPr>
        <w:t>El plan de Singapur para movilizar capital para la transición de Asia es el Plan de Acción de Financiación para las Cero Emisiones Netas, o FiNZ para abreviar. </w:t>
      </w:r>
      <w:r w:rsidRPr="00D5049D">
        <w:t>Consta de cuatro resultados estratégicos:</w:t>
      </w:r>
    </w:p>
    <w:p w14:paraId="342FA915" w14:textId="77777777" w:rsidR="00D5049D" w:rsidRPr="00D5049D" w:rsidRDefault="00D5049D" w:rsidP="00D5049D">
      <w:pPr>
        <w:numPr>
          <w:ilvl w:val="0"/>
          <w:numId w:val="2"/>
        </w:numPr>
        <w:jc w:val="both"/>
      </w:pPr>
      <w:r w:rsidRPr="00D5049D">
        <w:t>buenos datos, definiciones y divulgación;</w:t>
      </w:r>
    </w:p>
    <w:p w14:paraId="23764BE5" w14:textId="77777777" w:rsidR="00D5049D" w:rsidRPr="00D5049D" w:rsidRDefault="00D5049D" w:rsidP="00D5049D">
      <w:pPr>
        <w:numPr>
          <w:ilvl w:val="0"/>
          <w:numId w:val="2"/>
        </w:numPr>
        <w:jc w:val="both"/>
      </w:pPr>
      <w:r w:rsidRPr="00D5049D">
        <w:t>un sector financiero resiliente al clima;</w:t>
      </w:r>
    </w:p>
    <w:p w14:paraId="0C4A4BB0" w14:textId="77777777" w:rsidR="00D5049D" w:rsidRPr="00D5049D" w:rsidRDefault="00D5049D" w:rsidP="00D5049D">
      <w:pPr>
        <w:numPr>
          <w:ilvl w:val="0"/>
          <w:numId w:val="2"/>
        </w:numPr>
        <w:jc w:val="both"/>
      </w:pPr>
      <w:r w:rsidRPr="00D5049D">
        <w:t>planes de transición creíbles; y</w:t>
      </w:r>
    </w:p>
    <w:p w14:paraId="19465AF5" w14:textId="77777777" w:rsidR="00D5049D" w:rsidRPr="00D5049D" w:rsidRDefault="00D5049D" w:rsidP="00D5049D">
      <w:pPr>
        <w:numPr>
          <w:ilvl w:val="0"/>
          <w:numId w:val="2"/>
        </w:numPr>
        <w:jc w:val="both"/>
      </w:pPr>
      <w:r w:rsidRPr="00D5049D">
        <w:t>soluciones y mercados ecológicos y de transición.</w:t>
      </w:r>
    </w:p>
    <w:p w14:paraId="3B1C2F70" w14:textId="77777777" w:rsidR="00D5049D" w:rsidRPr="00D5049D" w:rsidRDefault="00D5049D" w:rsidP="00D5049D">
      <w:pPr>
        <w:jc w:val="both"/>
      </w:pPr>
      <w:r w:rsidRPr="00D5049D">
        <w:t>Estos, a su vez, están respaldados por dos facilitadores clave:</w:t>
      </w:r>
    </w:p>
    <w:p w14:paraId="4354ABA3" w14:textId="77777777" w:rsidR="00D5049D" w:rsidRPr="00D5049D" w:rsidRDefault="00D5049D" w:rsidP="00D5049D">
      <w:pPr>
        <w:numPr>
          <w:ilvl w:val="0"/>
          <w:numId w:val="3"/>
        </w:numPr>
        <w:jc w:val="both"/>
      </w:pPr>
      <w:r w:rsidRPr="00D5049D">
        <w:t>Green FinTech: soluciones tecnológicas para ayudar a resolver problemas en finanzas sostenibles.</w:t>
      </w:r>
    </w:p>
    <w:p w14:paraId="22495ECA" w14:textId="77777777" w:rsidR="00D5049D" w:rsidRPr="00D5049D" w:rsidRDefault="00D5049D" w:rsidP="00D5049D">
      <w:pPr>
        <w:numPr>
          <w:ilvl w:val="0"/>
          <w:numId w:val="3"/>
        </w:numPr>
        <w:jc w:val="both"/>
      </w:pPr>
      <w:r w:rsidRPr="00D5049D">
        <w:t>Habilidades y capacidades: flujo de talento y capacidades de investigación y desarrollo en finanzas sostenibles.</w:t>
      </w:r>
    </w:p>
    <w:p w14:paraId="73C6254D" w14:textId="77777777" w:rsidR="00D5049D" w:rsidRPr="00D5049D" w:rsidRDefault="00D5049D" w:rsidP="00D5049D">
      <w:pPr>
        <w:jc w:val="both"/>
      </w:pPr>
      <w:r w:rsidRPr="00D5049D">
        <w:t>FiNZ es una plataforma para impulsar la acción colectiva en todo el ecosistema financiero con el fin de movilizar el capital necesario para la transición de Asia. Requiere una amplia colaboración e innovación.</w:t>
      </w:r>
    </w:p>
    <w:p w14:paraId="1391E47A" w14:textId="77777777" w:rsidR="00D5049D" w:rsidRPr="00D5049D" w:rsidRDefault="00D5049D" w:rsidP="00D5049D">
      <w:pPr>
        <w:jc w:val="both"/>
      </w:pPr>
      <w:r w:rsidRPr="00D5049D">
        <w:t>Un área prioritaria en la que estamos ampliando los límites de la colaboración y la innovación es la sustitución de las centrales eléctricas de carbón en Asia por fuentes de energía limpias. ¿Por qué es importante?</w:t>
      </w:r>
    </w:p>
    <w:p w14:paraId="5EF6C634" w14:textId="77777777" w:rsidR="00D5049D" w:rsidRPr="00D5049D" w:rsidRDefault="00D5049D" w:rsidP="00D5049D">
      <w:pPr>
        <w:jc w:val="both"/>
      </w:pPr>
      <w:r w:rsidRPr="00D5049D">
        <w:rPr>
          <w:b/>
          <w:bCs/>
          <w:i/>
          <w:iCs/>
        </w:rPr>
        <w:t>El mundo no llegará a cero emisiones netas para 2050 si no eliminamos gradualmente las plantas de carbón en Asia.</w:t>
      </w:r>
    </w:p>
    <w:p w14:paraId="3C1EA756" w14:textId="77777777" w:rsidR="00D5049D" w:rsidRPr="00D5049D" w:rsidRDefault="00D5049D" w:rsidP="00D5049D">
      <w:pPr>
        <w:numPr>
          <w:ilvl w:val="0"/>
          <w:numId w:val="4"/>
        </w:numPr>
        <w:jc w:val="both"/>
      </w:pPr>
      <w:r w:rsidRPr="00D5049D">
        <w:t>Asia representa el 50% de las emisiones mundiales de gases de efecto invernadero, de las cuales un tercio proviene de las centrales eléctricas de carbón.</w:t>
      </w:r>
    </w:p>
    <w:p w14:paraId="7F065E0A" w14:textId="77777777" w:rsidR="00D5049D" w:rsidRPr="00D5049D" w:rsidRDefault="00D5049D" w:rsidP="00D5049D">
      <w:pPr>
        <w:numPr>
          <w:ilvl w:val="0"/>
          <w:numId w:val="4"/>
        </w:numPr>
        <w:jc w:val="both"/>
      </w:pPr>
      <w:r w:rsidRPr="00D5049D">
        <w:t>Es decir, una de cada seis toneladas de gases de efecto invernadero emitidos a la atmósfera procede de una central de carbón en Asia.</w:t>
      </w:r>
    </w:p>
    <w:p w14:paraId="325290A2" w14:textId="77777777" w:rsidR="00D5049D" w:rsidRPr="00D5049D" w:rsidRDefault="00D5049D" w:rsidP="00D5049D">
      <w:pPr>
        <w:numPr>
          <w:ilvl w:val="0"/>
          <w:numId w:val="4"/>
        </w:numPr>
        <w:jc w:val="both"/>
      </w:pPr>
      <w:r w:rsidRPr="00D5049D">
        <w:t>No se trata simplemente de no construir más nuevas centrales de carbón.</w:t>
      </w:r>
    </w:p>
    <w:p w14:paraId="24835904" w14:textId="77777777" w:rsidR="00D5049D" w:rsidRPr="00D5049D" w:rsidRDefault="00D5049D" w:rsidP="00D5049D">
      <w:pPr>
        <w:numPr>
          <w:ilvl w:val="0"/>
          <w:numId w:val="4"/>
        </w:numPr>
        <w:jc w:val="both"/>
      </w:pPr>
      <w:r w:rsidRPr="00D5049D">
        <w:t>Las centrales eléctricas de carbón existentes en Asia, si se dejan funcionar según lo planeado, agotarán alrededor de dos tercios del presupuesto de carbono restante para mantener las temperaturas globales por debajo de 1,5 grados centígrados.</w:t>
      </w:r>
    </w:p>
    <w:p w14:paraId="5DFAB0D7" w14:textId="61BB5B10" w:rsidR="00D5049D" w:rsidRDefault="00D5049D" w:rsidP="00D5049D">
      <w:pPr>
        <w:numPr>
          <w:ilvl w:val="0"/>
          <w:numId w:val="4"/>
        </w:numPr>
        <w:jc w:val="both"/>
      </w:pPr>
      <w:r w:rsidRPr="00D5049D">
        <w:t>Es necesario eliminarlos gradualmente.</w:t>
      </w:r>
    </w:p>
    <w:p w14:paraId="6BA1583D" w14:textId="27C31DCA" w:rsidR="00564AD7" w:rsidRDefault="00564AD7" w:rsidP="00564AD7">
      <w:pPr>
        <w:jc w:val="both"/>
      </w:pPr>
    </w:p>
    <w:p w14:paraId="035A8B27" w14:textId="77777777" w:rsidR="00564AD7" w:rsidRPr="00D5049D" w:rsidRDefault="00564AD7" w:rsidP="00564AD7">
      <w:pPr>
        <w:jc w:val="both"/>
      </w:pPr>
    </w:p>
    <w:p w14:paraId="755EFF65" w14:textId="77777777" w:rsidR="00D5049D" w:rsidRPr="00D5049D" w:rsidRDefault="00D5049D" w:rsidP="00D5049D">
      <w:pPr>
        <w:jc w:val="both"/>
      </w:pPr>
      <w:r w:rsidRPr="00D5049D">
        <w:rPr>
          <w:b/>
          <w:bCs/>
          <w:i/>
          <w:iCs/>
        </w:rPr>
        <w:lastRenderedPageBreak/>
        <w:t>La economía de la eliminación gradual del carbón en Asia es un desafío.</w:t>
      </w:r>
    </w:p>
    <w:p w14:paraId="5878B6FB" w14:textId="77777777" w:rsidR="00D5049D" w:rsidRPr="00D5049D" w:rsidRDefault="00D5049D" w:rsidP="00D5049D">
      <w:pPr>
        <w:numPr>
          <w:ilvl w:val="0"/>
          <w:numId w:val="5"/>
        </w:numPr>
        <w:jc w:val="both"/>
      </w:pPr>
      <w:r w:rsidRPr="00D5049D">
        <w:t>En primer lugar, el carbón representa casi el 60% de la generación de energía en Asia, y se espera que la demanda de energía en Asia se duplique con creces para 2050, para impulsar el desarrollo económico, el crecimiento de la población y la rápida urbanización.</w:t>
      </w:r>
    </w:p>
    <w:p w14:paraId="2A10AD9A" w14:textId="77777777" w:rsidR="00D5049D" w:rsidRPr="00D5049D" w:rsidRDefault="00D5049D" w:rsidP="00D5049D">
      <w:pPr>
        <w:numPr>
          <w:ilvl w:val="0"/>
          <w:numId w:val="5"/>
        </w:numPr>
        <w:jc w:val="both"/>
      </w:pPr>
      <w:r w:rsidRPr="00D5049D">
        <w:t>En segundo lugar, la llamada "economía del carbón" es una fuente clave de empleo. La Agencia Internacional de la Energía estima que más de 6,7 millones de personas en Asia están empleadas en toda la cadena de valor del carbón.</w:t>
      </w:r>
    </w:p>
    <w:p w14:paraId="5CE0AE6E" w14:textId="77777777" w:rsidR="00D5049D" w:rsidRPr="00D5049D" w:rsidRDefault="00D5049D" w:rsidP="00D5049D">
      <w:pPr>
        <w:numPr>
          <w:ilvl w:val="0"/>
          <w:numId w:val="5"/>
        </w:numPr>
        <w:jc w:val="both"/>
      </w:pPr>
      <w:r w:rsidRPr="00D5049D">
        <w:t>En tercer lugar, las plantas de carbón en Asia son jóvenes: tienen, en promedio, menos de 15 años. Muchos de ellos también se benefician de acuerdos de compra a largo plazo o de desgravaciones políticas que les permitirán operar mucho después de que dejen de ser rentables.</w:t>
      </w:r>
    </w:p>
    <w:p w14:paraId="3290A8B9" w14:textId="77777777" w:rsidR="00D5049D" w:rsidRPr="00D5049D" w:rsidRDefault="00D5049D" w:rsidP="00D5049D">
      <w:pPr>
        <w:jc w:val="both"/>
      </w:pPr>
      <w:r w:rsidRPr="00D5049D">
        <w:t>Entonces, este es un gran problema. Pero también es un problema que no podemos evitar resolver si queremos evitar un cambio climático catastrófico.</w:t>
      </w:r>
    </w:p>
    <w:p w14:paraId="72A59739" w14:textId="6753C9B0" w:rsidR="00D5049D" w:rsidRPr="00D5049D" w:rsidRDefault="00D5049D" w:rsidP="00D5049D">
      <w:pPr>
        <w:jc w:val="both"/>
      </w:pPr>
      <w:r w:rsidRPr="00D5049D">
        <w:t>Esta es la razón por la que</w:t>
      </w:r>
      <w:r w:rsidR="00AA2D48">
        <w:t xml:space="preserve"> </w:t>
      </w:r>
      <w:r w:rsidRPr="00D5049D">
        <w:rPr>
          <w:b/>
          <w:bCs/>
          <w:i/>
          <w:iCs/>
        </w:rPr>
        <w:t>MAS ha estado trabajando con instituciones financieras y un conjunto más amplio de actores del ecosistema para apoyar la eliminación gradual de las centrales eléctricas de carbón en Asia.</w:t>
      </w:r>
    </w:p>
    <w:p w14:paraId="55A753A0" w14:textId="2AA687AF" w:rsidR="00D5049D" w:rsidRPr="00D5049D" w:rsidRDefault="00D5049D" w:rsidP="00D5049D">
      <w:pPr>
        <w:numPr>
          <w:ilvl w:val="0"/>
          <w:numId w:val="6"/>
        </w:numPr>
        <w:jc w:val="both"/>
      </w:pPr>
      <w:r w:rsidRPr="00D5049D">
        <w:t>Para lograr una transición efectiva y justa de las centrales eléctricas de carbón, necesitamos hacer bien tres cosas:</w:t>
      </w:r>
      <w:r w:rsidR="00AA2D48">
        <w:t xml:space="preserve"> </w:t>
      </w:r>
      <w:r w:rsidRPr="00D5049D">
        <w:rPr>
          <w:b/>
          <w:bCs/>
          <w:i/>
          <w:iCs/>
        </w:rPr>
        <w:t>credibilidad, incentivos</w:t>
      </w:r>
      <w:r w:rsidR="00AA2D48">
        <w:t xml:space="preserve"> </w:t>
      </w:r>
      <w:r w:rsidRPr="00D5049D">
        <w:t>y</w:t>
      </w:r>
      <w:r w:rsidR="00AA2D48">
        <w:t xml:space="preserve"> </w:t>
      </w:r>
      <w:r w:rsidRPr="00D5049D">
        <w:rPr>
          <w:b/>
          <w:bCs/>
          <w:i/>
          <w:iCs/>
        </w:rPr>
        <w:t>asociaciones</w:t>
      </w:r>
      <w:r w:rsidRPr="00D5049D">
        <w:t>.</w:t>
      </w:r>
    </w:p>
    <w:p w14:paraId="0F400CF3" w14:textId="77777777" w:rsidR="00D5049D" w:rsidRPr="00D5049D" w:rsidRDefault="00D5049D" w:rsidP="00D5049D">
      <w:pPr>
        <w:jc w:val="both"/>
        <w:rPr>
          <w:b/>
          <w:bCs/>
        </w:rPr>
      </w:pPr>
      <w:r w:rsidRPr="00D5049D">
        <w:rPr>
          <w:b/>
          <w:bCs/>
        </w:rPr>
        <w:t>Acertar con la CREDIBILIDAD</w:t>
      </w:r>
    </w:p>
    <w:p w14:paraId="273D885E" w14:textId="77777777" w:rsidR="00D5049D" w:rsidRPr="00D5049D" w:rsidRDefault="00D5049D" w:rsidP="00D5049D">
      <w:pPr>
        <w:jc w:val="both"/>
      </w:pPr>
      <w:r w:rsidRPr="00D5049D">
        <w:rPr>
          <w:b/>
          <w:bCs/>
          <w:i/>
          <w:iCs/>
        </w:rPr>
        <w:t>Permítanme empezar por acertar con la credibilidad. Esto significa taxonomías creíbles, planes de transición y vías sectoriales.</w:t>
      </w:r>
    </w:p>
    <w:p w14:paraId="7EA53990" w14:textId="77777777" w:rsidR="00D5049D" w:rsidRPr="00D5049D" w:rsidRDefault="00D5049D" w:rsidP="00D5049D">
      <w:pPr>
        <w:jc w:val="both"/>
      </w:pPr>
      <w:r w:rsidRPr="00D5049D">
        <w:rPr>
          <w:b/>
          <w:bCs/>
          <w:i/>
          <w:iCs/>
        </w:rPr>
        <w:t>En primer lugar, taxonomías creíbles de financiación verde y de transición.</w:t>
      </w:r>
    </w:p>
    <w:p w14:paraId="239E4B17" w14:textId="77777777" w:rsidR="00D5049D" w:rsidRPr="00D5049D" w:rsidRDefault="00D5049D" w:rsidP="00D5049D">
      <w:pPr>
        <w:numPr>
          <w:ilvl w:val="0"/>
          <w:numId w:val="7"/>
        </w:numPr>
        <w:jc w:val="both"/>
      </w:pPr>
      <w:r w:rsidRPr="00D5049D">
        <w:t>Las taxonomías proporcionan una definición objetiva y basada en la ciencia sobre si las actividades económicas son verdes o en transición.</w:t>
      </w:r>
    </w:p>
    <w:p w14:paraId="0AB37BEA" w14:textId="77777777" w:rsidR="00D5049D" w:rsidRPr="00D5049D" w:rsidRDefault="00D5049D" w:rsidP="00D5049D">
      <w:pPr>
        <w:numPr>
          <w:ilvl w:val="0"/>
          <w:numId w:val="7"/>
        </w:numPr>
        <w:jc w:val="both"/>
      </w:pPr>
      <w:r w:rsidRPr="00D5049D">
        <w:t>Sirven de guía a los inversores y financieros que tratan de canalizar el capital hacia actividades que apoyen la transición.</w:t>
      </w:r>
    </w:p>
    <w:p w14:paraId="22A56938" w14:textId="77777777" w:rsidR="00D5049D" w:rsidRPr="00D5049D" w:rsidRDefault="00D5049D" w:rsidP="00D5049D">
      <w:pPr>
        <w:numPr>
          <w:ilvl w:val="0"/>
          <w:numId w:val="7"/>
        </w:numPr>
        <w:jc w:val="both"/>
      </w:pPr>
      <w:r w:rsidRPr="00D5049D">
        <w:t>MAS se ha asociado con la industria financiera para crear conjuntamente una taxonomía que esté alineada con los objetivos del Acuerdo de París y sea relevante tanto para las necesidades de Singapur como para las necesidades de Asia en general.</w:t>
      </w:r>
    </w:p>
    <w:p w14:paraId="3EC25F70" w14:textId="77777777" w:rsidR="00D5049D" w:rsidRPr="00D5049D" w:rsidRDefault="00D5049D" w:rsidP="00D5049D">
      <w:pPr>
        <w:numPr>
          <w:ilvl w:val="0"/>
          <w:numId w:val="7"/>
        </w:numPr>
        <w:jc w:val="both"/>
      </w:pPr>
      <w:r w:rsidRPr="00D5049D">
        <w:t>No fue una tarea fácil. El viaje ha durado casi cuatro años y cuatro rondas de consulta pública.</w:t>
      </w:r>
    </w:p>
    <w:p w14:paraId="41D41A36" w14:textId="77777777" w:rsidR="00D5049D" w:rsidRPr="00D5049D" w:rsidRDefault="00D5049D" w:rsidP="00D5049D">
      <w:pPr>
        <w:jc w:val="both"/>
      </w:pPr>
      <w:r w:rsidRPr="00D5049D">
        <w:rPr>
          <w:b/>
          <w:bCs/>
          <w:i/>
          <w:iCs/>
        </w:rPr>
        <w:t>Me complace compartir que hoy lanzaremos la Taxonomía Singapur-Asia.</w:t>
      </w:r>
    </w:p>
    <w:p w14:paraId="00FE713F" w14:textId="77777777" w:rsidR="00D5049D" w:rsidRPr="00D5049D" w:rsidRDefault="00D5049D" w:rsidP="00D5049D">
      <w:pPr>
        <w:numPr>
          <w:ilvl w:val="0"/>
          <w:numId w:val="8"/>
        </w:numPr>
        <w:jc w:val="both"/>
      </w:pPr>
      <w:r w:rsidRPr="00D5049D">
        <w:t>Esta es la primera taxonomía en el mundo que define de manera exhaustiva las actividades de transición en ocho sectores prioritarios.</w:t>
      </w:r>
    </w:p>
    <w:p w14:paraId="3C4B3961" w14:textId="77777777" w:rsidR="00D5049D" w:rsidRPr="00D5049D" w:rsidRDefault="00D5049D" w:rsidP="00D5049D">
      <w:pPr>
        <w:numPr>
          <w:ilvl w:val="0"/>
          <w:numId w:val="8"/>
        </w:numPr>
        <w:jc w:val="both"/>
      </w:pPr>
      <w:r w:rsidRPr="00D5049D">
        <w:t>La mayoría de las taxonomías definen lo que es verde y lo que es marrón, dejando fuera la mayor parte de las actividades económicas que se encuentran en el medio.</w:t>
      </w:r>
    </w:p>
    <w:p w14:paraId="2CE5209F" w14:textId="77777777" w:rsidR="00D5049D" w:rsidRPr="00D5049D" w:rsidRDefault="00D5049D" w:rsidP="00D5049D">
      <w:pPr>
        <w:numPr>
          <w:ilvl w:val="0"/>
          <w:numId w:val="8"/>
        </w:numPr>
        <w:jc w:val="both"/>
      </w:pPr>
      <w:r w:rsidRPr="00D5049D">
        <w:lastRenderedPageBreak/>
        <w:t>La Taxonomía Singapur-Asia adopta un sistema de clasificación de </w:t>
      </w:r>
      <w:r w:rsidRPr="00D5049D">
        <w:rPr>
          <w:i/>
          <w:iCs/>
        </w:rPr>
        <w:t>semáforos:</w:t>
      </w:r>
    </w:p>
    <w:p w14:paraId="6D2145A8" w14:textId="77777777" w:rsidR="00D5049D" w:rsidRPr="00D5049D" w:rsidRDefault="00D5049D" w:rsidP="00D5049D">
      <w:pPr>
        <w:numPr>
          <w:ilvl w:val="1"/>
          <w:numId w:val="8"/>
        </w:numPr>
        <w:jc w:val="both"/>
      </w:pPr>
      <w:r w:rsidRPr="00D5049D">
        <w:t>«verde» para denotar actividades que están alineadas con un resultado de 1,5 grados centígrados; y</w:t>
      </w:r>
    </w:p>
    <w:p w14:paraId="307A2C54" w14:textId="77777777" w:rsidR="00D5049D" w:rsidRPr="00D5049D" w:rsidRDefault="00D5049D" w:rsidP="00D5049D">
      <w:pPr>
        <w:numPr>
          <w:ilvl w:val="1"/>
          <w:numId w:val="8"/>
        </w:numPr>
        <w:jc w:val="both"/>
      </w:pPr>
      <w:r w:rsidRPr="00D5049D">
        <w:t>«ámbar», para denotar las actividades que pasarán a ser «verdes» durante un período de tiempo definido o que facilitarán una reducción significativa de las emisiones a corto plazo.</w:t>
      </w:r>
    </w:p>
    <w:p w14:paraId="5A035460" w14:textId="77777777" w:rsidR="00D5049D" w:rsidRPr="00D5049D" w:rsidRDefault="00D5049D" w:rsidP="00D5049D">
      <w:pPr>
        <w:numPr>
          <w:ilvl w:val="0"/>
          <w:numId w:val="8"/>
        </w:numPr>
        <w:jc w:val="both"/>
      </w:pPr>
      <w:r w:rsidRPr="00D5049D">
        <w:t>Las actividades deben cumplir con umbrales y criterios estrictos para calificar como "ámbar" y estos umbrales tienen una fecha de expiración.</w:t>
      </w:r>
    </w:p>
    <w:p w14:paraId="4CC8DA1D" w14:textId="77777777" w:rsidR="00D5049D" w:rsidRPr="00D5049D" w:rsidRDefault="00D5049D" w:rsidP="00D5049D">
      <w:pPr>
        <w:jc w:val="both"/>
      </w:pPr>
      <w:r w:rsidRPr="00D5049D">
        <w:rPr>
          <w:b/>
          <w:bCs/>
          <w:i/>
          <w:iCs/>
        </w:rPr>
        <w:t>Esta nueva taxonomía permitirá que la financiación fluya hacia actividades de transición respetuosas con el clima, minimizando al mismo tiempo el riesgo de blanqueo ecológico.</w:t>
      </w:r>
    </w:p>
    <w:p w14:paraId="5064724F" w14:textId="77777777" w:rsidR="00D5049D" w:rsidRPr="00D5049D" w:rsidRDefault="00D5049D" w:rsidP="00D5049D">
      <w:pPr>
        <w:numPr>
          <w:ilvl w:val="0"/>
          <w:numId w:val="9"/>
        </w:numPr>
        <w:jc w:val="both"/>
      </w:pPr>
      <w:r w:rsidRPr="00D5049D">
        <w:t>La taxonomía también proporciona un marco creíble para la eliminación gradual de las centrales eléctricas de carbón, mediante el establecimiento de criterios a nivel de entidad e instalación que estén alineados con un escenario de 1,5 grados centígrados.</w:t>
      </w:r>
    </w:p>
    <w:p w14:paraId="3882307E" w14:textId="77777777" w:rsidR="00D5049D" w:rsidRPr="00D5049D" w:rsidRDefault="00D5049D" w:rsidP="00D5049D">
      <w:pPr>
        <w:jc w:val="both"/>
      </w:pPr>
      <w:r w:rsidRPr="00D5049D">
        <w:rPr>
          <w:b/>
          <w:bCs/>
          <w:i/>
          <w:iCs/>
        </w:rPr>
        <w:t>El siguiente paso es permitir que la taxonomía facilite los flujos financieros transfronterizos para apoyar proyectos ecológicos y de transición en otras geografías.</w:t>
      </w:r>
    </w:p>
    <w:p w14:paraId="758B2BE9" w14:textId="77777777" w:rsidR="00D5049D" w:rsidRPr="00D5049D" w:rsidRDefault="00D5049D" w:rsidP="00D5049D">
      <w:pPr>
        <w:numPr>
          <w:ilvl w:val="0"/>
          <w:numId w:val="10"/>
        </w:numPr>
        <w:jc w:val="both"/>
      </w:pPr>
      <w:r w:rsidRPr="00D5049D">
        <w:t>Nos hemos embarcado en planes para mejorar la interoperabilidad de la taxonomía Singapur-Asia con las taxonomías de la UE y China.</w:t>
      </w:r>
    </w:p>
    <w:p w14:paraId="77207730" w14:textId="77777777" w:rsidR="00D5049D" w:rsidRPr="00D5049D" w:rsidRDefault="00D5049D" w:rsidP="00D5049D">
      <w:pPr>
        <w:jc w:val="both"/>
      </w:pPr>
      <w:r w:rsidRPr="00D5049D">
        <w:rPr>
          <w:b/>
          <w:bCs/>
          <w:i/>
          <w:iCs/>
        </w:rPr>
        <w:t>En segundo lugar, planes de transición creíbles por parte de las instituciones financieras.</w:t>
      </w:r>
    </w:p>
    <w:p w14:paraId="33895BDB" w14:textId="77777777" w:rsidR="00D5049D" w:rsidRPr="00D5049D" w:rsidRDefault="00D5049D" w:rsidP="00D5049D">
      <w:pPr>
        <w:numPr>
          <w:ilvl w:val="0"/>
          <w:numId w:val="11"/>
        </w:numPr>
        <w:jc w:val="both"/>
      </w:pPr>
      <w:r w:rsidRPr="00D5049D">
        <w:t>Más de 650 instituciones financieras de más de 50 países han adoptado voluntariamente objetivos de cero emisiones netas y se han unido a la Alianza Financiera de Glasgow para las Cero Emisiones Netas (GFANZ, por sus siglas en inglés).</w:t>
      </w:r>
    </w:p>
    <w:p w14:paraId="3795BE4B" w14:textId="77777777" w:rsidR="00D5049D" w:rsidRPr="00D5049D" w:rsidRDefault="00D5049D" w:rsidP="00D5049D">
      <w:pPr>
        <w:numPr>
          <w:ilvl w:val="0"/>
          <w:numId w:val="11"/>
        </w:numPr>
        <w:jc w:val="both"/>
      </w:pPr>
      <w:r w:rsidRPr="00D5049D">
        <w:t>Muchos han desarrollado planes de transición para alcanzar sus objetivos de cero emisiones netas.</w:t>
      </w:r>
    </w:p>
    <w:p w14:paraId="06B22601" w14:textId="77777777" w:rsidR="00D5049D" w:rsidRPr="00D5049D" w:rsidRDefault="00D5049D" w:rsidP="00D5049D">
      <w:pPr>
        <w:numPr>
          <w:ilvl w:val="0"/>
          <w:numId w:val="11"/>
        </w:numPr>
        <w:jc w:val="both"/>
      </w:pPr>
      <w:r w:rsidRPr="00D5049D">
        <w:t>Los tres bancos con sede en Singapur, DBS, OCBC y UOB, también se han unido a la Net Zero Banking Alliance y han elaborado planes de transición detallados que establecen objetivos de descarbonización para los sectores clave a los que sirven.</w:t>
      </w:r>
    </w:p>
    <w:p w14:paraId="7B68B745" w14:textId="77777777" w:rsidR="00D5049D" w:rsidRPr="00D5049D" w:rsidRDefault="00D5049D" w:rsidP="00D5049D">
      <w:pPr>
        <w:jc w:val="both"/>
      </w:pPr>
      <w:r w:rsidRPr="00D5049D">
        <w:t>Obviamente, los reguladores financieros tienen un papel que desempeñar en la supervisión de la gestión de los riesgos relacionados con el clima por parte de las instituciones financieras. Pero, ¿tienen un papel en la catalización de la planificación de la transición por parte de las instituciones financieras? No hay consenso internacional al respecto.</w:t>
      </w:r>
    </w:p>
    <w:p w14:paraId="7B4BDA22" w14:textId="77777777" w:rsidR="00D5049D" w:rsidRPr="00D5049D" w:rsidRDefault="00D5049D" w:rsidP="00D5049D">
      <w:pPr>
        <w:jc w:val="both"/>
      </w:pPr>
      <w:r w:rsidRPr="00D5049D">
        <w:rPr>
          <w:b/>
          <w:bCs/>
          <w:i/>
          <w:iCs/>
        </w:rPr>
        <w:t>La MAS considera que los reguladores tienen un papel que desempeñar en la facilitación de una planificación sólida de la transición y ha propuesto directrices de supervisión para los bancos, las aseguradoras y los gestores de activos.</w:t>
      </w:r>
    </w:p>
    <w:p w14:paraId="27FC4529" w14:textId="77777777" w:rsidR="00D5049D" w:rsidRPr="00D5049D" w:rsidRDefault="00D5049D" w:rsidP="00D5049D">
      <w:pPr>
        <w:numPr>
          <w:ilvl w:val="0"/>
          <w:numId w:val="12"/>
        </w:numPr>
        <w:jc w:val="both"/>
      </w:pPr>
      <w:r w:rsidRPr="00D5049D">
        <w:t>Las directrices no solo instan a las instituciones financieras a gestionar sus riesgos relacionados con el clima, sino que también las alientan a actuar de manera positiva para el clima para apoyar una transición ordenada.</w:t>
      </w:r>
    </w:p>
    <w:p w14:paraId="13F604A6" w14:textId="77777777" w:rsidR="00D5049D" w:rsidRPr="00D5049D" w:rsidRDefault="00D5049D" w:rsidP="00D5049D">
      <w:pPr>
        <w:numPr>
          <w:ilvl w:val="0"/>
          <w:numId w:val="12"/>
        </w:numPr>
        <w:jc w:val="both"/>
      </w:pPr>
      <w:r w:rsidRPr="00D5049D">
        <w:lastRenderedPageBreak/>
        <w:t>No queremos que las instituciones financieras abandonen indiscriminadamente las actividades intensivas en carbono solo para reducir sus emisiones financiadas.</w:t>
      </w:r>
    </w:p>
    <w:p w14:paraId="601D041B" w14:textId="77777777" w:rsidR="00D5049D" w:rsidRPr="00D5049D" w:rsidRDefault="00D5049D" w:rsidP="00D5049D">
      <w:pPr>
        <w:numPr>
          <w:ilvl w:val="0"/>
          <w:numId w:val="12"/>
        </w:numPr>
        <w:jc w:val="both"/>
      </w:pPr>
      <w:r w:rsidRPr="00D5049D">
        <w:t>Más bien, queremos que apoyen los esfuerzos de transición progresiva en la economía. Queremos que recorran el camino de la descarbonización con sus clientes.</w:t>
      </w:r>
    </w:p>
    <w:p w14:paraId="54337BAA" w14:textId="77777777" w:rsidR="00D5049D" w:rsidRPr="00D5049D" w:rsidRDefault="00D5049D" w:rsidP="00D5049D">
      <w:pPr>
        <w:jc w:val="both"/>
      </w:pPr>
      <w:r w:rsidRPr="00D5049D">
        <w:rPr>
          <w:b/>
          <w:bCs/>
          <w:i/>
          <w:iCs/>
        </w:rPr>
        <w:t>MAS espera que las instituciones financieras adopten una perspectiva plurianual en la gestión de sus riesgos relacionados con el clima.</w:t>
      </w:r>
    </w:p>
    <w:p w14:paraId="561C0C43" w14:textId="77777777" w:rsidR="00D5049D" w:rsidRPr="00D5049D" w:rsidRDefault="00D5049D" w:rsidP="00D5049D">
      <w:pPr>
        <w:numPr>
          <w:ilvl w:val="0"/>
          <w:numId w:val="13"/>
        </w:numPr>
        <w:jc w:val="both"/>
      </w:pPr>
      <w:r w:rsidRPr="00D5049D">
        <w:t>Esto puede implicar la aceptación de algún aumento a corto plazo de las emisiones financiadas en apoyo de resultados positivos para el clima a largo plazo.</w:t>
      </w:r>
    </w:p>
    <w:p w14:paraId="0D0F4893" w14:textId="77777777" w:rsidR="00D5049D" w:rsidRPr="00D5049D" w:rsidRDefault="00D5049D" w:rsidP="00D5049D">
      <w:pPr>
        <w:numPr>
          <w:ilvl w:val="0"/>
          <w:numId w:val="13"/>
        </w:numPr>
        <w:jc w:val="both"/>
      </w:pPr>
      <w:r w:rsidRPr="00D5049D">
        <w:t>Por ejemplo, permite a las instituciones financieras participar en la financiación de proyectos de eliminación gradual del carbón con hitos de salida claramente definidos que logren reducciones reales de las emisiones.</w:t>
      </w:r>
    </w:p>
    <w:p w14:paraId="1E5FE7E7" w14:textId="77777777" w:rsidR="00D5049D" w:rsidRPr="00D5049D" w:rsidRDefault="00D5049D" w:rsidP="00D5049D">
      <w:pPr>
        <w:jc w:val="both"/>
      </w:pPr>
      <w:r w:rsidRPr="00D5049D">
        <w:rPr>
          <w:b/>
          <w:bCs/>
          <w:i/>
          <w:iCs/>
        </w:rPr>
        <w:t>En tercer lugar, vías de descarbonización sectoriales basadas en la ciencia</w:t>
      </w:r>
    </w:p>
    <w:p w14:paraId="60503ABE" w14:textId="77777777" w:rsidR="00D5049D" w:rsidRPr="00D5049D" w:rsidRDefault="00D5049D" w:rsidP="00D5049D">
      <w:pPr>
        <w:numPr>
          <w:ilvl w:val="0"/>
          <w:numId w:val="14"/>
        </w:numPr>
        <w:jc w:val="both"/>
      </w:pPr>
      <w:r w:rsidRPr="00D5049D">
        <w:t>Para ser creíbles, los planes de transición deben guiarse por vías de descarbonización sectoriales basadas en la ciencia.</w:t>
      </w:r>
    </w:p>
    <w:p w14:paraId="00EA8336" w14:textId="77777777" w:rsidR="00D5049D" w:rsidRPr="00D5049D" w:rsidRDefault="00D5049D" w:rsidP="00D5049D">
      <w:pPr>
        <w:numPr>
          <w:ilvl w:val="0"/>
          <w:numId w:val="14"/>
        </w:numPr>
        <w:jc w:val="both"/>
      </w:pPr>
      <w:r w:rsidRPr="00D5049D">
        <w:t>Estas vías nos indican la rapidez con la que cada sector puede descarbonizarse para alcanzar su objetivo de cero emisiones netas y cuáles son las principales soluciones de descarbonización.</w:t>
      </w:r>
    </w:p>
    <w:p w14:paraId="3FB86F95" w14:textId="77777777" w:rsidR="00D5049D" w:rsidRPr="00D5049D" w:rsidRDefault="00D5049D" w:rsidP="00D5049D">
      <w:pPr>
        <w:numPr>
          <w:ilvl w:val="0"/>
          <w:numId w:val="14"/>
        </w:numPr>
        <w:jc w:val="both"/>
      </w:pPr>
      <w:r w:rsidRPr="00D5049D">
        <w:t>Hoy en día, muchas instituciones financieras se apoyan en vías globales, como la Ruta de Cero Emisiones Netas de la Agencia Internacional de la Energía, para diseñar sus objetivos de cero emisiones netas.</w:t>
      </w:r>
    </w:p>
    <w:p w14:paraId="219D6D1E" w14:textId="77777777" w:rsidR="00D5049D" w:rsidRPr="00D5049D" w:rsidRDefault="00D5049D" w:rsidP="00D5049D">
      <w:pPr>
        <w:numPr>
          <w:ilvl w:val="0"/>
          <w:numId w:val="14"/>
        </w:numPr>
        <w:jc w:val="both"/>
      </w:pPr>
      <w:r w:rsidRPr="00D5049D">
        <w:t>Sin embargo, a veces puede ser necesario contextualizar las vías mundiales para tener en cuenta las circunstancias regionales.</w:t>
      </w:r>
    </w:p>
    <w:p w14:paraId="2F6FC981" w14:textId="77777777" w:rsidR="00D5049D" w:rsidRPr="00D5049D" w:rsidRDefault="00D5049D" w:rsidP="00D5049D">
      <w:pPr>
        <w:jc w:val="both"/>
      </w:pPr>
      <w:r w:rsidRPr="00D5049D">
        <w:rPr>
          <w:b/>
          <w:bCs/>
          <w:i/>
          <w:iCs/>
        </w:rPr>
        <w:t>MAS ha estado trabajando con socios internacionales para desarrollar vías sectoriales contextualizadas e incluso orientación práctica sobre la transición específica del sector.</w:t>
      </w:r>
    </w:p>
    <w:p w14:paraId="6E9216C7" w14:textId="77777777" w:rsidR="00D5049D" w:rsidRPr="00D5049D" w:rsidRDefault="00D5049D" w:rsidP="00D5049D">
      <w:pPr>
        <w:numPr>
          <w:ilvl w:val="0"/>
          <w:numId w:val="15"/>
        </w:numPr>
        <w:jc w:val="both"/>
      </w:pPr>
      <w:r w:rsidRPr="00D5049D">
        <w:t>Uno de esos esfuerzos es el trabajo de MAS con GFANZ y otros para proporcionar claridad sobre cómo las instituciones financieras pueden participar en la eliminación gradual del carbón.</w:t>
      </w:r>
    </w:p>
    <w:p w14:paraId="7580C3FB" w14:textId="77777777" w:rsidR="00D5049D" w:rsidRPr="00D5049D" w:rsidRDefault="00D5049D" w:rsidP="00D5049D">
      <w:pPr>
        <w:jc w:val="both"/>
      </w:pPr>
      <w:r w:rsidRPr="00D5049D">
        <w:rPr>
          <w:b/>
          <w:bCs/>
          <w:i/>
          <w:iCs/>
        </w:rPr>
        <w:t>Me complace compartir que la Red GFANZ Asia Pacífico publicará hoy una guía finalizada para financiar la jubilación anticipada de las centrales eléctricas de carbón.</w:t>
      </w:r>
    </w:p>
    <w:p w14:paraId="67EB5F67" w14:textId="77777777" w:rsidR="00D5049D" w:rsidRPr="00D5049D" w:rsidRDefault="00D5049D" w:rsidP="00D5049D">
      <w:pPr>
        <w:numPr>
          <w:ilvl w:val="0"/>
          <w:numId w:val="16"/>
        </w:numPr>
        <w:jc w:val="both"/>
      </w:pPr>
      <w:r w:rsidRPr="00D5049D">
        <w:t>La guía establece cómo las instituciones financieras pueden evaluar la credibilidad y el impacto de un plan de eliminación gradual del carbón:</w:t>
      </w:r>
    </w:p>
    <w:p w14:paraId="4BB7EFEC" w14:textId="77777777" w:rsidR="00D5049D" w:rsidRPr="00D5049D" w:rsidRDefault="00D5049D" w:rsidP="00D5049D">
      <w:pPr>
        <w:numPr>
          <w:ilvl w:val="1"/>
          <w:numId w:val="16"/>
        </w:numPr>
        <w:jc w:val="both"/>
      </w:pPr>
      <w:r w:rsidRPr="00D5049D">
        <w:t>El propietario de la planta que se retira debe comprometerse a no adquirir ni invertir en nuevas plantas de carbón.</w:t>
      </w:r>
    </w:p>
    <w:p w14:paraId="6A7C1416" w14:textId="77777777" w:rsidR="00D5049D" w:rsidRPr="00D5049D" w:rsidRDefault="00D5049D" w:rsidP="00D5049D">
      <w:pPr>
        <w:numPr>
          <w:ilvl w:val="1"/>
          <w:numId w:val="16"/>
        </w:numPr>
        <w:jc w:val="both"/>
      </w:pPr>
      <w:r w:rsidRPr="00D5049D">
        <w:t>La planta de carbón no está preparada para beneficiarse de la financiación adicional.</w:t>
      </w:r>
    </w:p>
    <w:p w14:paraId="351B8AA7" w14:textId="77777777" w:rsidR="00D5049D" w:rsidRPr="00D5049D" w:rsidRDefault="00D5049D" w:rsidP="00D5049D">
      <w:pPr>
        <w:numPr>
          <w:ilvl w:val="1"/>
          <w:numId w:val="16"/>
        </w:numPr>
        <w:jc w:val="both"/>
      </w:pPr>
      <w:r w:rsidRPr="00D5049D">
        <w:lastRenderedPageBreak/>
        <w:t>El plan de eliminación gradual debe tener en cuenta el impacto socioeconómico, como la transición de la fuerza laboral.</w:t>
      </w:r>
    </w:p>
    <w:p w14:paraId="7CA2E967" w14:textId="77777777" w:rsidR="00D5049D" w:rsidRPr="00D5049D" w:rsidRDefault="00D5049D" w:rsidP="00D5049D">
      <w:pPr>
        <w:numPr>
          <w:ilvl w:val="0"/>
          <w:numId w:val="16"/>
        </w:numPr>
        <w:jc w:val="both"/>
      </w:pPr>
      <w:r w:rsidRPr="00D5049D">
        <w:t>El informe también proporciona orientación para que las instituciones financieras establezcan políticas internas sobre el carbón y estudios de casos sobre mecanismos de financiación.</w:t>
      </w:r>
    </w:p>
    <w:p w14:paraId="10E1123A" w14:textId="77777777" w:rsidR="00D5049D" w:rsidRPr="00D5049D" w:rsidRDefault="00D5049D" w:rsidP="00D5049D">
      <w:pPr>
        <w:jc w:val="both"/>
        <w:rPr>
          <w:b/>
          <w:bCs/>
        </w:rPr>
      </w:pPr>
      <w:r w:rsidRPr="00D5049D">
        <w:rPr>
          <w:b/>
          <w:bCs/>
        </w:rPr>
        <w:t>Acertar con los INCENTIVOS</w:t>
      </w:r>
    </w:p>
    <w:p w14:paraId="2584EDA6" w14:textId="77777777" w:rsidR="00D5049D" w:rsidRPr="00D5049D" w:rsidRDefault="00D5049D" w:rsidP="00D5049D">
      <w:pPr>
        <w:jc w:val="both"/>
      </w:pPr>
      <w:r w:rsidRPr="00D5049D">
        <w:rPr>
          <w:b/>
          <w:bCs/>
          <w:i/>
          <w:iCs/>
        </w:rPr>
        <w:t>A continuación, debemos conseguir los incentivos adecuados.</w:t>
      </w:r>
    </w:p>
    <w:p w14:paraId="779DC414" w14:textId="77777777" w:rsidR="00D5049D" w:rsidRPr="00D5049D" w:rsidRDefault="00D5049D" w:rsidP="00D5049D">
      <w:pPr>
        <w:jc w:val="both"/>
      </w:pPr>
      <w:r w:rsidRPr="00D5049D">
        <w:rPr>
          <w:b/>
          <w:bCs/>
          <w:i/>
          <w:iCs/>
        </w:rPr>
        <w:t>Para movilizar financiación privada que apoye la eliminación progresiva del carbón, debemos mejorar la viabilidad económica del proyecto.</w:t>
      </w:r>
    </w:p>
    <w:p w14:paraId="7A783E1B" w14:textId="77777777" w:rsidR="00D5049D" w:rsidRPr="00D5049D" w:rsidRDefault="00D5049D" w:rsidP="00D5049D">
      <w:pPr>
        <w:numPr>
          <w:ilvl w:val="0"/>
          <w:numId w:val="17"/>
        </w:numPr>
        <w:jc w:val="both"/>
      </w:pPr>
      <w:r w:rsidRPr="00D5049D">
        <w:t>El retiro anticipado de las plantas de carbón significa una pérdida de ingresos para los propietarios de las plantas y sus financistas.</w:t>
      </w:r>
    </w:p>
    <w:p w14:paraId="71F381F9" w14:textId="77777777" w:rsidR="00D5049D" w:rsidRPr="00D5049D" w:rsidRDefault="00D5049D" w:rsidP="00D5049D">
      <w:pPr>
        <w:numPr>
          <w:ilvl w:val="0"/>
          <w:numId w:val="17"/>
        </w:numPr>
        <w:jc w:val="both"/>
      </w:pPr>
      <w:r w:rsidRPr="00D5049D">
        <w:t>Si podemos generar créditos de carbono de alta integridad a partir de las futuras reducciones de emisiones a partir de la jubilación anticipada de la planta, los ingresos de la venta de estos créditos podrían proporcionar a los propietarios y financistas de la planta el incentivo necesario.</w:t>
      </w:r>
    </w:p>
    <w:p w14:paraId="25CE2A84" w14:textId="77777777" w:rsidR="00D5049D" w:rsidRPr="00D5049D" w:rsidRDefault="00D5049D" w:rsidP="00D5049D">
      <w:pPr>
        <w:jc w:val="both"/>
      </w:pPr>
      <w:r w:rsidRPr="00D5049D">
        <w:rPr>
          <w:b/>
          <w:bCs/>
          <w:i/>
          <w:iCs/>
        </w:rPr>
        <w:t>MAS y McKinsey publicaron un documento de trabajo sobre el uso de créditos de carbono de alta integridad para complementar el financiamiento para la eliminación gradual del carbón.</w:t>
      </w:r>
    </w:p>
    <w:p w14:paraId="7141C392" w14:textId="77777777" w:rsidR="00D5049D" w:rsidRPr="00D5049D" w:rsidRDefault="00D5049D" w:rsidP="00D5049D">
      <w:pPr>
        <w:numPr>
          <w:ilvl w:val="0"/>
          <w:numId w:val="18"/>
        </w:numPr>
        <w:jc w:val="both"/>
      </w:pPr>
      <w:r w:rsidRPr="00D5049D">
        <w:t>Los llamamos "créditos de transición".</w:t>
      </w:r>
    </w:p>
    <w:p w14:paraId="02F8AC08" w14:textId="77777777" w:rsidR="00D5049D" w:rsidRPr="00D5049D" w:rsidRDefault="00D5049D" w:rsidP="00D5049D">
      <w:pPr>
        <w:numPr>
          <w:ilvl w:val="0"/>
          <w:numId w:val="18"/>
        </w:numPr>
        <w:jc w:val="both"/>
      </w:pPr>
      <w:r w:rsidRPr="00D5049D">
        <w:t>El documento establece las condiciones para generar créditos de transición y para desarrollar un mercado de alta calidad para intercambiar los créditos.</w:t>
      </w:r>
    </w:p>
    <w:p w14:paraId="18EC6947" w14:textId="77777777" w:rsidR="00D5049D" w:rsidRPr="00D5049D" w:rsidRDefault="00D5049D" w:rsidP="00D5049D">
      <w:pPr>
        <w:jc w:val="both"/>
      </w:pPr>
      <w:r w:rsidRPr="00D5049D">
        <w:rPr>
          <w:b/>
          <w:bCs/>
          <w:i/>
          <w:iCs/>
        </w:rPr>
        <w:t>Es una idea innovadora, pero no exenta de desafíos de implementación.</w:t>
      </w:r>
    </w:p>
    <w:p w14:paraId="408F8F61" w14:textId="77777777" w:rsidR="00D5049D" w:rsidRPr="00D5049D" w:rsidRDefault="00D5049D" w:rsidP="00D5049D">
      <w:pPr>
        <w:numPr>
          <w:ilvl w:val="0"/>
          <w:numId w:val="19"/>
        </w:numPr>
        <w:jc w:val="both"/>
      </w:pPr>
      <w:r w:rsidRPr="00D5049D">
        <w:t>Al igual que con todos los créditos de carbono, habrá preocupaciones sobre la integridad.</w:t>
      </w:r>
    </w:p>
    <w:p w14:paraId="5E7C4AC3" w14:textId="77777777" w:rsidR="00D5049D" w:rsidRPr="00D5049D" w:rsidRDefault="00D5049D" w:rsidP="00D5049D">
      <w:pPr>
        <w:numPr>
          <w:ilvl w:val="0"/>
          <w:numId w:val="19"/>
        </w:numPr>
        <w:jc w:val="both"/>
      </w:pPr>
      <w:r w:rsidRPr="00D5049D">
        <w:t>Será difícil garantizar que las emisiones se reduzcan de forma permanente y que el cierre de una central de carbón no provoque la entrada en funcionamiento de otra.</w:t>
      </w:r>
    </w:p>
    <w:p w14:paraId="614D0277" w14:textId="77777777" w:rsidR="00D5049D" w:rsidRPr="00D5049D" w:rsidRDefault="00D5049D" w:rsidP="00D5049D">
      <w:pPr>
        <w:numPr>
          <w:ilvl w:val="0"/>
          <w:numId w:val="19"/>
        </w:numPr>
        <w:jc w:val="both"/>
      </w:pPr>
      <w:r w:rsidRPr="00D5049D">
        <w:t>Pero es importante que pongamos a prueba estas ideas para encontrar soluciones a los desafíos.</w:t>
      </w:r>
    </w:p>
    <w:p w14:paraId="62647116" w14:textId="77777777" w:rsidR="00D5049D" w:rsidRPr="00D5049D" w:rsidRDefault="00D5049D" w:rsidP="00D5049D">
      <w:pPr>
        <w:jc w:val="both"/>
      </w:pPr>
      <w:r w:rsidRPr="00D5049D">
        <w:rPr>
          <w:b/>
          <w:bCs/>
          <w:i/>
          <w:iCs/>
        </w:rPr>
        <w:t>Me complace compartir que MAS está lanzando hoy una Coalición de Créditos de Transición, o TRACTION para abreviar.</w:t>
      </w:r>
    </w:p>
    <w:p w14:paraId="42533B60" w14:textId="77777777" w:rsidR="00D5049D" w:rsidRPr="00D5049D" w:rsidRDefault="00D5049D" w:rsidP="00D5049D">
      <w:pPr>
        <w:numPr>
          <w:ilvl w:val="0"/>
          <w:numId w:val="20"/>
        </w:numPr>
        <w:jc w:val="both"/>
      </w:pPr>
      <w:r w:rsidRPr="00D5049D">
        <w:t>Se trata de una coalición de actores del ecosistema para ayudar a identificar barreras y posibles soluciones para desarrollar créditos de transición como una solución de mercado viable.</w:t>
      </w:r>
    </w:p>
    <w:p w14:paraId="0E199850" w14:textId="77777777" w:rsidR="00D5049D" w:rsidRPr="00D5049D" w:rsidRDefault="00D5049D" w:rsidP="00D5049D">
      <w:pPr>
        <w:numPr>
          <w:ilvl w:val="0"/>
          <w:numId w:val="20"/>
        </w:numPr>
        <w:jc w:val="both"/>
      </w:pPr>
      <w:r w:rsidRPr="00D5049D">
        <w:t>Cerca de 30 entidades de renombre se han unido a TRACTION. Esto incluye:</w:t>
      </w:r>
    </w:p>
    <w:p w14:paraId="06F4DEA7" w14:textId="77777777" w:rsidR="00D5049D" w:rsidRPr="00D5049D" w:rsidRDefault="00D5049D" w:rsidP="00D5049D">
      <w:pPr>
        <w:numPr>
          <w:ilvl w:val="1"/>
          <w:numId w:val="20"/>
        </w:numPr>
        <w:jc w:val="both"/>
      </w:pPr>
      <w:r w:rsidRPr="00D5049D">
        <w:t>bancos multilaterales de desarrollo como el Banco Asiático de Desarrollo (BAD) y el Organismo Multilateral de Garantía de Inversiones (OMGI);</w:t>
      </w:r>
    </w:p>
    <w:p w14:paraId="7B0E58DF" w14:textId="77777777" w:rsidR="00D5049D" w:rsidRPr="00D5049D" w:rsidRDefault="00D5049D" w:rsidP="00D5049D">
      <w:pPr>
        <w:numPr>
          <w:ilvl w:val="1"/>
          <w:numId w:val="20"/>
        </w:numPr>
        <w:jc w:val="both"/>
      </w:pPr>
      <w:r w:rsidRPr="00D5049D">
        <w:t>los que establecen estándares de créditos de carbono, como Gold Standard;</w:t>
      </w:r>
    </w:p>
    <w:p w14:paraId="707469A8" w14:textId="77777777" w:rsidR="00D5049D" w:rsidRPr="00D5049D" w:rsidRDefault="00D5049D" w:rsidP="00D5049D">
      <w:pPr>
        <w:numPr>
          <w:ilvl w:val="1"/>
          <w:numId w:val="20"/>
        </w:numPr>
        <w:jc w:val="both"/>
      </w:pPr>
      <w:r w:rsidRPr="00D5049D">
        <w:lastRenderedPageBreak/>
        <w:t>coaliciones de la industria como la Glasgow Financial Alliance for Net Zero (GFANZ);</w:t>
      </w:r>
    </w:p>
    <w:p w14:paraId="3D063B9B" w14:textId="77777777" w:rsidR="00D5049D" w:rsidRPr="00D5049D" w:rsidRDefault="00D5049D" w:rsidP="00D5049D">
      <w:pPr>
        <w:numPr>
          <w:ilvl w:val="1"/>
          <w:numId w:val="20"/>
        </w:numPr>
        <w:jc w:val="both"/>
      </w:pPr>
      <w:r w:rsidRPr="00D5049D">
        <w:t>ONG ambientalistas como el Fondo Mundial para la Naturaleza (WWF) de Singapur;</w:t>
      </w:r>
    </w:p>
    <w:p w14:paraId="3329809A" w14:textId="77777777" w:rsidR="00D5049D" w:rsidRPr="00D5049D" w:rsidRDefault="00D5049D" w:rsidP="00D5049D">
      <w:pPr>
        <w:numPr>
          <w:ilvl w:val="1"/>
          <w:numId w:val="20"/>
        </w:numPr>
        <w:jc w:val="both"/>
      </w:pPr>
      <w:r w:rsidRPr="00D5049D">
        <w:t>expertos mundiales del sector energético como la Agencia Internacional de la Energía (AIE); y</w:t>
      </w:r>
    </w:p>
    <w:p w14:paraId="5A375EDF" w14:textId="77777777" w:rsidR="00D5049D" w:rsidRPr="00D5049D" w:rsidRDefault="00D5049D" w:rsidP="00D5049D">
      <w:pPr>
        <w:numPr>
          <w:ilvl w:val="1"/>
          <w:numId w:val="20"/>
        </w:numPr>
        <w:jc w:val="both"/>
      </w:pPr>
      <w:r w:rsidRPr="00D5049D">
        <w:t>una variedad de bancos y aseguradoras globales.</w:t>
      </w:r>
    </w:p>
    <w:p w14:paraId="193F836E" w14:textId="77777777" w:rsidR="00D5049D" w:rsidRPr="00D5049D" w:rsidRDefault="00D5049D" w:rsidP="00D5049D">
      <w:pPr>
        <w:numPr>
          <w:ilvl w:val="0"/>
          <w:numId w:val="20"/>
        </w:numPr>
        <w:jc w:val="both"/>
      </w:pPr>
      <w:r w:rsidRPr="00D5049D">
        <w:t>Mañana anunciaremos los pilotos de transición de crédito con varios socios.</w:t>
      </w:r>
    </w:p>
    <w:p w14:paraId="34A1D473" w14:textId="77777777" w:rsidR="00D5049D" w:rsidRPr="00D5049D" w:rsidRDefault="00D5049D" w:rsidP="00D5049D">
      <w:pPr>
        <w:jc w:val="both"/>
      </w:pPr>
      <w:r w:rsidRPr="00D5049D">
        <w:rPr>
          <w:b/>
          <w:bCs/>
          <w:i/>
          <w:iCs/>
        </w:rPr>
        <w:t>El gobierno de Singapur está dispuesto a aceptar créditos de transición siempre que cumplan con los estándares de integridad ambiental de Singapur.</w:t>
      </w:r>
    </w:p>
    <w:p w14:paraId="3F60102D" w14:textId="77777777" w:rsidR="00D5049D" w:rsidRPr="00D5049D" w:rsidRDefault="00D5049D" w:rsidP="00D5049D">
      <w:pPr>
        <w:numPr>
          <w:ilvl w:val="0"/>
          <w:numId w:val="21"/>
        </w:numPr>
        <w:jc w:val="both"/>
      </w:pPr>
      <w:r w:rsidRPr="00D5049D">
        <w:t>Esto significa que los créditos de transición elegibles pueden ser utilizados por las empresas sujetas al impuesto al carbono en Singapur para compensar hasta el 5% de sus obligaciones fiscales sobre el carbono.</w:t>
      </w:r>
    </w:p>
    <w:p w14:paraId="6359645D" w14:textId="77777777" w:rsidR="00D5049D" w:rsidRPr="00D5049D" w:rsidRDefault="00D5049D" w:rsidP="00D5049D">
      <w:pPr>
        <w:jc w:val="both"/>
      </w:pPr>
      <w:r w:rsidRPr="00D5049D">
        <w:t>Los créditos de carbono no están exentos de controversia y críticas, pero son una parte necesaria de la solución climática. En ausencia de precios del carbono, necesitamos créditos de carbono para proporcionar los incentivos adecuados para la descarbonización.</w:t>
      </w:r>
    </w:p>
    <w:p w14:paraId="776C31B4" w14:textId="77777777" w:rsidR="00D5049D" w:rsidRPr="00D5049D" w:rsidRDefault="00D5049D" w:rsidP="00D5049D">
      <w:pPr>
        <w:jc w:val="both"/>
        <w:rPr>
          <w:b/>
          <w:bCs/>
        </w:rPr>
      </w:pPr>
      <w:r w:rsidRPr="00D5049D">
        <w:rPr>
          <w:b/>
          <w:bCs/>
        </w:rPr>
        <w:t>Conseguir las ASOCIACIONES correctas</w:t>
      </w:r>
    </w:p>
    <w:p w14:paraId="0CBBB224" w14:textId="77777777" w:rsidR="00D5049D" w:rsidRPr="00D5049D" w:rsidRDefault="00D5049D" w:rsidP="00D5049D">
      <w:pPr>
        <w:jc w:val="both"/>
      </w:pPr>
      <w:r w:rsidRPr="00D5049D">
        <w:rPr>
          <w:b/>
          <w:bCs/>
          <w:i/>
          <w:iCs/>
        </w:rPr>
        <w:t>Por último, debemos acertar con las asociaciones.</w:t>
      </w:r>
    </w:p>
    <w:p w14:paraId="17ADCA59" w14:textId="77777777" w:rsidR="00D5049D" w:rsidRPr="00D5049D" w:rsidRDefault="00D5049D" w:rsidP="00D5049D">
      <w:pPr>
        <w:jc w:val="both"/>
      </w:pPr>
      <w:r w:rsidRPr="00D5049D">
        <w:rPr>
          <w:b/>
          <w:bCs/>
          <w:i/>
          <w:iCs/>
        </w:rPr>
        <w:t>Hay muchas razones por las que el capital no fluye hacia proyectos ecológicos y de transición.</w:t>
      </w:r>
    </w:p>
    <w:p w14:paraId="013885D0" w14:textId="77777777" w:rsidR="00D5049D" w:rsidRPr="00D5049D" w:rsidRDefault="00D5049D" w:rsidP="00D5049D">
      <w:pPr>
        <w:numPr>
          <w:ilvl w:val="0"/>
          <w:numId w:val="22"/>
        </w:numPr>
        <w:jc w:val="both"/>
      </w:pPr>
      <w:r w:rsidRPr="00D5049D">
        <w:t>No hay suficiente capacidad y experiencia para preparar y desarrollar proyectos hasta una etapa que sea financiable.</w:t>
      </w:r>
    </w:p>
    <w:p w14:paraId="707228FE" w14:textId="77777777" w:rsidR="00D5049D" w:rsidRPr="00D5049D" w:rsidRDefault="00D5049D" w:rsidP="00D5049D">
      <w:pPr>
        <w:numPr>
          <w:ilvl w:val="0"/>
          <w:numId w:val="22"/>
        </w:numPr>
        <w:jc w:val="both"/>
      </w:pPr>
      <w:r w:rsidRPr="00D5049D">
        <w:t>Existe un alto nivel de riesgo regulatorio y político, especialmente en las economías emergentes. También existe el riesgo cambiario.</w:t>
      </w:r>
    </w:p>
    <w:p w14:paraId="669B8D76" w14:textId="77777777" w:rsidR="00D5049D" w:rsidRPr="00D5049D" w:rsidRDefault="00D5049D" w:rsidP="00D5049D">
      <w:pPr>
        <w:numPr>
          <w:ilvl w:val="0"/>
          <w:numId w:val="22"/>
        </w:numPr>
        <w:jc w:val="both"/>
      </w:pPr>
      <w:r w:rsidRPr="00D5049D">
        <w:t>Las transacciones pueden enfrentar largos plazos de entrega para comenzar la construcción, con desafíos para obtener los permisos necesarios.</w:t>
      </w:r>
    </w:p>
    <w:p w14:paraId="788ED08A" w14:textId="77777777" w:rsidR="00D5049D" w:rsidRPr="00D5049D" w:rsidRDefault="00D5049D" w:rsidP="00D5049D">
      <w:pPr>
        <w:numPr>
          <w:ilvl w:val="0"/>
          <w:numId w:val="22"/>
        </w:numPr>
        <w:jc w:val="both"/>
      </w:pPr>
      <w:r w:rsidRPr="00D5049D">
        <w:t>En resumen, los riesgos en muchos de estos proyectos son demasiado altos en relación con los rendimientos esperados. Los proyectos no son del todo financiables.</w:t>
      </w:r>
    </w:p>
    <w:p w14:paraId="19E334D2" w14:textId="77777777" w:rsidR="00D5049D" w:rsidRPr="00D5049D" w:rsidRDefault="00D5049D" w:rsidP="00D5049D">
      <w:pPr>
        <w:jc w:val="both"/>
      </w:pPr>
      <w:r w:rsidRPr="00D5049D">
        <w:rPr>
          <w:b/>
          <w:bCs/>
          <w:i/>
          <w:iCs/>
        </w:rPr>
        <w:t>A fin de movilizar el capital necesario para proyectos ecológicos y de transición marginalmente financiables, necesitamos financiación combinada.</w:t>
      </w:r>
    </w:p>
    <w:p w14:paraId="3C6E2B57" w14:textId="77777777" w:rsidR="00D5049D" w:rsidRPr="00D5049D" w:rsidRDefault="00D5049D" w:rsidP="00D5049D">
      <w:pPr>
        <w:jc w:val="both"/>
      </w:pPr>
      <w:r w:rsidRPr="00D5049D">
        <w:rPr>
          <w:b/>
          <w:bCs/>
          <w:i/>
          <w:iCs/>
        </w:rPr>
        <w:t>La financiación combinada tiene que ver con la asociación y la sinergia entre múltiples actores.</w:t>
      </w:r>
    </w:p>
    <w:p w14:paraId="69817448" w14:textId="77777777" w:rsidR="00D5049D" w:rsidRPr="00D5049D" w:rsidRDefault="00D5049D" w:rsidP="00D5049D">
      <w:pPr>
        <w:numPr>
          <w:ilvl w:val="0"/>
          <w:numId w:val="23"/>
        </w:numPr>
        <w:jc w:val="both"/>
      </w:pPr>
      <w:r w:rsidRPr="00D5049D">
        <w:t>Los gobiernos, las instituciones financieras de desarrollo y las organizaciones filantrópicas podrían proporcionar capital en condiciones favorables, en forma de donaciones, garantías limitadas y deuda o capital a tasas de rendimiento inferiores a las del mercado.</w:t>
      </w:r>
    </w:p>
    <w:p w14:paraId="2656D988" w14:textId="77777777" w:rsidR="00D5049D" w:rsidRPr="00D5049D" w:rsidRDefault="00D5049D" w:rsidP="00D5049D">
      <w:pPr>
        <w:numPr>
          <w:ilvl w:val="0"/>
          <w:numId w:val="23"/>
        </w:numPr>
        <w:jc w:val="both"/>
      </w:pPr>
      <w:r w:rsidRPr="00D5049D">
        <w:t>Los bancos multilaterales de desarrollo pueden proporcionar asistencia técnica, en forma de experiencia en el desarrollo de proyectos, creación de capacidad y apoyo institucional.</w:t>
      </w:r>
    </w:p>
    <w:p w14:paraId="6CE3F50B" w14:textId="77777777" w:rsidR="00D5049D" w:rsidRPr="00D5049D" w:rsidRDefault="00D5049D" w:rsidP="00D5049D">
      <w:pPr>
        <w:numPr>
          <w:ilvl w:val="0"/>
          <w:numId w:val="23"/>
        </w:numPr>
        <w:jc w:val="both"/>
      </w:pPr>
      <w:r w:rsidRPr="00D5049D">
        <w:lastRenderedPageBreak/>
        <w:t>Esta combinación de capital concesionario y asistencia técnica reducirá el riesgo del proyecto y mejorará la bancabilidad.</w:t>
      </w:r>
    </w:p>
    <w:p w14:paraId="003CA182" w14:textId="77777777" w:rsidR="00D5049D" w:rsidRPr="00D5049D" w:rsidRDefault="00D5049D" w:rsidP="00D5049D">
      <w:pPr>
        <w:numPr>
          <w:ilvl w:val="0"/>
          <w:numId w:val="23"/>
        </w:numPr>
        <w:jc w:val="both"/>
      </w:pPr>
      <w:r w:rsidRPr="00D5049D">
        <w:t>Esto, a su vez, puede catalizar múltiplos de capital comercial privado para financiar estos proyectos de transición.</w:t>
      </w:r>
    </w:p>
    <w:p w14:paraId="310CAB1B" w14:textId="77777777" w:rsidR="00D5049D" w:rsidRPr="00D5049D" w:rsidRDefault="00D5049D" w:rsidP="00D5049D">
      <w:pPr>
        <w:numPr>
          <w:ilvl w:val="0"/>
          <w:numId w:val="23"/>
        </w:numPr>
        <w:jc w:val="both"/>
      </w:pPr>
      <w:r w:rsidRPr="00D5049D">
        <w:t>Por lo general, los bancos proporcionarán los préstamos de transición, pero es probable que los eliminen de sus balances estructurándolos de una forma en la que puedan invertir los inversores institucionales, los fondos de pensiones y las compañías de seguros.</w:t>
      </w:r>
    </w:p>
    <w:p w14:paraId="4E0CEB19" w14:textId="77777777" w:rsidR="00D5049D" w:rsidRPr="00D5049D" w:rsidRDefault="00D5049D" w:rsidP="00D5049D">
      <w:pPr>
        <w:jc w:val="both"/>
      </w:pPr>
      <w:r w:rsidRPr="00D5049D">
        <w:rPr>
          <w:b/>
          <w:bCs/>
          <w:i/>
          <w:iCs/>
        </w:rPr>
        <w:t>Estas asociaciones público-privadas serán clave para la financiación de la transición, no solo para la eliminación gradual del carbón, sino también para la infraestructura de energía verde.</w:t>
      </w:r>
    </w:p>
    <w:p w14:paraId="60A40076" w14:textId="77777777" w:rsidR="00D5049D" w:rsidRPr="00D5049D" w:rsidRDefault="00D5049D" w:rsidP="00D5049D">
      <w:pPr>
        <w:jc w:val="both"/>
      </w:pPr>
      <w:r w:rsidRPr="00D5049D">
        <w:rPr>
          <w:b/>
          <w:bCs/>
          <w:i/>
          <w:iCs/>
        </w:rPr>
        <w:t>Singapur está creando una plataforma de financiación mixta llamada Financing Asia's Transition Partnership, o FAST-P para abreviar, con un tamaño de fondo objetivo de 5.000 millones de dólares.</w:t>
      </w:r>
    </w:p>
    <w:p w14:paraId="0EB29BAB" w14:textId="77777777" w:rsidR="00D5049D" w:rsidRPr="00D5049D" w:rsidRDefault="00D5049D" w:rsidP="00D5049D">
      <w:pPr>
        <w:numPr>
          <w:ilvl w:val="0"/>
          <w:numId w:val="24"/>
        </w:numPr>
        <w:jc w:val="both"/>
      </w:pPr>
      <w:r w:rsidRPr="00D5049D">
        <w:t>MAS está negociando con bancos multilaterales de desarrollo, instituciones financieras de desarrollo y organizaciones filantrópicas para movilizar una base de capital concesional para esta plataforma.</w:t>
      </w:r>
    </w:p>
    <w:p w14:paraId="750A98B4" w14:textId="6303390C" w:rsidR="00D5049D" w:rsidRPr="00D5049D" w:rsidRDefault="00D5049D" w:rsidP="00D5049D">
      <w:pPr>
        <w:numPr>
          <w:ilvl w:val="0"/>
          <w:numId w:val="24"/>
        </w:numPr>
        <w:jc w:val="both"/>
      </w:pPr>
      <w:r w:rsidRPr="00D5049D">
        <w:t xml:space="preserve">Como anunció anteriormente el </w:t>
      </w:r>
      <w:r w:rsidR="00564AD7" w:rsidRPr="00D5049D">
        <w:t>ministro</w:t>
      </w:r>
      <w:r w:rsidRPr="00D5049D">
        <w:t xml:space="preserve"> Principal Teo Chee Hean, el Gobierno de Singapur está dispuesto a aportar capital en condiciones favorables para apoyar la asociación.</w:t>
      </w:r>
    </w:p>
    <w:p w14:paraId="32912A53" w14:textId="77777777" w:rsidR="00D5049D" w:rsidRPr="00D5049D" w:rsidRDefault="00D5049D" w:rsidP="00D5049D">
      <w:pPr>
        <w:numPr>
          <w:ilvl w:val="0"/>
          <w:numId w:val="24"/>
        </w:numPr>
        <w:jc w:val="both"/>
      </w:pPr>
      <w:r w:rsidRPr="00D5049D">
        <w:t>Sobre la base del capital concesional que se está reuniendo, también estamos llegando a muchos bancos e inversores institucionales para que aporten capital comercial.</w:t>
      </w:r>
    </w:p>
    <w:p w14:paraId="06119297" w14:textId="77777777" w:rsidR="00D5049D" w:rsidRPr="00D5049D" w:rsidRDefault="00D5049D" w:rsidP="00D5049D">
      <w:pPr>
        <w:numPr>
          <w:ilvl w:val="0"/>
          <w:numId w:val="24"/>
        </w:numPr>
        <w:jc w:val="both"/>
      </w:pPr>
      <w:r w:rsidRPr="00D5049D">
        <w:t>Nuestro objetivo es movilizar hasta 5.000 millones de dólares en total bajo la plataforma FAST-P.</w:t>
      </w:r>
    </w:p>
    <w:p w14:paraId="6B315590" w14:textId="77777777" w:rsidR="00D5049D" w:rsidRPr="00D5049D" w:rsidRDefault="00D5049D" w:rsidP="00D5049D">
      <w:pPr>
        <w:jc w:val="both"/>
      </w:pPr>
      <w:r w:rsidRPr="00D5049D">
        <w:rPr>
          <w:b/>
          <w:bCs/>
          <w:i/>
          <w:iCs/>
        </w:rPr>
        <w:t>FAST-P se centrará en tres áreas clave de inversiones ecológicas y de transición que son más pertinentes en la región asiática.</w:t>
      </w:r>
    </w:p>
    <w:p w14:paraId="5EAC63AE" w14:textId="77777777" w:rsidR="00D5049D" w:rsidRPr="00D5049D" w:rsidRDefault="00D5049D" w:rsidP="00D5049D">
      <w:pPr>
        <w:numPr>
          <w:ilvl w:val="0"/>
          <w:numId w:val="25"/>
        </w:numPr>
        <w:jc w:val="both"/>
      </w:pPr>
      <w:r w:rsidRPr="00D5049D">
        <w:t>El tema de la aceleración de la transición energética abarcará proyectos de transición como la eliminación gradual controlada del carbón junto con la sustitución de las energías renovables.</w:t>
      </w:r>
    </w:p>
    <w:p w14:paraId="1678F97B" w14:textId="77777777" w:rsidR="00D5049D" w:rsidRPr="00D5049D" w:rsidRDefault="00D5049D" w:rsidP="00D5049D">
      <w:pPr>
        <w:numPr>
          <w:ilvl w:val="0"/>
          <w:numId w:val="25"/>
        </w:numPr>
        <w:jc w:val="both"/>
      </w:pPr>
      <w:r w:rsidRPr="00D5049D">
        <w:t>El tema de </w:t>
      </w:r>
      <w:r w:rsidRPr="00D5049D">
        <w:rPr>
          <w:i/>
          <w:iCs/>
        </w:rPr>
        <w:t>Inversiones Verdes</w:t>
      </w:r>
      <w:r w:rsidRPr="00D5049D">
        <w:t> invertirá en proyectos que involucren tecnologías maduras, como el escalado de energías renovables, la modernización de la red y la infraestructura de vehículos eléctricos.</w:t>
      </w:r>
    </w:p>
    <w:p w14:paraId="3A07B368" w14:textId="77777777" w:rsidR="00D5049D" w:rsidRPr="00D5049D" w:rsidRDefault="00D5049D" w:rsidP="00D5049D">
      <w:pPr>
        <w:numPr>
          <w:ilvl w:val="0"/>
          <w:numId w:val="25"/>
        </w:numPr>
        <w:jc w:val="both"/>
      </w:pPr>
      <w:r w:rsidRPr="00D5049D">
        <w:t>El tema de las tecnologías limpias se centrará en las </w:t>
      </w:r>
      <w:r w:rsidRPr="00D5049D">
        <w:rPr>
          <w:i/>
          <w:iCs/>
        </w:rPr>
        <w:t>tecnologías ecológicas</w:t>
      </w:r>
      <w:r w:rsidRPr="00D5049D">
        <w:t> emergentes que se están poniendo a prueba, como el uso del hidrógeno y la captura, utilización y almacenamiento de carbono.</w:t>
      </w:r>
    </w:p>
    <w:p w14:paraId="547A80CF" w14:textId="77777777" w:rsidR="00D5049D" w:rsidRPr="00D5049D" w:rsidRDefault="00D5049D" w:rsidP="00D5049D">
      <w:pPr>
        <w:numPr>
          <w:ilvl w:val="0"/>
          <w:numId w:val="25"/>
        </w:numPr>
        <w:jc w:val="both"/>
      </w:pPr>
      <w:r w:rsidRPr="00D5049D">
        <w:t>Los financistas e inversores formarán asociaciones, gestionadas por un gestor de activos, con objetivos de inversión e impacto específicos para cada tema de inversión.</w:t>
      </w:r>
    </w:p>
    <w:p w14:paraId="46E02910" w14:textId="77777777" w:rsidR="00564AD7" w:rsidRDefault="00564AD7" w:rsidP="00D5049D">
      <w:pPr>
        <w:jc w:val="both"/>
        <w:rPr>
          <w:b/>
          <w:bCs/>
          <w:i/>
          <w:iCs/>
        </w:rPr>
      </w:pPr>
    </w:p>
    <w:p w14:paraId="7AAC71D8" w14:textId="0DB07E0B" w:rsidR="00D5049D" w:rsidRPr="00D5049D" w:rsidRDefault="00D5049D" w:rsidP="00D5049D">
      <w:pPr>
        <w:jc w:val="both"/>
      </w:pPr>
      <w:r w:rsidRPr="00D5049D">
        <w:rPr>
          <w:b/>
          <w:bCs/>
          <w:i/>
          <w:iCs/>
        </w:rPr>
        <w:lastRenderedPageBreak/>
        <w:t>Me complace compartir que hemos formado asociaciones con jugadores de renombre con ideas afines para dos de los tres temas de inversión.</w:t>
      </w:r>
    </w:p>
    <w:p w14:paraId="449853D8" w14:textId="77777777" w:rsidR="00D5049D" w:rsidRPr="00D5049D" w:rsidRDefault="00D5049D" w:rsidP="00D5049D">
      <w:pPr>
        <w:numPr>
          <w:ilvl w:val="0"/>
          <w:numId w:val="26"/>
        </w:numPr>
        <w:jc w:val="both"/>
      </w:pPr>
      <w:r w:rsidRPr="00D5049D">
        <w:t>MAS ha firmado un memorando de entendimiento con Allied Climate Partners, la Corporación Financiera Internacional y Temasek Holdings sobre una Asociación de Inversiones Verdes.</w:t>
      </w:r>
    </w:p>
    <w:p w14:paraId="22D5605C" w14:textId="77777777" w:rsidR="00D5049D" w:rsidRPr="00D5049D" w:rsidRDefault="00D5049D" w:rsidP="00D5049D">
      <w:pPr>
        <w:numPr>
          <w:ilvl w:val="0"/>
          <w:numId w:val="26"/>
        </w:numPr>
        <w:jc w:val="both"/>
      </w:pPr>
      <w:r w:rsidRPr="00D5049D">
        <w:t>Dentro de dos días firmaremos un memorando de entendimiento con el Banco Asiático de Desarrollo y la Alianza Global de Energía para las Personas y el Planeta (GEAPP), que cuenta con el respaldo de la Fundación Rockefeller, el Fondo Bezos para la Tierra y la Fundación IKEA, sobre la Asociación para la Aceleración de la Transición Energética.</w:t>
      </w:r>
    </w:p>
    <w:p w14:paraId="6EDE698F" w14:textId="77777777" w:rsidR="00D5049D" w:rsidRPr="00D5049D" w:rsidRDefault="00D5049D" w:rsidP="00D5049D">
      <w:pPr>
        <w:jc w:val="both"/>
        <w:rPr>
          <w:b/>
          <w:bCs/>
        </w:rPr>
      </w:pPr>
      <w:r w:rsidRPr="00D5049D">
        <w:rPr>
          <w:b/>
          <w:bCs/>
        </w:rPr>
        <w:t>Conclusión</w:t>
      </w:r>
    </w:p>
    <w:p w14:paraId="65847F5E" w14:textId="77777777" w:rsidR="00D5049D" w:rsidRPr="00D5049D" w:rsidRDefault="00D5049D" w:rsidP="00D5049D">
      <w:pPr>
        <w:jc w:val="both"/>
      </w:pPr>
      <w:r w:rsidRPr="00D5049D">
        <w:t>Permítanme concluir.</w:t>
      </w:r>
    </w:p>
    <w:p w14:paraId="2717330F" w14:textId="77777777" w:rsidR="00D5049D" w:rsidRPr="00D5049D" w:rsidRDefault="00D5049D" w:rsidP="00D5049D">
      <w:pPr>
        <w:jc w:val="both"/>
      </w:pPr>
      <w:r w:rsidRPr="00D5049D">
        <w:t>Tenemos que actuar con rapidez y tenemos que actuar juntos.</w:t>
      </w:r>
    </w:p>
    <w:p w14:paraId="400E8E3B" w14:textId="77777777" w:rsidR="00D5049D" w:rsidRPr="00D5049D" w:rsidRDefault="00D5049D" w:rsidP="00D5049D">
      <w:pPr>
        <w:jc w:val="both"/>
      </w:pPr>
      <w:r w:rsidRPr="00D5049D">
        <w:t>En los 250 años transcurridos desde la Revolución Industrial, el mundo ha construido una estructura industrial, un paisaje urbano y unos modos de transporte altamente intensivos en carbono y energía. Ahora tenemos menos de 25 años para reestructurar fundamentalmente las economías y las sociedades para alcanzar las cero emisiones netas. Tenemos que actuar con rapidez.</w:t>
      </w:r>
    </w:p>
    <w:p w14:paraId="097347BA" w14:textId="77777777" w:rsidR="00D5049D" w:rsidRPr="00D5049D" w:rsidRDefault="00D5049D" w:rsidP="00D5049D">
      <w:pPr>
        <w:jc w:val="both"/>
      </w:pPr>
      <w:r w:rsidRPr="00D5049D">
        <w:t>Las finanzas públicas de todo el mundo se encuentran en condiciones de tensión. Hay un amplio capital privado en el mundo -unos 400 billones de dólares en activos bajo gestión-, pero muy poco se destina al esfuerzo de transición a cero emisiones netas. Solo mediante la sinergia entre el poder catalizador del capital público y la abundancia de capital privado podremos conseguir una financiación adecuada para la transición. Tenemos que actuar juntos.</w:t>
      </w:r>
    </w:p>
    <w:p w14:paraId="26935954" w14:textId="77777777" w:rsidR="00D5049D" w:rsidRPr="00D5049D" w:rsidRDefault="00D5049D" w:rsidP="00D5049D">
      <w:pPr>
        <w:jc w:val="both"/>
      </w:pPr>
      <w:r w:rsidRPr="00D5049D">
        <w:t>Por lo tanto, actúen rápido y actúen juntos.</w:t>
      </w:r>
    </w:p>
    <w:p w14:paraId="7DD6AC2D" w14:textId="77777777" w:rsidR="00D5049D" w:rsidRPr="00D5049D" w:rsidRDefault="00D5049D" w:rsidP="00D5049D">
      <w:pPr>
        <w:jc w:val="both"/>
      </w:pPr>
      <w:r w:rsidRPr="00D5049D">
        <w:t>Gracias y les deseo un día fructífero en el Pabellón de Singapur.</w:t>
      </w:r>
    </w:p>
    <w:p w14:paraId="7CA3B535" w14:textId="6E8589E1" w:rsidR="00D5049D" w:rsidRPr="00D5049D" w:rsidRDefault="00D5049D" w:rsidP="00D5049D">
      <w:pPr>
        <w:jc w:val="both"/>
        <w:rPr>
          <w:rStyle w:val="Hipervnculo"/>
        </w:rPr>
      </w:pPr>
      <w:r w:rsidRPr="00D5049D">
        <w:rPr>
          <w:b/>
          <w:bCs/>
        </w:rPr>
        <w:t>Sobre el autor</w:t>
      </w:r>
      <w:r w:rsidRPr="00D5049D">
        <w:fldChar w:fldCharType="begin"/>
      </w:r>
      <w:r w:rsidRPr="00D5049D">
        <w:instrText xml:space="preserve"> HYPERLINK "https://www.bis.org/author/ravi_menon.htm" </w:instrText>
      </w:r>
      <w:r w:rsidRPr="00D5049D">
        <w:fldChar w:fldCharType="separate"/>
      </w:r>
    </w:p>
    <w:p w14:paraId="2F6BA9FE" w14:textId="77777777" w:rsidR="00D5049D" w:rsidRPr="00D5049D" w:rsidRDefault="00D5049D" w:rsidP="00564AD7">
      <w:pPr>
        <w:spacing w:after="0"/>
        <w:jc w:val="both"/>
        <w:rPr>
          <w:rStyle w:val="Hipervnculo"/>
          <w:b/>
          <w:bCs/>
        </w:rPr>
      </w:pPr>
      <w:r w:rsidRPr="00D5049D">
        <w:rPr>
          <w:rStyle w:val="Hipervnculo"/>
          <w:b/>
          <w:bCs/>
        </w:rPr>
        <w:t>Ravi Menon</w:t>
      </w:r>
    </w:p>
    <w:p w14:paraId="506532F0" w14:textId="77777777" w:rsidR="00D5049D" w:rsidRPr="00D5049D" w:rsidRDefault="00D5049D" w:rsidP="00D5049D">
      <w:pPr>
        <w:jc w:val="both"/>
        <w:rPr>
          <w:rStyle w:val="Hipervnculo"/>
        </w:rPr>
      </w:pPr>
      <w:r w:rsidRPr="00D5049D">
        <w:rPr>
          <w:rStyle w:val="Hipervnculo"/>
        </w:rPr>
        <w:t>Más de este autor</w:t>
      </w:r>
    </w:p>
    <w:p w14:paraId="60FF8CC1" w14:textId="20942614" w:rsidR="00D5049D" w:rsidRPr="00D5049D" w:rsidRDefault="00D5049D" w:rsidP="00564AD7">
      <w:pPr>
        <w:jc w:val="both"/>
        <w:rPr>
          <w:b/>
          <w:bCs/>
        </w:rPr>
      </w:pPr>
      <w:r w:rsidRPr="00D5049D">
        <w:fldChar w:fldCharType="end"/>
      </w:r>
      <w:r w:rsidRPr="00D5049D">
        <w:rPr>
          <w:b/>
          <w:bCs/>
        </w:rPr>
        <w:t>Información relacionada</w:t>
      </w:r>
    </w:p>
    <w:p w14:paraId="46C7A2ED" w14:textId="6B102B40" w:rsidR="00D5049D" w:rsidRPr="00D5049D" w:rsidRDefault="005742FD" w:rsidP="00564AD7">
      <w:pPr>
        <w:numPr>
          <w:ilvl w:val="0"/>
          <w:numId w:val="27"/>
        </w:numPr>
        <w:spacing w:after="0"/>
      </w:pPr>
      <w:hyperlink r:id="rId7" w:history="1">
        <w:r w:rsidR="00D5049D" w:rsidRPr="00D5049D">
          <w:rPr>
            <w:rStyle w:val="Hipervnculo"/>
          </w:rPr>
          <w:t>Más</w:t>
        </w:r>
        <w:r w:rsidR="00AA2D48">
          <w:rPr>
            <w:rStyle w:val="Hipervnculo"/>
          </w:rPr>
          <w:t xml:space="preserve"> </w:t>
        </w:r>
        <w:r w:rsidR="00D5049D" w:rsidRPr="00D5049D">
          <w:rPr>
            <w:rStyle w:val="Hipervnculo"/>
          </w:rPr>
          <w:t>discursos de "Autoridad Monetaria de Singapur"</w:t>
        </w:r>
      </w:hyperlink>
    </w:p>
    <w:p w14:paraId="73C23DA1" w14:textId="77777777" w:rsidR="00D5049D" w:rsidRPr="00D5049D" w:rsidRDefault="005742FD" w:rsidP="00D5049D">
      <w:pPr>
        <w:numPr>
          <w:ilvl w:val="0"/>
          <w:numId w:val="28"/>
        </w:numPr>
      </w:pPr>
      <w:hyperlink r:id="rId8" w:history="1">
        <w:r w:rsidR="00D5049D" w:rsidRPr="00D5049D">
          <w:rPr>
            <w:rStyle w:val="Hipervnculo"/>
          </w:rPr>
          <w:t>Página del país: Singapur</w:t>
        </w:r>
      </w:hyperlink>
    </w:p>
    <w:p w14:paraId="3EBD6FE5" w14:textId="3BA2A374" w:rsidR="007F4882" w:rsidRDefault="007F4882"/>
    <w:p w14:paraId="69657500" w14:textId="77777777" w:rsidR="00564AD7" w:rsidRDefault="00564AD7"/>
    <w:sectPr w:rsidR="00564A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4DD"/>
    <w:multiLevelType w:val="multilevel"/>
    <w:tmpl w:val="3E9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A4059"/>
    <w:multiLevelType w:val="multilevel"/>
    <w:tmpl w:val="ABA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91E87"/>
    <w:multiLevelType w:val="multilevel"/>
    <w:tmpl w:val="A52A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363E7"/>
    <w:multiLevelType w:val="multilevel"/>
    <w:tmpl w:val="B8B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A157B"/>
    <w:multiLevelType w:val="multilevel"/>
    <w:tmpl w:val="7B3E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B1408"/>
    <w:multiLevelType w:val="multilevel"/>
    <w:tmpl w:val="5CD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64675"/>
    <w:multiLevelType w:val="multilevel"/>
    <w:tmpl w:val="87A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165DE"/>
    <w:multiLevelType w:val="multilevel"/>
    <w:tmpl w:val="669A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C0A25"/>
    <w:multiLevelType w:val="multilevel"/>
    <w:tmpl w:val="AF62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743E6"/>
    <w:multiLevelType w:val="multilevel"/>
    <w:tmpl w:val="2ACEA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8013F"/>
    <w:multiLevelType w:val="multilevel"/>
    <w:tmpl w:val="012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969C9"/>
    <w:multiLevelType w:val="multilevel"/>
    <w:tmpl w:val="4544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81502"/>
    <w:multiLevelType w:val="multilevel"/>
    <w:tmpl w:val="266A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014BA"/>
    <w:multiLevelType w:val="multilevel"/>
    <w:tmpl w:val="BFC8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3604B"/>
    <w:multiLevelType w:val="multilevel"/>
    <w:tmpl w:val="AFE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440E9"/>
    <w:multiLevelType w:val="multilevel"/>
    <w:tmpl w:val="C59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F427D"/>
    <w:multiLevelType w:val="multilevel"/>
    <w:tmpl w:val="DB40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C2B56"/>
    <w:multiLevelType w:val="multilevel"/>
    <w:tmpl w:val="8DC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B4E0D"/>
    <w:multiLevelType w:val="multilevel"/>
    <w:tmpl w:val="020C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8471A"/>
    <w:multiLevelType w:val="multilevel"/>
    <w:tmpl w:val="CBC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819A7"/>
    <w:multiLevelType w:val="multilevel"/>
    <w:tmpl w:val="B402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0264E"/>
    <w:multiLevelType w:val="multilevel"/>
    <w:tmpl w:val="7A0E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92C73"/>
    <w:multiLevelType w:val="multilevel"/>
    <w:tmpl w:val="D11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E51BB"/>
    <w:multiLevelType w:val="multilevel"/>
    <w:tmpl w:val="82F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F5D67"/>
    <w:multiLevelType w:val="multilevel"/>
    <w:tmpl w:val="FF6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D2FE6"/>
    <w:multiLevelType w:val="multilevel"/>
    <w:tmpl w:val="6E2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64C81"/>
    <w:multiLevelType w:val="multilevel"/>
    <w:tmpl w:val="8C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E2B2B"/>
    <w:multiLevelType w:val="multilevel"/>
    <w:tmpl w:val="A1082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4"/>
  </w:num>
  <w:num w:numId="4">
    <w:abstractNumId w:val="13"/>
  </w:num>
  <w:num w:numId="5">
    <w:abstractNumId w:val="14"/>
  </w:num>
  <w:num w:numId="6">
    <w:abstractNumId w:val="7"/>
  </w:num>
  <w:num w:numId="7">
    <w:abstractNumId w:val="19"/>
  </w:num>
  <w:num w:numId="8">
    <w:abstractNumId w:val="12"/>
  </w:num>
  <w:num w:numId="9">
    <w:abstractNumId w:val="6"/>
  </w:num>
  <w:num w:numId="10">
    <w:abstractNumId w:val="22"/>
  </w:num>
  <w:num w:numId="11">
    <w:abstractNumId w:val="20"/>
  </w:num>
  <w:num w:numId="12">
    <w:abstractNumId w:val="17"/>
  </w:num>
  <w:num w:numId="13">
    <w:abstractNumId w:val="2"/>
  </w:num>
  <w:num w:numId="14">
    <w:abstractNumId w:val="5"/>
  </w:num>
  <w:num w:numId="15">
    <w:abstractNumId w:val="15"/>
  </w:num>
  <w:num w:numId="16">
    <w:abstractNumId w:val="27"/>
  </w:num>
  <w:num w:numId="17">
    <w:abstractNumId w:val="25"/>
  </w:num>
  <w:num w:numId="18">
    <w:abstractNumId w:val="0"/>
  </w:num>
  <w:num w:numId="19">
    <w:abstractNumId w:val="11"/>
  </w:num>
  <w:num w:numId="20">
    <w:abstractNumId w:val="9"/>
  </w:num>
  <w:num w:numId="21">
    <w:abstractNumId w:val="3"/>
  </w:num>
  <w:num w:numId="22">
    <w:abstractNumId w:val="26"/>
  </w:num>
  <w:num w:numId="23">
    <w:abstractNumId w:val="23"/>
  </w:num>
  <w:num w:numId="24">
    <w:abstractNumId w:val="10"/>
  </w:num>
  <w:num w:numId="25">
    <w:abstractNumId w:val="18"/>
  </w:num>
  <w:num w:numId="26">
    <w:abstractNumId w:val="21"/>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9D"/>
    <w:rsid w:val="000D6A61"/>
    <w:rsid w:val="00564AD7"/>
    <w:rsid w:val="005742FD"/>
    <w:rsid w:val="007C261B"/>
    <w:rsid w:val="007F4882"/>
    <w:rsid w:val="00AA2D48"/>
    <w:rsid w:val="00D50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E368"/>
  <w15:chartTrackingRefBased/>
  <w15:docId w15:val="{B4341C0A-FC48-49B3-B7B2-B478330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049D"/>
    <w:rPr>
      <w:color w:val="0563C1" w:themeColor="hyperlink"/>
      <w:u w:val="single"/>
    </w:rPr>
  </w:style>
  <w:style w:type="character" w:styleId="Mencinsinresolver">
    <w:name w:val="Unresolved Mention"/>
    <w:basedOn w:val="Fuentedeprrafopredeter"/>
    <w:uiPriority w:val="99"/>
    <w:semiHidden/>
    <w:unhideWhenUsed/>
    <w:rsid w:val="00D5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13994">
      <w:bodyDiv w:val="1"/>
      <w:marLeft w:val="0"/>
      <w:marRight w:val="0"/>
      <w:marTop w:val="0"/>
      <w:marBottom w:val="0"/>
      <w:divBdr>
        <w:top w:val="none" w:sz="0" w:space="0" w:color="auto"/>
        <w:left w:val="none" w:sz="0" w:space="0" w:color="auto"/>
        <w:bottom w:val="none" w:sz="0" w:space="0" w:color="auto"/>
        <w:right w:val="none" w:sz="0" w:space="0" w:color="auto"/>
      </w:divBdr>
      <w:divsChild>
        <w:div w:id="1121264200">
          <w:marLeft w:val="0"/>
          <w:marRight w:val="0"/>
          <w:marTop w:val="0"/>
          <w:marBottom w:val="0"/>
          <w:divBdr>
            <w:top w:val="none" w:sz="0" w:space="0" w:color="auto"/>
            <w:left w:val="none" w:sz="0" w:space="0" w:color="auto"/>
            <w:bottom w:val="none" w:sz="0" w:space="0" w:color="auto"/>
            <w:right w:val="none" w:sz="0" w:space="0" w:color="auto"/>
          </w:divBdr>
        </w:div>
        <w:div w:id="1681082905">
          <w:marLeft w:val="0"/>
          <w:marRight w:val="0"/>
          <w:marTop w:val="0"/>
          <w:marBottom w:val="0"/>
          <w:divBdr>
            <w:top w:val="single" w:sz="18" w:space="15" w:color="AA332F"/>
            <w:left w:val="none" w:sz="0" w:space="0" w:color="auto"/>
            <w:bottom w:val="none" w:sz="0" w:space="0" w:color="auto"/>
            <w:right w:val="none" w:sz="0" w:space="0" w:color="auto"/>
          </w:divBdr>
          <w:divsChild>
            <w:div w:id="931158679">
              <w:marLeft w:val="0"/>
              <w:marRight w:val="0"/>
              <w:marTop w:val="0"/>
              <w:marBottom w:val="0"/>
              <w:divBdr>
                <w:top w:val="none" w:sz="0" w:space="0" w:color="auto"/>
                <w:left w:val="none" w:sz="0" w:space="0" w:color="auto"/>
                <w:bottom w:val="none" w:sz="0" w:space="0" w:color="auto"/>
                <w:right w:val="none" w:sz="0" w:space="0" w:color="auto"/>
              </w:divBdr>
              <w:divsChild>
                <w:div w:id="1317493577">
                  <w:marLeft w:val="0"/>
                  <w:marRight w:val="0"/>
                  <w:marTop w:val="0"/>
                  <w:marBottom w:val="0"/>
                  <w:divBdr>
                    <w:top w:val="none" w:sz="0" w:space="0" w:color="auto"/>
                    <w:left w:val="none" w:sz="0" w:space="0" w:color="auto"/>
                    <w:bottom w:val="none" w:sz="0" w:space="0" w:color="auto"/>
                    <w:right w:val="none" w:sz="0" w:space="0" w:color="auto"/>
                  </w:divBdr>
                  <w:divsChild>
                    <w:div w:id="1051346784">
                      <w:marLeft w:val="0"/>
                      <w:marRight w:val="0"/>
                      <w:marTop w:val="0"/>
                      <w:marBottom w:val="0"/>
                      <w:divBdr>
                        <w:top w:val="none" w:sz="0" w:space="0" w:color="auto"/>
                        <w:left w:val="none" w:sz="0" w:space="0" w:color="auto"/>
                        <w:bottom w:val="none" w:sz="0" w:space="0" w:color="auto"/>
                        <w:right w:val="none" w:sz="0" w:space="0" w:color="auto"/>
                      </w:divBdr>
                    </w:div>
                  </w:divsChild>
                </w:div>
                <w:div w:id="1729572487">
                  <w:marLeft w:val="0"/>
                  <w:marRight w:val="0"/>
                  <w:marTop w:val="0"/>
                  <w:marBottom w:val="0"/>
                  <w:divBdr>
                    <w:top w:val="none" w:sz="0" w:space="0" w:color="auto"/>
                    <w:left w:val="none" w:sz="0" w:space="0" w:color="auto"/>
                    <w:bottom w:val="none" w:sz="0" w:space="0" w:color="auto"/>
                    <w:right w:val="none" w:sz="0" w:space="0" w:color="auto"/>
                  </w:divBdr>
                  <w:divsChild>
                    <w:div w:id="308945812">
                      <w:marLeft w:val="0"/>
                      <w:marRight w:val="0"/>
                      <w:marTop w:val="0"/>
                      <w:marBottom w:val="0"/>
                      <w:divBdr>
                        <w:top w:val="none" w:sz="0" w:space="0" w:color="auto"/>
                        <w:left w:val="none" w:sz="0" w:space="0" w:color="auto"/>
                        <w:bottom w:val="none" w:sz="0" w:space="0" w:color="auto"/>
                        <w:right w:val="none" w:sz="0" w:space="0" w:color="auto"/>
                      </w:divBdr>
                    </w:div>
                  </w:divsChild>
                </w:div>
                <w:div w:id="116726664">
                  <w:marLeft w:val="0"/>
                  <w:marRight w:val="0"/>
                  <w:marTop w:val="0"/>
                  <w:marBottom w:val="0"/>
                  <w:divBdr>
                    <w:top w:val="none" w:sz="0" w:space="0" w:color="auto"/>
                    <w:left w:val="none" w:sz="0" w:space="0" w:color="auto"/>
                    <w:bottom w:val="none" w:sz="0" w:space="0" w:color="auto"/>
                    <w:right w:val="none" w:sz="0" w:space="0" w:color="auto"/>
                  </w:divBdr>
                  <w:divsChild>
                    <w:div w:id="20898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3748">
          <w:marLeft w:val="0"/>
          <w:marRight w:val="0"/>
          <w:marTop w:val="0"/>
          <w:marBottom w:val="0"/>
          <w:divBdr>
            <w:top w:val="none" w:sz="0" w:space="0" w:color="auto"/>
            <w:left w:val="none" w:sz="0" w:space="0" w:color="auto"/>
            <w:bottom w:val="none" w:sz="0" w:space="0" w:color="auto"/>
            <w:right w:val="none" w:sz="0" w:space="0" w:color="auto"/>
          </w:divBdr>
        </w:div>
        <w:div w:id="36929037">
          <w:marLeft w:val="0"/>
          <w:marRight w:val="0"/>
          <w:marTop w:val="600"/>
          <w:marBottom w:val="0"/>
          <w:divBdr>
            <w:top w:val="none" w:sz="0" w:space="0" w:color="auto"/>
            <w:left w:val="none" w:sz="0" w:space="0" w:color="auto"/>
            <w:bottom w:val="none" w:sz="0" w:space="0" w:color="auto"/>
            <w:right w:val="none" w:sz="0" w:space="0" w:color="auto"/>
          </w:divBdr>
          <w:divsChild>
            <w:div w:id="1112095876">
              <w:marLeft w:val="0"/>
              <w:marRight w:val="0"/>
              <w:marTop w:val="0"/>
              <w:marBottom w:val="0"/>
              <w:divBdr>
                <w:top w:val="none" w:sz="0" w:space="0" w:color="auto"/>
                <w:left w:val="none" w:sz="0" w:space="0" w:color="auto"/>
                <w:bottom w:val="none" w:sz="0" w:space="0" w:color="auto"/>
                <w:right w:val="none" w:sz="0" w:space="0" w:color="auto"/>
              </w:divBdr>
            </w:div>
            <w:div w:id="1847286964">
              <w:marLeft w:val="0"/>
              <w:marRight w:val="0"/>
              <w:marTop w:val="0"/>
              <w:marBottom w:val="0"/>
              <w:divBdr>
                <w:top w:val="none" w:sz="0" w:space="0" w:color="auto"/>
                <w:left w:val="none" w:sz="0" w:space="0" w:color="auto"/>
                <w:bottom w:val="none" w:sz="0" w:space="0" w:color="auto"/>
                <w:right w:val="none" w:sz="0" w:space="0" w:color="auto"/>
              </w:divBdr>
              <w:divsChild>
                <w:div w:id="1111706405">
                  <w:marLeft w:val="-450"/>
                  <w:marRight w:val="0"/>
                  <w:marTop w:val="0"/>
                  <w:marBottom w:val="450"/>
                  <w:divBdr>
                    <w:top w:val="none" w:sz="0" w:space="0" w:color="auto"/>
                    <w:left w:val="none" w:sz="0" w:space="0" w:color="auto"/>
                    <w:bottom w:val="none" w:sz="0" w:space="0" w:color="auto"/>
                    <w:right w:val="none" w:sz="0" w:space="0" w:color="auto"/>
                  </w:divBdr>
                  <w:divsChild>
                    <w:div w:id="432088849">
                      <w:marLeft w:val="0"/>
                      <w:marRight w:val="0"/>
                      <w:marTop w:val="0"/>
                      <w:marBottom w:val="0"/>
                      <w:divBdr>
                        <w:top w:val="none" w:sz="0" w:space="0" w:color="auto"/>
                        <w:left w:val="none" w:sz="0" w:space="0" w:color="auto"/>
                        <w:bottom w:val="none" w:sz="0" w:space="0" w:color="auto"/>
                        <w:right w:val="none" w:sz="0" w:space="0" w:color="auto"/>
                      </w:divBdr>
                      <w:divsChild>
                        <w:div w:id="24452199">
                          <w:marLeft w:val="0"/>
                          <w:marRight w:val="0"/>
                          <w:marTop w:val="0"/>
                          <w:marBottom w:val="0"/>
                          <w:divBdr>
                            <w:top w:val="none" w:sz="0" w:space="0" w:color="auto"/>
                            <w:left w:val="none" w:sz="0" w:space="0" w:color="auto"/>
                            <w:bottom w:val="none" w:sz="0" w:space="0" w:color="auto"/>
                            <w:right w:val="none" w:sz="0" w:space="0" w:color="auto"/>
                          </w:divBdr>
                          <w:divsChild>
                            <w:div w:id="17238863">
                              <w:marLeft w:val="0"/>
                              <w:marRight w:val="0"/>
                              <w:marTop w:val="0"/>
                              <w:marBottom w:val="0"/>
                              <w:divBdr>
                                <w:top w:val="none" w:sz="0" w:space="0" w:color="auto"/>
                                <w:left w:val="none" w:sz="0" w:space="0" w:color="auto"/>
                                <w:bottom w:val="none" w:sz="0" w:space="0" w:color="auto"/>
                                <w:right w:val="none" w:sz="0" w:space="0" w:color="auto"/>
                              </w:divBdr>
                            </w:div>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60568">
          <w:marLeft w:val="0"/>
          <w:marRight w:val="0"/>
          <w:marTop w:val="750"/>
          <w:marBottom w:val="0"/>
          <w:divBdr>
            <w:top w:val="single" w:sz="12" w:space="30" w:color="AA332F"/>
            <w:left w:val="none" w:sz="0" w:space="0" w:color="auto"/>
            <w:bottom w:val="none" w:sz="0" w:space="0" w:color="auto"/>
            <w:right w:val="none" w:sz="0" w:space="0" w:color="auto"/>
          </w:divBdr>
          <w:divsChild>
            <w:div w:id="843982762">
              <w:marLeft w:val="0"/>
              <w:marRight w:val="0"/>
              <w:marTop w:val="0"/>
              <w:marBottom w:val="0"/>
              <w:divBdr>
                <w:top w:val="none" w:sz="0" w:space="0" w:color="auto"/>
                <w:left w:val="none" w:sz="0" w:space="0" w:color="auto"/>
                <w:bottom w:val="none" w:sz="0" w:space="0" w:color="auto"/>
                <w:right w:val="none" w:sz="0" w:space="0" w:color="auto"/>
              </w:divBdr>
              <w:divsChild>
                <w:div w:id="57485392">
                  <w:marLeft w:val="0"/>
                  <w:marRight w:val="0"/>
                  <w:marTop w:val="0"/>
                  <w:marBottom w:val="0"/>
                  <w:divBdr>
                    <w:top w:val="none" w:sz="0" w:space="0" w:color="auto"/>
                    <w:left w:val="none" w:sz="0" w:space="0" w:color="auto"/>
                    <w:bottom w:val="none" w:sz="0" w:space="0" w:color="auto"/>
                    <w:right w:val="none" w:sz="0" w:space="0" w:color="auto"/>
                  </w:divBdr>
                </w:div>
                <w:div w:id="20057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country/SG.htm" TargetMode="External"/><Relationship Id="rId3" Type="http://schemas.openxmlformats.org/officeDocument/2006/relationships/settings" Target="settings.xml"/><Relationship Id="rId7" Type="http://schemas.openxmlformats.org/officeDocument/2006/relationships/hyperlink" Target="https://www.bis.org/cbspeeches/index.htm?cbspeeches_institutions=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review/r231205b.pdf" TargetMode="External"/><Relationship Id="rId5" Type="http://schemas.openxmlformats.org/officeDocument/2006/relationships/hyperlink" Target="https://www.bis.org/author/ravi_meno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3334</Words>
  <Characters>18343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2023-12-28T21:10:00Z</dcterms:created>
  <dcterms:modified xsi:type="dcterms:W3CDTF">2024-02-05T19:25:00Z</dcterms:modified>
</cp:coreProperties>
</file>