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181891" w14:textId="5727EE82" w:rsidR="008C069D" w:rsidRPr="005F3EAE" w:rsidRDefault="008C069D" w:rsidP="008C069D">
      <w:pPr>
        <w:rPr>
          <w:rFonts w:ascii="Arial Nova Cond" w:hAnsi="Arial Nova Cond"/>
          <w:sz w:val="28"/>
          <w:szCs w:val="28"/>
        </w:rPr>
      </w:pPr>
      <w:r w:rsidRPr="005F3EAE">
        <w:rPr>
          <w:rFonts w:ascii="Arial Nova Cond" w:hAnsi="Arial Nova Cond"/>
          <w:sz w:val="28"/>
          <w:szCs w:val="28"/>
        </w:rPr>
        <w:t>Cálculos 1.1 - Deshacerse del ruido</w:t>
      </w:r>
    </w:p>
    <w:p w14:paraId="03CB87C6" w14:textId="799C4CA3" w:rsidR="008C069D" w:rsidRPr="008C069D" w:rsidRDefault="008C069D" w:rsidP="008C069D">
      <w:r w:rsidRPr="008C069D">
        <w:rPr>
          <w:noProof/>
        </w:rPr>
        <w:drawing>
          <wp:inline distT="0" distB="0" distL="0" distR="0" wp14:anchorId="3266C81F" wp14:editId="48E44E4A">
            <wp:extent cx="5612130" cy="3741420"/>
            <wp:effectExtent l="0" t="0" r="762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12130" cy="3741420"/>
                    </a:xfrm>
                    <a:prstGeom prst="rect">
                      <a:avLst/>
                    </a:prstGeom>
                    <a:noFill/>
                    <a:ln>
                      <a:noFill/>
                    </a:ln>
                  </pic:spPr>
                </pic:pic>
              </a:graphicData>
            </a:graphic>
          </wp:inline>
        </w:drawing>
      </w:r>
    </w:p>
    <w:p w14:paraId="1A9EDBA1" w14:textId="018CD812" w:rsidR="000D644B" w:rsidRPr="008C069D" w:rsidRDefault="000D644B" w:rsidP="000D644B">
      <w:r w:rsidRPr="008C069D">
        <w:t>Publicado el 14 de enero de 2024 por</w:t>
      </w:r>
      <w:r>
        <w:t xml:space="preserve"> </w:t>
      </w:r>
      <w:hyperlink r:id="rId6" w:history="1">
        <w:r w:rsidRPr="008C069D">
          <w:rPr>
            <w:rStyle w:val="Hipervnculo"/>
            <w:b/>
            <w:bCs/>
          </w:rPr>
          <w:t>Editor</w:t>
        </w:r>
      </w:hyperlink>
    </w:p>
    <w:p w14:paraId="32247B57" w14:textId="728575D5" w:rsidR="008C069D" w:rsidRPr="008C069D" w:rsidRDefault="008C069D" w:rsidP="008C069D">
      <w:pPr>
        <w:jc w:val="both"/>
      </w:pPr>
      <w:r w:rsidRPr="008C069D">
        <w:t>Los cálculos XBRL pueden desempeñar un papel importante a la hora de garantizar la calidad y precisión de un informe financiero y pueden detectar errores tanto en el etiquetado XBRL como en los números subyacentes.</w:t>
      </w:r>
      <w:r w:rsidR="00DE5CE5">
        <w:t xml:space="preserve"> </w:t>
      </w:r>
      <w:r w:rsidRPr="008C069D">
        <w:t>Lamentablemente, hasta ahora, los informes de validación de cálculos se han visto obstaculizados por falsos positivos: mensajes de validación que no reflejan problemas reales en el informe.</w:t>
      </w:r>
    </w:p>
    <w:p w14:paraId="3C9C8C3A" w14:textId="23FDFB37" w:rsidR="008C069D" w:rsidRPr="008C069D" w:rsidRDefault="008C069D" w:rsidP="008C069D">
      <w:pPr>
        <w:jc w:val="both"/>
      </w:pPr>
      <w:r w:rsidRPr="008C069D">
        <w:t>La</w:t>
      </w:r>
      <w:r w:rsidR="000D644B">
        <w:t xml:space="preserve"> </w:t>
      </w:r>
      <w:r w:rsidRPr="008C069D">
        <w:t>actualización</w:t>
      </w:r>
      <w:r w:rsidR="000D644B">
        <w:t xml:space="preserve"> </w:t>
      </w:r>
      <w:hyperlink r:id="rId7" w:tgtFrame="_blank" w:history="1">
        <w:r w:rsidRPr="008C069D">
          <w:rPr>
            <w:rStyle w:val="Hipervnculo"/>
          </w:rPr>
          <w:t>de la especificación Calculations 1.1</w:t>
        </w:r>
      </w:hyperlink>
      <w:r w:rsidR="000D644B">
        <w:t xml:space="preserve"> </w:t>
      </w:r>
      <w:r w:rsidRPr="008C069D">
        <w:t>de febrero de 2023 ofrece una mejora incremental a las funciones de cálculo XBRL existentes y tiene como objetivo reducir estos falsos positivos.</w:t>
      </w:r>
      <w:r w:rsidR="000D644B">
        <w:t xml:space="preserve"> </w:t>
      </w:r>
      <w:r w:rsidRPr="008C069D">
        <w:t>En una publicación de blog de esta semana, analizamos una muestra de informes europeos en formato electrónico único (ESEF) para ver qué tan efectivo ha sido Cálculos 1.1 para limpiar los informes de validación.</w:t>
      </w:r>
    </w:p>
    <w:p w14:paraId="5CBC5BD2" w14:textId="214EE4B5" w:rsidR="008C069D" w:rsidRPr="008C069D" w:rsidRDefault="008C069D" w:rsidP="008C069D">
      <w:pPr>
        <w:jc w:val="both"/>
      </w:pPr>
      <w:r w:rsidRPr="008C069D">
        <w:t>Sumérgete profundamente</w:t>
      </w:r>
      <w:r w:rsidR="000D644B">
        <w:t xml:space="preserve"> </w:t>
      </w:r>
      <w:hyperlink r:id="rId8" w:tgtFrame="_blank" w:history="1">
        <w:r w:rsidRPr="008C069D">
          <w:rPr>
            <w:rStyle w:val="Hipervnculo"/>
          </w:rPr>
          <w:t>aquí</w:t>
        </w:r>
      </w:hyperlink>
      <w:r w:rsidRPr="008C069D">
        <w:t>.</w:t>
      </w:r>
    </w:p>
    <w:p w14:paraId="411B5D75" w14:textId="670CA719" w:rsidR="008C069D" w:rsidRPr="008C069D" w:rsidRDefault="00915995" w:rsidP="008C069D">
      <w:pPr>
        <w:jc w:val="both"/>
      </w:pPr>
      <w:hyperlink r:id="rId9" w:history="1">
        <w:r w:rsidR="008C069D" w:rsidRPr="008C069D">
          <w:rPr>
            <w:rStyle w:val="Hipervnculo"/>
          </w:rPr>
          <w:t>Especificaciones</w:t>
        </w:r>
        <w:r w:rsidR="000D644B">
          <w:rPr>
            <w:rStyle w:val="Hipervnculo"/>
          </w:rPr>
          <w:t xml:space="preserve"> </w:t>
        </w:r>
      </w:hyperlink>
      <w:hyperlink r:id="rId10" w:history="1">
        <w:r w:rsidR="008C069D" w:rsidRPr="008C069D">
          <w:rPr>
            <w:rStyle w:val="Hipervnculo"/>
          </w:rPr>
          <w:t>de Calc 1.1</w:t>
        </w:r>
      </w:hyperlink>
    </w:p>
    <w:p w14:paraId="51DD26FF" w14:textId="5DE4FEA4" w:rsidR="008C069D" w:rsidRPr="008C069D" w:rsidRDefault="008C069D" w:rsidP="008C069D">
      <w:pPr>
        <w:jc w:val="both"/>
      </w:pPr>
    </w:p>
    <w:p w14:paraId="49B0B562" w14:textId="7052123F" w:rsidR="00A35830" w:rsidRDefault="00A35830"/>
    <w:p w14:paraId="1792DFAB" w14:textId="58E15473" w:rsidR="008C069D" w:rsidRDefault="008C069D"/>
    <w:p w14:paraId="577195B8" w14:textId="3B899ACC" w:rsidR="005F3EAE" w:rsidRDefault="005F3EAE"/>
    <w:p w14:paraId="2603043A" w14:textId="77777777" w:rsidR="008C069D" w:rsidRPr="00915995" w:rsidRDefault="008C069D" w:rsidP="008C069D">
      <w:pPr>
        <w:rPr>
          <w:rFonts w:ascii="Arial Nova Cond" w:hAnsi="Arial Nova Cond"/>
          <w:sz w:val="28"/>
          <w:szCs w:val="28"/>
        </w:rPr>
      </w:pPr>
      <w:r w:rsidRPr="00915995">
        <w:rPr>
          <w:rFonts w:ascii="Arial Nova Cond" w:hAnsi="Arial Nova Cond"/>
          <w:sz w:val="28"/>
          <w:szCs w:val="28"/>
        </w:rPr>
        <w:lastRenderedPageBreak/>
        <w:t>Cálculos 1.1: deshacerse del ruido</w:t>
      </w:r>
    </w:p>
    <w:p w14:paraId="5CC5D9BE" w14:textId="76353943" w:rsidR="008C069D" w:rsidRPr="008C069D" w:rsidRDefault="008C069D" w:rsidP="008C069D">
      <w:r w:rsidRPr="008C069D">
        <w:t>Publicado el 11 de enero de 2024 por</w:t>
      </w:r>
      <w:r w:rsidR="000D644B">
        <w:t xml:space="preserve"> </w:t>
      </w:r>
      <w:hyperlink r:id="rId11" w:history="1">
        <w:r w:rsidRPr="008C069D">
          <w:rPr>
            <w:rStyle w:val="Hipervnculo"/>
            <w:b/>
            <w:bCs/>
          </w:rPr>
          <w:t>Revathy Ramanan</w:t>
        </w:r>
      </w:hyperlink>
    </w:p>
    <w:p w14:paraId="7760D993" w14:textId="7D3C463D" w:rsidR="008C069D" w:rsidRPr="008C069D" w:rsidRDefault="008C069D" w:rsidP="008C069D">
      <w:pPr>
        <w:jc w:val="both"/>
      </w:pPr>
      <w:r w:rsidRPr="008C069D">
        <w:t>Los cálculos XBRL pueden desempeñar un papel importante a la hora de garantizar la calidad y precisión de un informe financiero y pueden detectar errores tanto en el etiquetado XBRL como en los números subyacentes.</w:t>
      </w:r>
      <w:r w:rsidR="00294FB8">
        <w:t xml:space="preserve"> </w:t>
      </w:r>
      <w:r w:rsidRPr="008C069D">
        <w:t>Lamentablemente, hasta ahora, los informes de validación de cálculos se han visto obstaculizados por falsos positivos: mensajes de validación que no reflejan problemas reales en el informe.</w:t>
      </w:r>
    </w:p>
    <w:p w14:paraId="5987E2E6" w14:textId="190336D9" w:rsidR="008C069D" w:rsidRPr="008C069D" w:rsidRDefault="008C069D" w:rsidP="008C069D">
      <w:pPr>
        <w:jc w:val="both"/>
      </w:pPr>
      <w:r w:rsidRPr="008C069D">
        <w:t>La actualización</w:t>
      </w:r>
      <w:r w:rsidR="00E47AFB">
        <w:t xml:space="preserve"> </w:t>
      </w:r>
      <w:hyperlink r:id="rId12" w:history="1">
        <w:r w:rsidRPr="008C069D">
          <w:rPr>
            <w:rStyle w:val="Hipervnculo"/>
          </w:rPr>
          <w:t>de la especificación Calculations 1.1</w:t>
        </w:r>
      </w:hyperlink>
      <w:r w:rsidR="00E47AFB">
        <w:t xml:space="preserve"> </w:t>
      </w:r>
      <w:r w:rsidRPr="008C069D">
        <w:t>de febrero de 2023 ofrece una mejora incremental a las funciones de cálculo XBRL existentes y tiene como objetivo reducir estos falsos positivos.</w:t>
      </w:r>
      <w:r w:rsidR="00294FB8">
        <w:t xml:space="preserve"> </w:t>
      </w:r>
      <w:r w:rsidRPr="008C069D">
        <w:t>En esta publicación de blog, veremos una muestra de informes europeos en formato electrónico único (ESEF) para ver qué tan efectivo ha sido Cálculos 1.1 para limpiar los informes de validación.</w:t>
      </w:r>
    </w:p>
    <w:p w14:paraId="4D186D31" w14:textId="00C5403F" w:rsidR="008C069D" w:rsidRPr="008C069D" w:rsidRDefault="008C069D" w:rsidP="008C069D">
      <w:pPr>
        <w:jc w:val="both"/>
      </w:pPr>
      <w:r w:rsidRPr="008C069D">
        <w:t>El árbol de cálculo en una taxonomía XBRL describe relaciones totales y subtotales simples entre conceptos, como “Activos = Activos corrientes + Activos no corrientes”.</w:t>
      </w:r>
      <w:r w:rsidR="00E47AFB">
        <w:t xml:space="preserve"> </w:t>
      </w:r>
      <w:r w:rsidRPr="008C069D">
        <w:t>Si los valores de hecho en un informe XBRL no cuadran según las relaciones de cálculo en la taxonomía, el software de validación XBRL marcará esta discrepancia como una inconsistencia de cálculo.</w:t>
      </w:r>
    </w:p>
    <w:p w14:paraId="3D21D043" w14:textId="08130624" w:rsidR="008C069D" w:rsidRPr="008C069D" w:rsidRDefault="008C069D" w:rsidP="008C069D">
      <w:pPr>
        <w:jc w:val="both"/>
      </w:pPr>
      <w:r w:rsidRPr="008C069D">
        <w:t>Las cifras numéricas en los informes legibles por humanos suelen estar escaladas y redondeadas para una mejor legibilidad.</w:t>
      </w:r>
      <w:r w:rsidR="00E47AFB">
        <w:t xml:space="preserve"> </w:t>
      </w:r>
      <w:r w:rsidRPr="008C069D">
        <w:t>Este redondeo crea un problema para la validación de la coherencia del cálculo.</w:t>
      </w:r>
      <w:r w:rsidR="00E47AFB">
        <w:t xml:space="preserve"> </w:t>
      </w:r>
      <w:r w:rsidRPr="008C069D">
        <w:t>No es raro ver algo similar a los valores que se muestran en el extracto del balance que se muestra en la Figura 1.</w:t>
      </w:r>
    </w:p>
    <w:p w14:paraId="553F5D8D" w14:textId="49CD25A0" w:rsidR="008C069D" w:rsidRPr="008C069D" w:rsidRDefault="008C069D" w:rsidP="005F3EAE">
      <w:pPr>
        <w:jc w:val="center"/>
      </w:pPr>
      <w:r w:rsidRPr="008C069D">
        <w:rPr>
          <w:noProof/>
        </w:rPr>
        <w:drawing>
          <wp:inline distT="0" distB="0" distL="0" distR="0" wp14:anchorId="23BED81F" wp14:editId="6A1885AD">
            <wp:extent cx="2857500" cy="944880"/>
            <wp:effectExtent l="0" t="0" r="0" b="7620"/>
            <wp:docPr id="2" name="Imagen 2">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13" tgtFrame="&quot;_blank&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57500" cy="944880"/>
                    </a:xfrm>
                    <a:prstGeom prst="rect">
                      <a:avLst/>
                    </a:prstGeom>
                    <a:noFill/>
                    <a:ln>
                      <a:noFill/>
                    </a:ln>
                  </pic:spPr>
                </pic:pic>
              </a:graphicData>
            </a:graphic>
          </wp:inline>
        </w:drawing>
      </w:r>
    </w:p>
    <w:p w14:paraId="7AF4C170" w14:textId="77777777" w:rsidR="008C069D" w:rsidRPr="008C069D" w:rsidRDefault="008C069D" w:rsidP="008C069D">
      <w:r w:rsidRPr="008C069D">
        <w:t>Figura 1: Extracto del balance</w:t>
      </w:r>
    </w:p>
    <w:p w14:paraId="1AADD003" w14:textId="03212D2D" w:rsidR="008C069D" w:rsidRPr="008C069D" w:rsidRDefault="008C069D" w:rsidP="008C069D">
      <w:pPr>
        <w:jc w:val="both"/>
      </w:pPr>
      <w:r w:rsidRPr="008C069D">
        <w:t>Aunque a primera vista estos números no cuadran (4,1+ 6,1 ≠ 10,3), una vez que se considera que estas cifras presentadas se han redondeado al millar más cercano, no hay inconsistencia aquí.</w:t>
      </w:r>
      <w:r w:rsidR="00E47AFB">
        <w:t xml:space="preserve"> </w:t>
      </w:r>
      <w:r w:rsidRPr="008C069D">
        <w:t>Consulte</w:t>
      </w:r>
      <w:r w:rsidR="00E47AFB">
        <w:t xml:space="preserve"> </w:t>
      </w:r>
      <w:hyperlink r:id="rId15" w:history="1">
        <w:r w:rsidRPr="008C069D">
          <w:rPr>
            <w:rStyle w:val="Hipervnculo"/>
          </w:rPr>
          <w:t>esta publicación de blog sobre cuestiones de redondeo</w:t>
        </w:r>
      </w:hyperlink>
      <w:r w:rsidR="00E47AFB">
        <w:t xml:space="preserve"> </w:t>
      </w:r>
      <w:r w:rsidRPr="008C069D">
        <w:t>para obtener una discusión más detallada al respecto.</w:t>
      </w:r>
    </w:p>
    <w:p w14:paraId="1911D357" w14:textId="48CF737F" w:rsidR="008C069D" w:rsidRPr="008C069D" w:rsidRDefault="008C069D" w:rsidP="008C069D">
      <w:pPr>
        <w:jc w:val="both"/>
      </w:pPr>
      <w:r w:rsidRPr="008C069D">
        <w:t>Cálculos 1.0 (funcionalidad de cálculos existente) señalaría esto como una inconsistencia en el cálculo, ya que calcula los totales en función de los valores informados sin considerar los efectos del redondeo.</w:t>
      </w:r>
      <w:r w:rsidR="00294FB8">
        <w:t xml:space="preserve"> </w:t>
      </w:r>
      <w:r w:rsidRPr="008C069D">
        <w:t>Como las cifras subyacentes pueden satisfacer la relación de cálculo prescrita, esta inconsistencia señalada se consideraría un falso positivo.</w:t>
      </w:r>
    </w:p>
    <w:p w14:paraId="5BE578AF" w14:textId="77777777" w:rsidR="008C069D" w:rsidRPr="008C069D" w:rsidRDefault="008C069D" w:rsidP="008C069D">
      <w:pPr>
        <w:jc w:val="both"/>
      </w:pPr>
      <w:r w:rsidRPr="008C069D">
        <w:t>Los cálculos 1.1 tienen en cuenta la precisión declarada de las cifras reportadas y no señalarán un error si las cifras reportadas podrían haberse redondeado a partir de un conjunto de cifras que satisfacen la relación de cálculo prescrita, como es el caso en el ejemplo anterior.</w:t>
      </w:r>
    </w:p>
    <w:p w14:paraId="0D53C7BD" w14:textId="77777777" w:rsidR="008C069D" w:rsidRPr="008C069D" w:rsidRDefault="008C069D" w:rsidP="008C069D">
      <w:pPr>
        <w:jc w:val="both"/>
      </w:pPr>
      <w:r w:rsidRPr="008C069D">
        <w:lastRenderedPageBreak/>
        <w:t>Para este blog, tomamos una muestra de más de 3000 informes y comparamos los resultados de la aplicación de la validación de Cálculos 1.0 y 1.1 para evaluar qué tan efectivo es el Cálculo 1.1 para minimizar los resultados falsos positivos.</w:t>
      </w:r>
    </w:p>
    <w:p w14:paraId="6222624B" w14:textId="506876D4" w:rsidR="008C069D" w:rsidRPr="008C069D" w:rsidRDefault="008C069D" w:rsidP="008C069D">
      <w:pPr>
        <w:jc w:val="both"/>
      </w:pPr>
      <w:r w:rsidRPr="008C069D">
        <w:t>Se tomó para análisis una muestra de informes europeos en formato electrónico único (ESEF) con un período de informe que finaliza el 31 de diciembre de 2022.</w:t>
      </w:r>
      <w:r w:rsidR="00294FB8">
        <w:t xml:space="preserve"> </w:t>
      </w:r>
      <w:r w:rsidRPr="008C069D">
        <w:t>Estos 3.080 informes se obtuvieron de </w:t>
      </w:r>
      <w:hyperlink r:id="rId16" w:history="1">
        <w:r w:rsidRPr="008C069D">
          <w:rPr>
            <w:rStyle w:val="Hipervnculo"/>
          </w:rPr>
          <w:t>fileings.xbrl.org</w:t>
        </w:r>
      </w:hyperlink>
      <w:r w:rsidRPr="008C069D">
        <w:t> de XBRL International, un repositorio de presentaciones XBRL en línea. Estas presentaciones se presentaron originalmente a los reguladores y recopiladores de datos nacionales según el mandato regulatorio.</w:t>
      </w:r>
    </w:p>
    <w:p w14:paraId="5C21BFC5" w14:textId="77777777" w:rsidR="008C069D" w:rsidRPr="008C069D" w:rsidRDefault="008C069D" w:rsidP="008C069D">
      <w:pPr>
        <w:jc w:val="both"/>
      </w:pPr>
      <w:r w:rsidRPr="008C069D">
        <w:t>El análisis se centró en identificar la cantidad de inconsistencias de cálculo señaladas en los Cálculos 1.0 y 1.1 para el mismo conjunto de informes. Los resultados comparativos se presentan en la Figura 2.</w:t>
      </w:r>
    </w:p>
    <w:p w14:paraId="15C6D152" w14:textId="111D8730" w:rsidR="008C069D" w:rsidRPr="008C069D" w:rsidRDefault="008C069D" w:rsidP="008C069D">
      <w:r w:rsidRPr="008C069D">
        <w:rPr>
          <w:noProof/>
        </w:rPr>
        <w:drawing>
          <wp:inline distT="0" distB="0" distL="0" distR="0" wp14:anchorId="6B75EC9C" wp14:editId="2F70B005">
            <wp:extent cx="5612130" cy="1026160"/>
            <wp:effectExtent l="0" t="0" r="7620" b="2540"/>
            <wp:docPr id="1" name="Imagen 1">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17"/>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612130" cy="1026160"/>
                    </a:xfrm>
                    <a:prstGeom prst="rect">
                      <a:avLst/>
                    </a:prstGeom>
                    <a:noFill/>
                    <a:ln>
                      <a:noFill/>
                    </a:ln>
                  </pic:spPr>
                </pic:pic>
              </a:graphicData>
            </a:graphic>
          </wp:inline>
        </w:drawing>
      </w:r>
    </w:p>
    <w:p w14:paraId="0758E7B9" w14:textId="77777777" w:rsidR="008C069D" w:rsidRPr="008C069D" w:rsidRDefault="008C069D" w:rsidP="008C069D">
      <w:r w:rsidRPr="008C069D">
        <w:t>Figura 2: Recuento de inconsistencias en el cálculo</w:t>
      </w:r>
    </w:p>
    <w:p w14:paraId="78BE48C5" w14:textId="77777777" w:rsidR="008C069D" w:rsidRPr="008C069D" w:rsidRDefault="008C069D" w:rsidP="008C069D">
      <w:pPr>
        <w:jc w:val="both"/>
      </w:pPr>
      <w:r w:rsidRPr="008C069D">
        <w:t>El número total de inconsistencias en los cálculos entre los 3.000 informes del ESEF fue de 17.585 en los Cálculos 1.0 y de 2.696 en los Cálculos 1.1. La reducción significativa de las inconsistencias se debe principalmente a un mejor manejo de cifras redondeadas, lo que resulta en muchos menos falsos positivos.</w:t>
      </w:r>
    </w:p>
    <w:p w14:paraId="36FA9FFC" w14:textId="666C7E8C" w:rsidR="008C069D" w:rsidRPr="008C069D" w:rsidRDefault="008C069D" w:rsidP="008C069D">
      <w:pPr>
        <w:jc w:val="both"/>
      </w:pPr>
      <w:r w:rsidRPr="008C069D">
        <w:t>En algunos informes también se ve que el número de inconsistencias en realidad aumentó en comparación con los Cálculos 1.0.</w:t>
      </w:r>
      <w:r w:rsidR="00294FB8">
        <w:t xml:space="preserve"> </w:t>
      </w:r>
      <w:r w:rsidRPr="008C069D">
        <w:t>Esto suele deberse a la presencia de hechos duplicados inconsistentes y suele ser indicativo de un problema real ya sea en el etiquetado o en las cifras reportadas.</w:t>
      </w:r>
    </w:p>
    <w:p w14:paraId="47D8481C" w14:textId="6FEF918C" w:rsidR="008C069D" w:rsidRPr="008C069D" w:rsidRDefault="008C069D" w:rsidP="008C069D">
      <w:pPr>
        <w:jc w:val="both"/>
      </w:pPr>
      <w:r w:rsidRPr="008C069D">
        <w:t>Desde la perspectiva de un preparador, esta reducción significativa de falsos positivos significa que pueden y deben centrarse en las inconsistencias restantes, que a menudo apuntan a errores reales ya sea en el etiquetado o en los números reportados.</w:t>
      </w:r>
      <w:r w:rsidR="00E47AFB">
        <w:t xml:space="preserve"> </w:t>
      </w:r>
      <w:r w:rsidRPr="008C069D">
        <w:t>Tenga en cuenta que los Cálculos 1.1 aún pueden generar falsos positivos en algunas circunstancias.</w:t>
      </w:r>
    </w:p>
    <w:p w14:paraId="4F53318A" w14:textId="02DF2E0A" w:rsidR="008C069D" w:rsidRPr="008C069D" w:rsidRDefault="008C069D" w:rsidP="008C069D">
      <w:pPr>
        <w:jc w:val="both"/>
      </w:pPr>
      <w:r w:rsidRPr="008C069D">
        <w:t>Este análisis de inconsistencia de cálculo de los informes ESEF proporciona evidencia convincente para cambiar al Cálculo 1.1 para reducir los falsos positivos debido al redondeo en los informes.</w:t>
      </w:r>
      <w:r w:rsidR="00294FB8">
        <w:t xml:space="preserve"> </w:t>
      </w:r>
      <w:r w:rsidRPr="008C069D">
        <w:t>Lea sobre la ruta de adopción recomendada para la</w:t>
      </w:r>
      <w:r w:rsidR="00E47AFB">
        <w:t xml:space="preserve"> </w:t>
      </w:r>
      <w:hyperlink r:id="rId19" w:history="1">
        <w:r w:rsidRPr="008C069D">
          <w:rPr>
            <w:rStyle w:val="Hipervnculo"/>
          </w:rPr>
          <w:t>transición a Cálculos 1.1 en este documento de orientación independiente</w:t>
        </w:r>
      </w:hyperlink>
      <w:r w:rsidRPr="008C069D">
        <w:t>.</w:t>
      </w:r>
    </w:p>
    <w:p w14:paraId="45A04D08" w14:textId="44993EEC" w:rsidR="008C069D" w:rsidRPr="008C069D" w:rsidRDefault="008C069D" w:rsidP="008C069D"/>
    <w:p w14:paraId="5CF2AD47" w14:textId="33FAE44E" w:rsidR="008C069D" w:rsidRDefault="008C069D"/>
    <w:p w14:paraId="3B154A9F" w14:textId="2CE86F8E" w:rsidR="008C069D" w:rsidRDefault="008C069D"/>
    <w:p w14:paraId="6C0C76E5" w14:textId="353A2701" w:rsidR="008C069D" w:rsidRDefault="008C069D"/>
    <w:p w14:paraId="52721741" w14:textId="2DDA636D" w:rsidR="008C069D" w:rsidRDefault="00A271BB">
      <w:r w:rsidRPr="00A271BB">
        <w:rPr>
          <w:noProof/>
        </w:rPr>
        <w:lastRenderedPageBreak/>
        <w:drawing>
          <wp:inline distT="0" distB="0" distL="0" distR="0" wp14:anchorId="2E250698" wp14:editId="441A3450">
            <wp:extent cx="5612130" cy="2447925"/>
            <wp:effectExtent l="0" t="0" r="7620" b="952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612130" cy="2447925"/>
                    </a:xfrm>
                    <a:prstGeom prst="rect">
                      <a:avLst/>
                    </a:prstGeom>
                  </pic:spPr>
                </pic:pic>
              </a:graphicData>
            </a:graphic>
          </wp:inline>
        </w:drawing>
      </w:r>
    </w:p>
    <w:p w14:paraId="5A1E51B0" w14:textId="7A9D4DAB" w:rsidR="00A271BB" w:rsidRDefault="00A271BB">
      <w:r w:rsidRPr="00A271BB">
        <w:rPr>
          <w:noProof/>
        </w:rPr>
        <w:drawing>
          <wp:inline distT="0" distB="0" distL="0" distR="0" wp14:anchorId="0B243A4E" wp14:editId="3673269E">
            <wp:extent cx="5612130" cy="3778250"/>
            <wp:effectExtent l="0" t="0" r="762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612130" cy="3778250"/>
                    </a:xfrm>
                    <a:prstGeom prst="rect">
                      <a:avLst/>
                    </a:prstGeom>
                  </pic:spPr>
                </pic:pic>
              </a:graphicData>
            </a:graphic>
          </wp:inline>
        </w:drawing>
      </w:r>
    </w:p>
    <w:p w14:paraId="7FB983E4" w14:textId="1539CA0C" w:rsidR="00A271BB" w:rsidRDefault="00A271BB">
      <w:r w:rsidRPr="00A271BB">
        <w:rPr>
          <w:noProof/>
        </w:rPr>
        <w:lastRenderedPageBreak/>
        <w:drawing>
          <wp:inline distT="0" distB="0" distL="0" distR="0" wp14:anchorId="63D999DC" wp14:editId="7C77A675">
            <wp:extent cx="5612130" cy="4598035"/>
            <wp:effectExtent l="0" t="0" r="762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612130" cy="4598035"/>
                    </a:xfrm>
                    <a:prstGeom prst="rect">
                      <a:avLst/>
                    </a:prstGeom>
                  </pic:spPr>
                </pic:pic>
              </a:graphicData>
            </a:graphic>
          </wp:inline>
        </w:drawing>
      </w:r>
    </w:p>
    <w:p w14:paraId="619450DD" w14:textId="667480DC" w:rsidR="00A271BB" w:rsidRPr="00C13B4A" w:rsidRDefault="00A271BB" w:rsidP="00A271BB">
      <w:pPr>
        <w:rPr>
          <w:rFonts w:ascii="Arial Nova Cond" w:hAnsi="Arial Nova Cond"/>
          <w:color w:val="4472C4" w:themeColor="accent1"/>
          <w:sz w:val="28"/>
          <w:szCs w:val="28"/>
        </w:rPr>
      </w:pPr>
      <w:r w:rsidRPr="00C13B4A">
        <w:rPr>
          <w:rFonts w:ascii="Arial Nova Cond" w:hAnsi="Arial Nova Cond"/>
          <w:color w:val="4472C4" w:themeColor="accent1"/>
          <w:sz w:val="28"/>
          <w:szCs w:val="28"/>
        </w:rPr>
        <w:t>1</w:t>
      </w:r>
      <w:r w:rsidR="00C13B4A" w:rsidRPr="00C13B4A">
        <w:rPr>
          <w:rFonts w:ascii="Arial Nova Cond" w:hAnsi="Arial Nova Cond"/>
          <w:color w:val="4472C4" w:themeColor="accent1"/>
          <w:sz w:val="28"/>
          <w:szCs w:val="28"/>
        </w:rPr>
        <w:t>.</w:t>
      </w:r>
      <w:r w:rsidRPr="00C13B4A">
        <w:rPr>
          <w:rFonts w:ascii="Arial Nova Cond" w:hAnsi="Arial Nova Cond"/>
          <w:color w:val="4472C4" w:themeColor="accent1"/>
          <w:sz w:val="28"/>
          <w:szCs w:val="28"/>
        </w:rPr>
        <w:t xml:space="preserve"> </w:t>
      </w:r>
      <w:r w:rsidR="00C13B4A" w:rsidRPr="00C13B4A">
        <w:rPr>
          <w:rFonts w:ascii="Arial Nova Cond" w:hAnsi="Arial Nova Cond"/>
          <w:color w:val="4472C4" w:themeColor="accent1"/>
          <w:sz w:val="28"/>
          <w:szCs w:val="28"/>
        </w:rPr>
        <w:t>R</w:t>
      </w:r>
      <w:r w:rsidRPr="00C13B4A">
        <w:rPr>
          <w:rFonts w:ascii="Arial Nova Cond" w:hAnsi="Arial Nova Cond"/>
          <w:color w:val="4472C4" w:themeColor="accent1"/>
          <w:sz w:val="28"/>
          <w:szCs w:val="28"/>
        </w:rPr>
        <w:t>esumen</w:t>
      </w:r>
    </w:p>
    <w:p w14:paraId="11EF1A43" w14:textId="61CBF68E" w:rsidR="00A271BB" w:rsidRPr="00A271BB" w:rsidRDefault="00915995" w:rsidP="00C13B4A">
      <w:pPr>
        <w:jc w:val="both"/>
      </w:pPr>
      <w:hyperlink r:id="rId23" w:history="1">
        <w:r w:rsidR="00A271BB" w:rsidRPr="00A271BB">
          <w:rPr>
            <w:rStyle w:val="Hipervnculo"/>
          </w:rPr>
          <w:t>XBRL v2.1</w:t>
        </w:r>
      </w:hyperlink>
      <w:r w:rsidR="00C13B4A">
        <w:t xml:space="preserve"> </w:t>
      </w:r>
      <w:r w:rsidR="00A271BB" w:rsidRPr="00A271BB">
        <w:t>proporciona un mecanismo para definir las relaciones de cálculo que existen entre conceptos XBRL y un proceso para verificar si los hechos en un informe XBRL son consistentes con esas relaciones.</w:t>
      </w:r>
      <w:r w:rsidR="00294FB8">
        <w:t xml:space="preserve"> </w:t>
      </w:r>
      <w:r w:rsidR="00A271BB" w:rsidRPr="00A271BB">
        <w:t>El proceso de verificación de coherencia tiene una serie de deficiencias, que pueden provocar fallos de coherencia erróneos en valores redondeados y fallos de coherencia omitidos cuando hay hechos duplicados.</w:t>
      </w:r>
    </w:p>
    <w:p w14:paraId="1CCF2601" w14:textId="77777777" w:rsidR="00A271BB" w:rsidRPr="00A271BB" w:rsidRDefault="00A271BB" w:rsidP="00C13B4A">
      <w:pPr>
        <w:jc w:val="both"/>
      </w:pPr>
      <w:r w:rsidRPr="00A271BB">
        <w:t>Esta especificación define una funcionalidad de cálculo alternativa destinada a abordar estas deficiencias.</w:t>
      </w:r>
    </w:p>
    <w:p w14:paraId="51F1A78A" w14:textId="3D4326B3" w:rsidR="00A271BB" w:rsidRPr="00C13B4A" w:rsidRDefault="00A271BB" w:rsidP="00C13B4A">
      <w:pPr>
        <w:jc w:val="both"/>
        <w:rPr>
          <w:rFonts w:ascii="Arial Nova Cond" w:hAnsi="Arial Nova Cond"/>
          <w:color w:val="4472C4" w:themeColor="accent1"/>
          <w:sz w:val="28"/>
          <w:szCs w:val="28"/>
        </w:rPr>
      </w:pPr>
      <w:r w:rsidRPr="00C13B4A">
        <w:rPr>
          <w:rFonts w:ascii="Arial Nova Cond" w:hAnsi="Arial Nova Cond"/>
          <w:color w:val="4472C4" w:themeColor="accent1"/>
          <w:sz w:val="28"/>
          <w:szCs w:val="28"/>
        </w:rPr>
        <w:t>2</w:t>
      </w:r>
      <w:r w:rsidR="00C13B4A" w:rsidRPr="00C13B4A">
        <w:rPr>
          <w:rFonts w:ascii="Arial Nova Cond" w:hAnsi="Arial Nova Cond"/>
          <w:color w:val="4472C4" w:themeColor="accent1"/>
          <w:sz w:val="28"/>
          <w:szCs w:val="28"/>
        </w:rPr>
        <w:t>.</w:t>
      </w:r>
      <w:r w:rsidRPr="00C13B4A">
        <w:rPr>
          <w:rFonts w:ascii="Arial Nova Cond" w:hAnsi="Arial Nova Cond"/>
          <w:color w:val="4472C4" w:themeColor="accent1"/>
          <w:sz w:val="28"/>
          <w:szCs w:val="28"/>
        </w:rPr>
        <w:t xml:space="preserve"> </w:t>
      </w:r>
      <w:r w:rsidR="00C13B4A" w:rsidRPr="00C13B4A">
        <w:rPr>
          <w:rFonts w:ascii="Arial Nova Cond" w:hAnsi="Arial Nova Cond"/>
          <w:color w:val="4472C4" w:themeColor="accent1"/>
          <w:sz w:val="28"/>
          <w:szCs w:val="28"/>
        </w:rPr>
        <w:t>C</w:t>
      </w:r>
      <w:r w:rsidRPr="00C13B4A">
        <w:rPr>
          <w:rFonts w:ascii="Arial Nova Cond" w:hAnsi="Arial Nova Cond"/>
          <w:color w:val="4472C4" w:themeColor="accent1"/>
          <w:sz w:val="28"/>
          <w:szCs w:val="28"/>
        </w:rPr>
        <w:t>onvenciones de documentación</w:t>
      </w:r>
    </w:p>
    <w:p w14:paraId="3EB5354C" w14:textId="77777777" w:rsidR="00A271BB" w:rsidRPr="00C13B4A" w:rsidRDefault="00A271BB" w:rsidP="00C13B4A">
      <w:pPr>
        <w:jc w:val="both"/>
        <w:rPr>
          <w:rFonts w:ascii="Arial Nova Cond" w:hAnsi="Arial Nova Cond"/>
          <w:color w:val="4472C4" w:themeColor="accent1"/>
          <w:sz w:val="24"/>
          <w:szCs w:val="24"/>
        </w:rPr>
      </w:pPr>
      <w:r w:rsidRPr="00C13B4A">
        <w:rPr>
          <w:rFonts w:ascii="Arial Nova Cond" w:hAnsi="Arial Nova Cond"/>
          <w:color w:val="4472C4" w:themeColor="accent1"/>
          <w:sz w:val="24"/>
          <w:szCs w:val="24"/>
        </w:rPr>
        <w:t>2.1 Espacios de nombres y prefijos de espacios de nombres</w:t>
      </w:r>
    </w:p>
    <w:p w14:paraId="48CA681F" w14:textId="6F05EBF3" w:rsidR="00A271BB" w:rsidRPr="00A271BB" w:rsidRDefault="00A271BB" w:rsidP="00C13B4A">
      <w:pPr>
        <w:jc w:val="both"/>
      </w:pPr>
      <w:r w:rsidRPr="00A271BB">
        <w:t>Esta especificación utiliza la notación QName para códigos de error.</w:t>
      </w:r>
      <w:r w:rsidR="00294FB8">
        <w:t xml:space="preserve"> </w:t>
      </w:r>
      <w:r w:rsidRPr="00A271BB">
        <w:t>Los prefijos QName utilizados en esta especificación deben interpretarse según la siguiente tabla:</w:t>
      </w:r>
    </w:p>
    <w:p w14:paraId="6508E56E" w14:textId="392757BC" w:rsidR="00A271BB" w:rsidRDefault="00A271BB">
      <w:r w:rsidRPr="00A271BB">
        <w:rPr>
          <w:noProof/>
        </w:rPr>
        <w:drawing>
          <wp:inline distT="0" distB="0" distL="0" distR="0" wp14:anchorId="6C0EB331" wp14:editId="2561EF55">
            <wp:extent cx="5612130" cy="568325"/>
            <wp:effectExtent l="0" t="0" r="7620" b="317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612130" cy="568325"/>
                    </a:xfrm>
                    <a:prstGeom prst="rect">
                      <a:avLst/>
                    </a:prstGeom>
                  </pic:spPr>
                </pic:pic>
              </a:graphicData>
            </a:graphic>
          </wp:inline>
        </w:drawing>
      </w:r>
    </w:p>
    <w:p w14:paraId="06911163" w14:textId="77777777" w:rsidR="00A271BB" w:rsidRPr="00C13B4A" w:rsidRDefault="00A271BB" w:rsidP="00A271BB">
      <w:pPr>
        <w:rPr>
          <w:rFonts w:ascii="Arial Nova Cond" w:hAnsi="Arial Nova Cond"/>
          <w:color w:val="4472C4" w:themeColor="accent1"/>
          <w:sz w:val="24"/>
          <w:szCs w:val="24"/>
        </w:rPr>
      </w:pPr>
      <w:r w:rsidRPr="00C13B4A">
        <w:rPr>
          <w:rFonts w:ascii="Arial Nova Cond" w:hAnsi="Arial Nova Cond"/>
          <w:color w:val="4472C4" w:themeColor="accent1"/>
          <w:sz w:val="24"/>
          <w:szCs w:val="24"/>
        </w:rPr>
        <w:lastRenderedPageBreak/>
        <w:t>2.2 Códigos de error</w:t>
      </w:r>
    </w:p>
    <w:p w14:paraId="0654C1E9" w14:textId="77777777" w:rsidR="00A271BB" w:rsidRPr="00A271BB" w:rsidRDefault="00A271BB" w:rsidP="00C13B4A">
      <w:pPr>
        <w:jc w:val="both"/>
      </w:pPr>
      <w:r w:rsidRPr="00A271BB">
        <w:t>Los QNames en texto rojo entre paréntesis después de una declaración "DEBE" o "NO DEBE" prescriben códigos de error estandarizados que se utilizarán si se viola la condición anterior.</w:t>
      </w:r>
    </w:p>
    <w:p w14:paraId="7C9FAAEF" w14:textId="77777777" w:rsidR="00A271BB" w:rsidRPr="00A271BB" w:rsidRDefault="00A271BB" w:rsidP="00C13B4A">
      <w:pPr>
        <w:jc w:val="both"/>
      </w:pPr>
      <w:r w:rsidRPr="00A271BB">
        <w:t>Las declaraciones "DEBE" y "NO DEBE" sin un código de error explícito definen el comportamiento de no validación requerido por el procesador, o pueden referirse a una validación para la cual los códigos de error están prescritos por otra especificación.</w:t>
      </w:r>
    </w:p>
    <w:p w14:paraId="146D81DF" w14:textId="77777777" w:rsidR="00A271BB" w:rsidRPr="00C13B4A" w:rsidRDefault="00A271BB" w:rsidP="00A271BB">
      <w:pPr>
        <w:rPr>
          <w:rFonts w:ascii="Arial Nova Cond" w:hAnsi="Arial Nova Cond"/>
          <w:color w:val="4472C4" w:themeColor="accent1"/>
          <w:sz w:val="24"/>
          <w:szCs w:val="24"/>
        </w:rPr>
      </w:pPr>
      <w:r w:rsidRPr="00C13B4A">
        <w:rPr>
          <w:rFonts w:ascii="Arial Nova Cond" w:hAnsi="Arial Nova Cond"/>
          <w:color w:val="4472C4" w:themeColor="accent1"/>
          <w:sz w:val="24"/>
          <w:szCs w:val="24"/>
        </w:rPr>
        <w:t>2.3 Texto explicativo no normativo</w:t>
      </w:r>
    </w:p>
    <w:p w14:paraId="481C02FB" w14:textId="2D69CE18" w:rsidR="00A271BB" w:rsidRPr="00A271BB" w:rsidRDefault="00A271BB" w:rsidP="00294FB8">
      <w:pPr>
        <w:jc w:val="both"/>
      </w:pPr>
      <w:r w:rsidRPr="00A271BB">
        <w:t>El texto en un cuadro con borde azul no es normativo.</w:t>
      </w:r>
      <w:r w:rsidR="00294FB8">
        <w:t xml:space="preserve"> </w:t>
      </w:r>
      <w:r w:rsidRPr="00A271BB">
        <w:t>Su objetivo es proporcionar comentarios explicativos adicionales y forma parte de la especificación formal.</w:t>
      </w:r>
    </w:p>
    <w:p w14:paraId="04CCE647" w14:textId="3ACBF2E8" w:rsidR="00A271BB" w:rsidRDefault="00A271BB">
      <w:r w:rsidRPr="00A271BB">
        <w:rPr>
          <w:noProof/>
        </w:rPr>
        <w:drawing>
          <wp:inline distT="0" distB="0" distL="0" distR="0" wp14:anchorId="1C9FF81B" wp14:editId="2B9CD609">
            <wp:extent cx="5612130" cy="551815"/>
            <wp:effectExtent l="0" t="0" r="7620" b="635"/>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5612130" cy="551815"/>
                    </a:xfrm>
                    <a:prstGeom prst="rect">
                      <a:avLst/>
                    </a:prstGeom>
                  </pic:spPr>
                </pic:pic>
              </a:graphicData>
            </a:graphic>
          </wp:inline>
        </w:drawing>
      </w:r>
    </w:p>
    <w:p w14:paraId="07E6651B" w14:textId="6789E1DD" w:rsidR="00A271BB" w:rsidRPr="00C13B4A" w:rsidRDefault="00A271BB" w:rsidP="00A271BB">
      <w:pPr>
        <w:rPr>
          <w:rFonts w:ascii="Arial Nova Cond" w:hAnsi="Arial Nova Cond"/>
          <w:color w:val="4472C4" w:themeColor="accent1"/>
          <w:sz w:val="28"/>
          <w:szCs w:val="28"/>
        </w:rPr>
      </w:pPr>
      <w:r w:rsidRPr="00C13B4A">
        <w:rPr>
          <w:rFonts w:ascii="Arial Nova Cond" w:hAnsi="Arial Nova Cond"/>
          <w:color w:val="4472C4" w:themeColor="accent1"/>
          <w:sz w:val="28"/>
          <w:szCs w:val="28"/>
        </w:rPr>
        <w:t>3</w:t>
      </w:r>
      <w:r w:rsidR="00C13B4A" w:rsidRPr="00C13B4A">
        <w:rPr>
          <w:rFonts w:ascii="Arial Nova Cond" w:hAnsi="Arial Nova Cond"/>
          <w:color w:val="4472C4" w:themeColor="accent1"/>
          <w:sz w:val="28"/>
          <w:szCs w:val="28"/>
        </w:rPr>
        <w:t>.</w:t>
      </w:r>
      <w:r w:rsidRPr="00C13B4A">
        <w:rPr>
          <w:rFonts w:ascii="Arial Nova Cond" w:hAnsi="Arial Nova Cond"/>
          <w:color w:val="4472C4" w:themeColor="accent1"/>
          <w:sz w:val="28"/>
          <w:szCs w:val="28"/>
        </w:rPr>
        <w:t xml:space="preserve"> Descripción general</w:t>
      </w:r>
    </w:p>
    <w:p w14:paraId="2CC17DC6" w14:textId="2A1CEA5B" w:rsidR="00A271BB" w:rsidRPr="00A271BB" w:rsidRDefault="00A271BB" w:rsidP="00C13B4A">
      <w:pPr>
        <w:jc w:val="both"/>
      </w:pPr>
      <w:r w:rsidRPr="00A271BB">
        <w:t>Esta especificación define un proceso para verificar la coherencia del cálculo de</w:t>
      </w:r>
      <w:r w:rsidR="00294FB8">
        <w:t xml:space="preserve"> </w:t>
      </w:r>
      <w:hyperlink r:id="rId26" w:anchor="component-fact" w:history="1">
        <w:r w:rsidRPr="00A271BB">
          <w:rPr>
            <w:rStyle w:val="Hipervnculo"/>
            <w:i/>
            <w:iCs/>
          </w:rPr>
          <w:t>los hechos</w:t>
        </w:r>
      </w:hyperlink>
      <w:r w:rsidR="00294FB8">
        <w:t xml:space="preserve"> </w:t>
      </w:r>
      <w:r w:rsidRPr="00A271BB">
        <w:t>en un informe XBRL con relaciones definidas en una taxonomía XBRL y prescribe códigos de error que se generarán si se descubre que un informe es inconsistente (consulte la</w:t>
      </w:r>
      <w:r w:rsidR="00294FB8">
        <w:t xml:space="preserve"> </w:t>
      </w:r>
      <w:hyperlink r:id="rId27" w:anchor="sec-consistency-checking" w:history="1">
        <w:r w:rsidRPr="00A271BB">
          <w:rPr>
            <w:rStyle w:val="Hipervnculo"/>
          </w:rPr>
          <w:t>Sección 5.2</w:t>
        </w:r>
      </w:hyperlink>
      <w:r w:rsidRPr="00A271BB">
        <w:t>).</w:t>
      </w:r>
    </w:p>
    <w:p w14:paraId="1602DAEA" w14:textId="7A018A8D" w:rsidR="00A271BB" w:rsidRPr="00A271BB" w:rsidRDefault="00A271BB" w:rsidP="00C13B4A">
      <w:pPr>
        <w:jc w:val="both"/>
      </w:pPr>
      <w:r w:rsidRPr="00A271BB">
        <w:t>La especificación define un nuevo arcorol que se utiliza para definir relaciones de cálculo a las que se aplica la semántica definida en esta especificación.</w:t>
      </w:r>
      <w:r w:rsidR="00294FB8">
        <w:t xml:space="preserve"> </w:t>
      </w:r>
      <w:r w:rsidRPr="00A271BB">
        <w:t>Los procesadores que implementan esta especificación pueden aplicar opcionalmente la semántica descrita en esta especificación a las relaciones definidas utilizando la función de "elemento de suma" de la</w:t>
      </w:r>
      <w:r w:rsidR="00294FB8">
        <w:t xml:space="preserve"> </w:t>
      </w:r>
      <w:hyperlink r:id="rId28" w:history="1">
        <w:r w:rsidRPr="00A271BB">
          <w:rPr>
            <w:rStyle w:val="Hipervnculo"/>
          </w:rPr>
          <w:t>especificación XBRL v2.1 (consulte</w:t>
        </w:r>
        <w:r w:rsidR="00294FB8">
          <w:rPr>
            <w:rStyle w:val="Hipervnculo"/>
          </w:rPr>
          <w:t xml:space="preserve"> </w:t>
        </w:r>
      </w:hyperlink>
      <w:hyperlink r:id="rId29" w:anchor="sec-summation-item-relationships" w:history="1">
        <w:r w:rsidRPr="00A271BB">
          <w:rPr>
            <w:rStyle w:val="Hipervnculo"/>
          </w:rPr>
          <w:t>la Sección 4.1</w:t>
        </w:r>
      </w:hyperlink>
      <w:r w:rsidRPr="00A271BB">
        <w:t>).</w:t>
      </w:r>
    </w:p>
    <w:p w14:paraId="06950F83" w14:textId="77777777" w:rsidR="00A271BB" w:rsidRPr="00C13B4A" w:rsidRDefault="00A271BB" w:rsidP="00C13B4A">
      <w:pPr>
        <w:jc w:val="both"/>
        <w:rPr>
          <w:rFonts w:ascii="Arial Nova Cond" w:hAnsi="Arial Nova Cond"/>
          <w:color w:val="4472C4" w:themeColor="accent1"/>
          <w:sz w:val="24"/>
          <w:szCs w:val="24"/>
        </w:rPr>
      </w:pPr>
      <w:r w:rsidRPr="00C13B4A">
        <w:rPr>
          <w:rFonts w:ascii="Arial Nova Cond" w:hAnsi="Arial Nova Cond"/>
          <w:color w:val="4472C4" w:themeColor="accent1"/>
          <w:sz w:val="24"/>
          <w:szCs w:val="24"/>
        </w:rPr>
        <w:t>3.1 Estado de validación</w:t>
      </w:r>
    </w:p>
    <w:p w14:paraId="1F80D987" w14:textId="6BD3DA84" w:rsidR="00A271BB" w:rsidRPr="00A271BB" w:rsidRDefault="00A271BB" w:rsidP="00C13B4A">
      <w:pPr>
        <w:jc w:val="both"/>
      </w:pPr>
      <w:r w:rsidRPr="00A271BB">
        <w:t>Esta especificación define códigos de error que DEBE generar un procesador conforme cuando se detectan inconsistencias en los cálculos.</w:t>
      </w:r>
      <w:r w:rsidR="00294FB8">
        <w:t xml:space="preserve"> </w:t>
      </w:r>
      <w:r w:rsidRPr="00A271BB">
        <w:t>Los errores de inconsistencia en los cálculos no invalidan un informe XBRL y los procesadores PUEDEN continuar procesando documentos que contengan dichos errores.</w:t>
      </w:r>
    </w:p>
    <w:p w14:paraId="2D25C7B7" w14:textId="77777777" w:rsidR="00A271BB" w:rsidRPr="00C13B4A" w:rsidRDefault="00A271BB" w:rsidP="00C13B4A">
      <w:pPr>
        <w:jc w:val="both"/>
        <w:rPr>
          <w:rFonts w:ascii="Arial Nova Cond" w:hAnsi="Arial Nova Cond"/>
          <w:color w:val="4472C4" w:themeColor="accent1"/>
          <w:sz w:val="24"/>
          <w:szCs w:val="24"/>
        </w:rPr>
      </w:pPr>
      <w:r w:rsidRPr="00C13B4A">
        <w:rPr>
          <w:rFonts w:ascii="Arial Nova Cond" w:hAnsi="Arial Nova Cond"/>
          <w:color w:val="4472C4" w:themeColor="accent1"/>
          <w:sz w:val="24"/>
          <w:szCs w:val="24"/>
        </w:rPr>
        <w:t>3.2 Compatibilidad OIM</w:t>
      </w:r>
    </w:p>
    <w:p w14:paraId="1D6B8FC0" w14:textId="68EBA93E" w:rsidR="00A271BB" w:rsidRPr="00A271BB" w:rsidRDefault="00A271BB" w:rsidP="00C13B4A">
      <w:pPr>
        <w:jc w:val="both"/>
      </w:pPr>
      <w:r w:rsidRPr="00A271BB">
        <w:t>Esta especificación hace uso de definiciones del</w:t>
      </w:r>
      <w:r w:rsidR="00294FB8">
        <w:t xml:space="preserve"> </w:t>
      </w:r>
      <w:hyperlink r:id="rId30" w:history="1">
        <w:r w:rsidRPr="00A271BB">
          <w:rPr>
            <w:rStyle w:val="Hipervnculo"/>
          </w:rPr>
          <w:t>Modelo de Información Abierto</w:t>
        </w:r>
      </w:hyperlink>
      <w:r w:rsidR="00294FB8">
        <w:t xml:space="preserve"> </w:t>
      </w:r>
      <w:r w:rsidRPr="00A271BB">
        <w:t>y se puede aplicar a informes XBRL en cualquier formato compatible con OIM, incluidos</w:t>
      </w:r>
      <w:r w:rsidR="00294FB8">
        <w:t xml:space="preserve"> </w:t>
      </w:r>
      <w:hyperlink r:id="rId31" w:history="1">
        <w:r w:rsidRPr="00A271BB">
          <w:rPr>
            <w:rStyle w:val="Hipervnculo"/>
          </w:rPr>
          <w:t>xBRL-XML</w:t>
        </w:r>
      </w:hyperlink>
      <w:r w:rsidR="00294FB8">
        <w:t xml:space="preserve"> </w:t>
      </w:r>
      <w:r w:rsidRPr="00A271BB">
        <w:t>(documentos de instancia XBRL v2.1),</w:t>
      </w:r>
      <w:r w:rsidR="00294FB8">
        <w:t xml:space="preserve"> </w:t>
      </w:r>
      <w:hyperlink r:id="rId32" w:history="1">
        <w:r w:rsidRPr="00A271BB">
          <w:rPr>
            <w:rStyle w:val="Hipervnculo"/>
          </w:rPr>
          <w:t>xBRL-JSON</w:t>
        </w:r>
      </w:hyperlink>
      <w:r w:rsidR="00294FB8">
        <w:t xml:space="preserve"> </w:t>
      </w:r>
      <w:r w:rsidRPr="00A271BB">
        <w:t>y</w:t>
      </w:r>
      <w:r w:rsidR="00294FB8">
        <w:t xml:space="preserve"> </w:t>
      </w:r>
      <w:hyperlink r:id="rId33" w:history="1">
        <w:r w:rsidRPr="00A271BB">
          <w:rPr>
            <w:rStyle w:val="Hipervnculo"/>
          </w:rPr>
          <w:t>xBRL-CSV</w:t>
        </w:r>
      </w:hyperlink>
      <w:r w:rsidRPr="00A271BB">
        <w:t>.</w:t>
      </w:r>
    </w:p>
    <w:p w14:paraId="42766B2D" w14:textId="47512C68" w:rsidR="00A271BB" w:rsidRPr="00A271BB" w:rsidRDefault="00915995" w:rsidP="00C13B4A">
      <w:pPr>
        <w:jc w:val="both"/>
      </w:pPr>
      <w:hyperlink r:id="rId34" w:anchor="sec-constraints" w:history="1">
        <w:r w:rsidR="00A271BB" w:rsidRPr="00A271BB">
          <w:rPr>
            <w:rStyle w:val="Hipervnculo"/>
          </w:rPr>
          <w:t>xBRL-XML La Sección 2.1</w:t>
        </w:r>
      </w:hyperlink>
      <w:r w:rsidR="00294FB8">
        <w:t xml:space="preserve"> </w:t>
      </w:r>
      <w:r w:rsidR="00A271BB" w:rsidRPr="00A271BB">
        <w:t>define las restricciones que los informes xBRL-XML deben cumplir para poder cargarse en el Modelo de Información Abierto.</w:t>
      </w:r>
      <w:r w:rsidR="00294FB8">
        <w:t xml:space="preserve"> </w:t>
      </w:r>
      <w:r w:rsidR="00A271BB" w:rsidRPr="00A271BB">
        <w:t>Los procesadores conformes DEBEN aplicar las restricciones de la siguiente manera:</w:t>
      </w:r>
    </w:p>
    <w:p w14:paraId="53FA808D" w14:textId="6ACA551D" w:rsidR="00A271BB" w:rsidRPr="00A271BB" w:rsidRDefault="00A271BB" w:rsidP="00C13B4A">
      <w:pPr>
        <w:numPr>
          <w:ilvl w:val="0"/>
          <w:numId w:val="1"/>
        </w:numPr>
        <w:jc w:val="both"/>
      </w:pPr>
      <w:r w:rsidRPr="00A271BB">
        <w:t>Si los únicos errores generados son</w:t>
      </w:r>
      <w:r w:rsidR="00294FB8">
        <w:t xml:space="preserve"> </w:t>
      </w:r>
      <w:proofErr w:type="gramStart"/>
      <w:r w:rsidRPr="00A271BB">
        <w:t>xbrlxe:unsupportedTuple</w:t>
      </w:r>
      <w:proofErr w:type="gramEnd"/>
      <w:r w:rsidRPr="00A271BB">
        <w:t xml:space="preserve">, los errores se reemplazan con una advertencia no fatal (calc11e:tuplesInReportWarning) y el procesamiento definido por </w:t>
      </w:r>
      <w:r w:rsidRPr="00A271BB">
        <w:lastRenderedPageBreak/>
        <w:t>esta especificación continúa como si las tuplas (y cualquier relación de nota al pie en la que se encuentren) implicados) no estaban presentes.</w:t>
      </w:r>
    </w:p>
    <w:p w14:paraId="4C228DF1" w14:textId="282C7918" w:rsidR="00A271BB" w:rsidRPr="00A271BB" w:rsidRDefault="00A271BB" w:rsidP="00C13B4A">
      <w:pPr>
        <w:numPr>
          <w:ilvl w:val="0"/>
          <w:numId w:val="1"/>
        </w:numPr>
        <w:jc w:val="both"/>
      </w:pPr>
      <w:r w:rsidRPr="00A271BB">
        <w:t>Si se genera algún otro error, se reemplaza con una advertencia no fatal (calc11</w:t>
      </w:r>
      <w:proofErr w:type="gramStart"/>
      <w:r w:rsidRPr="00A271BB">
        <w:t>e:oimIncompatibleReportWarning</w:t>
      </w:r>
      <w:proofErr w:type="gramEnd"/>
      <w:r w:rsidRPr="00A271BB">
        <w:t>) y no se realiza ningún procesamiento adicional de Cálculos 1.1.</w:t>
      </w:r>
    </w:p>
    <w:p w14:paraId="64AC45E4" w14:textId="5C9EFCA3" w:rsidR="00A271BB" w:rsidRPr="00A271BB" w:rsidRDefault="00A271BB" w:rsidP="00C13B4A">
      <w:pPr>
        <w:jc w:val="both"/>
      </w:pPr>
      <w:r w:rsidRPr="00A271BB">
        <w:t>Esta especificación no limita cuántas veces se informa cada advertencia.</w:t>
      </w:r>
      <w:r w:rsidR="00294FB8">
        <w:t xml:space="preserve"> </w:t>
      </w:r>
      <w:r w:rsidRPr="00A271BB">
        <w:t>Los procesadores PUEDEN reemplazar todos</w:t>
      </w:r>
      <w:r w:rsidR="00294FB8">
        <w:t xml:space="preserve"> </w:t>
      </w:r>
      <w:proofErr w:type="spellStart"/>
      <w:r w:rsidRPr="00A271BB">
        <w:t>xbrlxelos</w:t>
      </w:r>
      <w:proofErr w:type="spellEnd"/>
      <w:r w:rsidRPr="00A271BB">
        <w:t xml:space="preserve"> errores con una única instancia de la advertencia relevante, o PUEDEN producir una advertencia por error.</w:t>
      </w:r>
    </w:p>
    <w:p w14:paraId="3D328DBE" w14:textId="3DC990F4" w:rsidR="00A271BB" w:rsidRDefault="00A271BB">
      <w:r w:rsidRPr="00A271BB">
        <w:rPr>
          <w:noProof/>
        </w:rPr>
        <w:drawing>
          <wp:inline distT="0" distB="0" distL="0" distR="0" wp14:anchorId="60FF4BCA" wp14:editId="3739C1B8">
            <wp:extent cx="5612130" cy="2472055"/>
            <wp:effectExtent l="0" t="0" r="7620" b="4445"/>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5612130" cy="2472055"/>
                    </a:xfrm>
                    <a:prstGeom prst="rect">
                      <a:avLst/>
                    </a:prstGeom>
                  </pic:spPr>
                </pic:pic>
              </a:graphicData>
            </a:graphic>
          </wp:inline>
        </w:drawing>
      </w:r>
    </w:p>
    <w:p w14:paraId="0DFC803D" w14:textId="78ABFF3E" w:rsidR="00A271BB" w:rsidRPr="00C13B4A" w:rsidRDefault="00A271BB" w:rsidP="00A271BB">
      <w:pPr>
        <w:rPr>
          <w:rFonts w:ascii="Arial Nova Cond" w:hAnsi="Arial Nova Cond"/>
          <w:color w:val="4472C4" w:themeColor="accent1"/>
          <w:sz w:val="28"/>
          <w:szCs w:val="28"/>
        </w:rPr>
      </w:pPr>
      <w:r w:rsidRPr="00C13B4A">
        <w:rPr>
          <w:rFonts w:ascii="Arial Nova Cond" w:hAnsi="Arial Nova Cond"/>
          <w:color w:val="4472C4" w:themeColor="accent1"/>
          <w:sz w:val="28"/>
          <w:szCs w:val="28"/>
        </w:rPr>
        <w:t>4</w:t>
      </w:r>
      <w:r w:rsidR="00C13B4A" w:rsidRPr="00C13B4A">
        <w:rPr>
          <w:rFonts w:ascii="Arial Nova Cond" w:hAnsi="Arial Nova Cond"/>
          <w:color w:val="4472C4" w:themeColor="accent1"/>
          <w:sz w:val="28"/>
          <w:szCs w:val="28"/>
        </w:rPr>
        <w:t>.</w:t>
      </w:r>
      <w:r w:rsidRPr="00C13B4A">
        <w:rPr>
          <w:rFonts w:ascii="Arial Nova Cond" w:hAnsi="Arial Nova Cond"/>
          <w:color w:val="4472C4" w:themeColor="accent1"/>
          <w:sz w:val="28"/>
          <w:szCs w:val="28"/>
        </w:rPr>
        <w:t xml:space="preserve"> Definición de cálculo</w:t>
      </w:r>
    </w:p>
    <w:p w14:paraId="2AD064E6" w14:textId="77777777" w:rsidR="00A271BB" w:rsidRPr="00C13B4A" w:rsidRDefault="00A271BB" w:rsidP="00A271BB">
      <w:pPr>
        <w:rPr>
          <w:rFonts w:ascii="Arial Nova Cond" w:hAnsi="Arial Nova Cond"/>
          <w:color w:val="4472C4" w:themeColor="accent1"/>
          <w:sz w:val="24"/>
          <w:szCs w:val="24"/>
        </w:rPr>
      </w:pPr>
      <w:r w:rsidRPr="00C13B4A">
        <w:rPr>
          <w:rFonts w:ascii="Arial Nova Cond" w:hAnsi="Arial Nova Cond"/>
          <w:color w:val="4472C4" w:themeColor="accent1"/>
          <w:sz w:val="24"/>
          <w:szCs w:val="24"/>
        </w:rPr>
        <w:t>4.1 Relaciones suma-ítem</w:t>
      </w:r>
    </w:p>
    <w:p w14:paraId="17BBA300" w14:textId="1E65951C" w:rsidR="00A271BB" w:rsidRPr="00A271BB" w:rsidRDefault="00A271BB" w:rsidP="00C13B4A">
      <w:pPr>
        <w:jc w:val="both"/>
      </w:pPr>
      <w:bookmarkStart w:id="0" w:name="summation-item-relationship"/>
      <w:r w:rsidRPr="00A271BB">
        <w:t>Una</w:t>
      </w:r>
      <w:r w:rsidR="00C13B4A">
        <w:t xml:space="preserve"> </w:t>
      </w:r>
      <w:r w:rsidRPr="00A271BB">
        <w:rPr>
          <w:b/>
          <w:bCs/>
        </w:rPr>
        <w:t>relación sumatoria-elemento</w:t>
      </w:r>
      <w:r w:rsidR="00294FB8">
        <w:t xml:space="preserve"> </w:t>
      </w:r>
      <w:r w:rsidRPr="00A271BB">
        <w:t>es una</w:t>
      </w:r>
      <w:r w:rsidR="00294FB8">
        <w:t xml:space="preserve"> </w:t>
      </w:r>
      <w:bookmarkEnd w:id="0"/>
      <w:r w:rsidRPr="00A271BB">
        <w:fldChar w:fldCharType="begin"/>
      </w:r>
      <w:r w:rsidRPr="00A271BB">
        <w:instrText xml:space="preserve"> HYPERLINK "https://www.xbrl.org/Specification/calculation-1.1/REC-2023-02-22/calculation-1.1-REC-2023-02-22.html" \l "effective-relationship" </w:instrText>
      </w:r>
      <w:r w:rsidRPr="00A271BB">
        <w:fldChar w:fldCharType="separate"/>
      </w:r>
      <w:r w:rsidRPr="00A271BB">
        <w:rPr>
          <w:rStyle w:val="Hipervnculo"/>
          <w:i/>
          <w:iCs/>
        </w:rPr>
        <w:t>relación efectiva</w:t>
      </w:r>
      <w:r w:rsidRPr="00A271BB">
        <w:fldChar w:fldCharType="end"/>
      </w:r>
      <w:r w:rsidR="00294FB8">
        <w:t xml:space="preserve"> </w:t>
      </w:r>
      <w:r w:rsidRPr="00A271BB">
        <w:t>definida por un</w:t>
      </w:r>
      <w:r w:rsidR="00C13B4A">
        <w:t xml:space="preserve"> </w:t>
      </w:r>
      <w:proofErr w:type="spellStart"/>
      <w:r w:rsidRPr="00A271BB">
        <w:t>calculationArcelemento</w:t>
      </w:r>
      <w:proofErr w:type="spellEnd"/>
      <w:r w:rsidRPr="00A271BB">
        <w:t xml:space="preserve"> con</w:t>
      </w:r>
      <w:r w:rsidR="00C13B4A">
        <w:t xml:space="preserve"> </w:t>
      </w:r>
      <w:hyperlink r:id="rId36" w:history="1">
        <w:r w:rsidR="00C13B4A" w:rsidRPr="00C13B4A">
          <w:rPr>
            <w:rStyle w:val="Hipervnculo"/>
            <w:sz w:val="20"/>
            <w:szCs w:val="20"/>
          </w:rPr>
          <w:t>http://www.xbrl.org/2003/arcrole/summation-itemohttps://xbrl.org/2023/arcrole/summation-item</w:t>
        </w:r>
      </w:hyperlink>
      <w:r w:rsidRPr="00C13B4A">
        <w:rPr>
          <w:sz w:val="20"/>
          <w:szCs w:val="20"/>
        </w:rPr>
        <w:t>.</w:t>
      </w:r>
    </w:p>
    <w:p w14:paraId="1468E981" w14:textId="496F83FC" w:rsidR="00A271BB" w:rsidRPr="00A271BB" w:rsidRDefault="00A271BB" w:rsidP="00C13B4A">
      <w:pPr>
        <w:jc w:val="both"/>
      </w:pPr>
      <w:bookmarkStart w:id="1" w:name="xbrl-v2-1-calculation-relationship"/>
      <w:r w:rsidRPr="00A271BB">
        <w:t>Una</w:t>
      </w:r>
      <w:r w:rsidR="00C13B4A">
        <w:t xml:space="preserve"> </w:t>
      </w:r>
      <w:r w:rsidRPr="00A271BB">
        <w:rPr>
          <w:b/>
          <w:bCs/>
        </w:rPr>
        <w:t>relación de cálculo XBRL v2.1</w:t>
      </w:r>
      <w:r w:rsidR="00C13B4A">
        <w:t xml:space="preserve"> </w:t>
      </w:r>
      <w:r w:rsidRPr="00A271BB">
        <w:t>es una</w:t>
      </w:r>
      <w:r w:rsidR="00C13B4A">
        <w:t xml:space="preserve"> </w:t>
      </w:r>
      <w:bookmarkEnd w:id="1"/>
      <w:r w:rsidRPr="00A271BB">
        <w:fldChar w:fldCharType="begin"/>
      </w:r>
      <w:r w:rsidRPr="00A271BB">
        <w:instrText xml:space="preserve"> HYPERLINK "https://www.xbrl.org/Specification/calculation-1.1/REC-2023-02-22/calculation-1.1-REC-2023-02-22.html" \l "summation-item-relationship" </w:instrText>
      </w:r>
      <w:r w:rsidRPr="00A271BB">
        <w:fldChar w:fldCharType="separate"/>
      </w:r>
      <w:r w:rsidRPr="00A271BB">
        <w:rPr>
          <w:rStyle w:val="Hipervnculo"/>
          <w:i/>
          <w:iCs/>
        </w:rPr>
        <w:t>relación de elementos de suma</w:t>
      </w:r>
      <w:r w:rsidRPr="00A271BB">
        <w:fldChar w:fldCharType="end"/>
      </w:r>
      <w:r w:rsidR="00C13B4A">
        <w:t xml:space="preserve"> </w:t>
      </w:r>
      <w:r w:rsidRPr="00A271BB">
        <w:t>con una función de arco de</w:t>
      </w:r>
      <w:r w:rsidR="00C13B4A">
        <w:t xml:space="preserve"> </w:t>
      </w:r>
      <w:hyperlink r:id="rId37" w:history="1">
        <w:r w:rsidR="00C13B4A" w:rsidRPr="002E3E81">
          <w:rPr>
            <w:rStyle w:val="Hipervnculo"/>
          </w:rPr>
          <w:t>http://www.xbrl.org/2003/arcrole/summation-item</w:t>
        </w:r>
      </w:hyperlink>
      <w:r w:rsidRPr="00A271BB">
        <w:t>.</w:t>
      </w:r>
    </w:p>
    <w:p w14:paraId="17D2BDAD" w14:textId="7C592127" w:rsidR="00A271BB" w:rsidRPr="00A271BB" w:rsidRDefault="00A271BB" w:rsidP="00C13B4A">
      <w:pPr>
        <w:jc w:val="both"/>
      </w:pPr>
      <w:bookmarkStart w:id="2" w:name="calculations-v1-1-relationship"/>
      <w:r w:rsidRPr="00A271BB">
        <w:t>Una</w:t>
      </w:r>
      <w:r w:rsidR="00C13B4A">
        <w:t xml:space="preserve"> </w:t>
      </w:r>
      <w:r w:rsidRPr="00A271BB">
        <w:rPr>
          <w:b/>
          <w:bCs/>
        </w:rPr>
        <w:t>relación de Cálculos v1.1</w:t>
      </w:r>
      <w:r w:rsidR="00C13B4A">
        <w:t xml:space="preserve"> </w:t>
      </w:r>
      <w:r w:rsidRPr="00A271BB">
        <w:t>es una</w:t>
      </w:r>
      <w:r w:rsidR="00C13B4A">
        <w:t xml:space="preserve"> </w:t>
      </w:r>
      <w:bookmarkEnd w:id="2"/>
      <w:r w:rsidRPr="00A271BB">
        <w:fldChar w:fldCharType="begin"/>
      </w:r>
      <w:r w:rsidRPr="00A271BB">
        <w:instrText xml:space="preserve"> HYPERLINK "https://www.xbrl.org/Specification/calculation-1.1/REC-2023-02-22/calculation-1.1-REC-2023-02-22.html" \l "summation-item-relationship" </w:instrText>
      </w:r>
      <w:r w:rsidRPr="00A271BB">
        <w:fldChar w:fldCharType="separate"/>
      </w:r>
      <w:r w:rsidRPr="00A271BB">
        <w:rPr>
          <w:rStyle w:val="Hipervnculo"/>
          <w:i/>
          <w:iCs/>
        </w:rPr>
        <w:t>relación de suma-elemento</w:t>
      </w:r>
      <w:r w:rsidRPr="00A271BB">
        <w:fldChar w:fldCharType="end"/>
      </w:r>
      <w:r w:rsidR="00C13B4A">
        <w:t xml:space="preserve"> </w:t>
      </w:r>
      <w:r w:rsidRPr="00A271BB">
        <w:t>con un arco de</w:t>
      </w:r>
      <w:r w:rsidR="00C13B4A">
        <w:t xml:space="preserve"> </w:t>
      </w:r>
      <w:hyperlink r:id="rId38" w:history="1">
        <w:r w:rsidR="00C13B4A" w:rsidRPr="002E3E81">
          <w:rPr>
            <w:rStyle w:val="Hipervnculo"/>
          </w:rPr>
          <w:t>https://xbrl.org/2023/arcrole/summation-item</w:t>
        </w:r>
      </w:hyperlink>
      <w:r w:rsidR="00C13B4A">
        <w:t xml:space="preserve"> </w:t>
      </w:r>
      <w:r w:rsidRPr="00A271BB">
        <w:t>(consulte</w:t>
      </w:r>
      <w:r w:rsidR="00C13B4A">
        <w:t xml:space="preserve"> </w:t>
      </w:r>
      <w:hyperlink r:id="rId39" w:anchor="app-schema" w:history="1">
        <w:r w:rsidRPr="00A271BB">
          <w:rPr>
            <w:rStyle w:val="Hipervnculo"/>
          </w:rPr>
          <w:t>el Apéndice A</w:t>
        </w:r>
      </w:hyperlink>
      <w:r w:rsidRPr="00A271BB">
        <w:t>).</w:t>
      </w:r>
    </w:p>
    <w:p w14:paraId="0AC35816" w14:textId="24E9F599" w:rsidR="00A271BB" w:rsidRPr="00A271BB" w:rsidRDefault="00A271BB" w:rsidP="00C13B4A">
      <w:pPr>
        <w:jc w:val="both"/>
      </w:pPr>
      <w:bookmarkStart w:id="3" w:name="effective-relationship"/>
      <w:r w:rsidRPr="00A271BB">
        <w:t>Una </w:t>
      </w:r>
      <w:r w:rsidRPr="00A271BB">
        <w:rPr>
          <w:b/>
          <w:bCs/>
        </w:rPr>
        <w:t>relación efectiva</w:t>
      </w:r>
      <w:r w:rsidR="00294FB8">
        <w:t xml:space="preserve"> </w:t>
      </w:r>
      <w:r w:rsidRPr="00A271BB">
        <w:t>es una relación XLink que no ha sido prohibida o anulada por un arco con una prioridad más alta, como se describe en</w:t>
      </w:r>
      <w:r w:rsidR="00294FB8">
        <w:t xml:space="preserve"> </w:t>
      </w:r>
      <w:bookmarkEnd w:id="3"/>
      <w:r w:rsidRPr="00A271BB">
        <w:fldChar w:fldCharType="begin"/>
      </w:r>
      <w:r w:rsidRPr="00A271BB">
        <w:instrText xml:space="preserve"> HYPERLINK "https://www.xbrl.org/Specification/XBRL-2.1/REC-2003-12-31/XBRL-2.1-REC-2003-12-31+corrected-errata-2013-02-20.html" \l "_3.5.3.9.7" </w:instrText>
      </w:r>
      <w:r w:rsidRPr="00A271BB">
        <w:fldChar w:fldCharType="separate"/>
      </w:r>
      <w:r w:rsidRPr="00A271BB">
        <w:rPr>
          <w:rStyle w:val="Hipervnculo"/>
        </w:rPr>
        <w:t>XBRL v2.1 sección 3.5.3.9.7</w:t>
      </w:r>
      <w:r w:rsidRPr="00A271BB">
        <w:fldChar w:fldCharType="end"/>
      </w:r>
      <w:r w:rsidRPr="00A271BB">
        <w:t>.</w:t>
      </w:r>
    </w:p>
    <w:p w14:paraId="03170D5A" w14:textId="13E76A74" w:rsidR="00A271BB" w:rsidRPr="00A271BB" w:rsidRDefault="00A271BB" w:rsidP="00C13B4A">
      <w:pPr>
        <w:jc w:val="both"/>
      </w:pPr>
      <w:bookmarkStart w:id="4" w:name="calculations-v1-1-validation"/>
      <w:r w:rsidRPr="00A271BB">
        <w:rPr>
          <w:b/>
          <w:bCs/>
        </w:rPr>
        <w:t>La validación de cálculos v1.1</w:t>
      </w:r>
      <w:r w:rsidR="00294FB8">
        <w:t xml:space="preserve"> </w:t>
      </w:r>
      <w:r w:rsidRPr="00A271BB">
        <w:t>es el proceso de aplicar la verificación de cálculos descrita en</w:t>
      </w:r>
      <w:r w:rsidR="00294FB8">
        <w:t xml:space="preserve"> </w:t>
      </w:r>
      <w:bookmarkEnd w:id="4"/>
      <w:r w:rsidRPr="00A271BB">
        <w:fldChar w:fldCharType="begin"/>
      </w:r>
      <w:r w:rsidRPr="00A271BB">
        <w:instrText xml:space="preserve"> HYPERLINK "https://www.xbrl.org/Specification/calculation-1.1/REC-2023-02-22/calculation-1.1-REC-2023-02-22.html" \l "sec-calculation-application" </w:instrText>
      </w:r>
      <w:r w:rsidRPr="00A271BB">
        <w:fldChar w:fldCharType="separate"/>
      </w:r>
      <w:r w:rsidRPr="00A271BB">
        <w:rPr>
          <w:rStyle w:val="Hipervnculo"/>
        </w:rPr>
        <w:t>la Sección 5</w:t>
      </w:r>
      <w:r w:rsidRPr="00A271BB">
        <w:fldChar w:fldCharType="end"/>
      </w:r>
      <w:r w:rsidRPr="00A271BB">
        <w:t>.</w:t>
      </w:r>
    </w:p>
    <w:p w14:paraId="2667E281" w14:textId="752CEDEA" w:rsidR="00A271BB" w:rsidRPr="00A271BB" w:rsidRDefault="00A271BB" w:rsidP="00C13B4A">
      <w:pPr>
        <w:jc w:val="both"/>
      </w:pPr>
      <w:bookmarkStart w:id="5" w:name="xbrl-v2-1-calculation-consistency-checki"/>
      <w:r w:rsidRPr="00A271BB">
        <w:rPr>
          <w:b/>
          <w:bCs/>
        </w:rPr>
        <w:t>La verificación de la coherencia del cálculo XBRL v2.1</w:t>
      </w:r>
      <w:r w:rsidR="00294FB8">
        <w:t xml:space="preserve"> </w:t>
      </w:r>
      <w:r w:rsidRPr="00A271BB">
        <w:t>es el proceso del comportamiento descrito en</w:t>
      </w:r>
      <w:r w:rsidR="00294FB8">
        <w:t xml:space="preserve"> </w:t>
      </w:r>
      <w:bookmarkEnd w:id="5"/>
      <w:r w:rsidRPr="00A271BB">
        <w:fldChar w:fldCharType="begin"/>
      </w:r>
      <w:r w:rsidRPr="00A271BB">
        <w:instrText xml:space="preserve"> HYPERLINK "https://www.xbrl.org/Specification/XBRL-2.1/REC-2003-12-31/XBRL-2.1-REC-2003-12-31+corrected-errata-2013-02-20.html" \l "_5.2.5.2" </w:instrText>
      </w:r>
      <w:r w:rsidRPr="00A271BB">
        <w:fldChar w:fldCharType="separate"/>
      </w:r>
      <w:r w:rsidRPr="00A271BB">
        <w:rPr>
          <w:rStyle w:val="Hipervnculo"/>
        </w:rPr>
        <w:t>la sección 5.2.5.2 de XBRL v2.1</w:t>
      </w:r>
      <w:r w:rsidRPr="00A271BB">
        <w:fldChar w:fldCharType="end"/>
      </w:r>
      <w:r w:rsidR="00294FB8">
        <w:t xml:space="preserve"> </w:t>
      </w:r>
      <w:r w:rsidRPr="00A271BB">
        <w:t>y la señalización de inconsistencias entre un informe XBRL y</w:t>
      </w:r>
      <w:r w:rsidR="00294FB8">
        <w:t xml:space="preserve"> </w:t>
      </w:r>
      <w:hyperlink r:id="rId40" w:anchor="xbrl-v2-1-calculation-relationship" w:history="1">
        <w:r w:rsidRPr="00A271BB">
          <w:rPr>
            <w:rStyle w:val="Hipervnculo"/>
            <w:i/>
            <w:iCs/>
          </w:rPr>
          <w:t>las relaciones de cálculo XBRL v2.1</w:t>
        </w:r>
      </w:hyperlink>
      <w:r w:rsidRPr="00A271BB">
        <w:t>.</w:t>
      </w:r>
    </w:p>
    <w:p w14:paraId="7A693A2A" w14:textId="7DA70F1C" w:rsidR="00A271BB" w:rsidRPr="00A271BB" w:rsidRDefault="00A271BB" w:rsidP="00C13B4A">
      <w:pPr>
        <w:jc w:val="both"/>
      </w:pPr>
      <w:r w:rsidRPr="00A271BB">
        <w:lastRenderedPageBreak/>
        <w:t>Un procesador que implemente esta especificación DEBE aplicar</w:t>
      </w:r>
      <w:r w:rsidR="00294FB8">
        <w:t xml:space="preserve"> </w:t>
      </w:r>
      <w:hyperlink r:id="rId41" w:anchor="calculations-v1-1-validation" w:history="1">
        <w:r w:rsidRPr="00A271BB">
          <w:rPr>
            <w:rStyle w:val="Hipervnculo"/>
            <w:i/>
            <w:iCs/>
          </w:rPr>
          <w:t>la validación de Calculations v1.1</w:t>
        </w:r>
      </w:hyperlink>
      <w:r w:rsidR="00294FB8">
        <w:t xml:space="preserve"> </w:t>
      </w:r>
      <w:r w:rsidRPr="00A271BB">
        <w:t>a</w:t>
      </w:r>
      <w:r w:rsidR="00294FB8">
        <w:t xml:space="preserve"> </w:t>
      </w:r>
      <w:hyperlink r:id="rId42" w:anchor="calculations-v1-1-relationship" w:history="1">
        <w:r w:rsidRPr="00A271BB">
          <w:rPr>
            <w:rStyle w:val="Hipervnculo"/>
            <w:i/>
            <w:iCs/>
          </w:rPr>
          <w:t>las relaciones de Calculations v1.1</w:t>
        </w:r>
      </w:hyperlink>
      <w:r w:rsidRPr="00A271BB">
        <w:t>.</w:t>
      </w:r>
    </w:p>
    <w:p w14:paraId="31E96328" w14:textId="288FEB60" w:rsidR="00A271BB" w:rsidRPr="00A271BB" w:rsidRDefault="00A271BB" w:rsidP="00C13B4A">
      <w:pPr>
        <w:jc w:val="both"/>
      </w:pPr>
      <w:r w:rsidRPr="00A271BB">
        <w:t>Los procesadores PUEDEN proporcionar un modo de operación que permita</w:t>
      </w:r>
      <w:r w:rsidR="00294FB8">
        <w:t xml:space="preserve"> </w:t>
      </w:r>
      <w:r w:rsidRPr="00A271BB">
        <w:t>aplicar</w:t>
      </w:r>
      <w:r w:rsidR="00294FB8">
        <w:t xml:space="preserve"> </w:t>
      </w:r>
      <w:hyperlink r:id="rId43" w:anchor="calculations-v1-1-validation" w:history="1">
        <w:r w:rsidRPr="00A271BB">
          <w:rPr>
            <w:rStyle w:val="Hipervnculo"/>
            <w:i/>
            <w:iCs/>
          </w:rPr>
          <w:t>la validación de Cálculos v1.1 a</w:t>
        </w:r>
        <w:r w:rsidR="00294FB8">
          <w:rPr>
            <w:rStyle w:val="Hipervnculo"/>
            <w:i/>
            <w:iCs/>
          </w:rPr>
          <w:t xml:space="preserve"> </w:t>
        </w:r>
      </w:hyperlink>
      <w:hyperlink r:id="rId44" w:anchor="xbrl-v2-1-calculation-relationship" w:history="1">
        <w:r w:rsidRPr="00A271BB">
          <w:rPr>
            <w:rStyle w:val="Hipervnculo"/>
            <w:i/>
            <w:iCs/>
          </w:rPr>
          <w:t>las relaciones de cálculo XBRL v2.1</w:t>
        </w:r>
      </w:hyperlink>
      <w:r w:rsidR="00294FB8">
        <w:t xml:space="preserve">. </w:t>
      </w:r>
      <w:r w:rsidRPr="00A271BB">
        <w:t>Procesadores que hacen esto:</w:t>
      </w:r>
    </w:p>
    <w:p w14:paraId="618DBFC9" w14:textId="69AAD8BC" w:rsidR="00A271BB" w:rsidRPr="00A271BB" w:rsidRDefault="00A271BB" w:rsidP="00C13B4A">
      <w:pPr>
        <w:numPr>
          <w:ilvl w:val="0"/>
          <w:numId w:val="2"/>
        </w:numPr>
        <w:jc w:val="both"/>
      </w:pPr>
      <w:r w:rsidRPr="00A271BB">
        <w:t>DEBE permitir obtener los resultados de</w:t>
      </w:r>
      <w:r w:rsidR="00294FB8">
        <w:t xml:space="preserve"> </w:t>
      </w:r>
      <w:hyperlink r:id="rId45" w:anchor="xbrl-v2-1-calculation-consistency-checking" w:history="1">
        <w:r w:rsidRPr="00A271BB">
          <w:rPr>
            <w:rStyle w:val="Hipervnculo"/>
            <w:i/>
            <w:iCs/>
          </w:rPr>
          <w:t>la verificación de coherencia del cálculo XBRL v2.1</w:t>
        </w:r>
      </w:hyperlink>
      <w:r w:rsidR="00C13B4A">
        <w:t xml:space="preserve"> </w:t>
      </w:r>
      <w:r w:rsidRPr="00A271BB">
        <w:t>para dichas relaciones;</w:t>
      </w:r>
    </w:p>
    <w:p w14:paraId="16035C16" w14:textId="2C8CE507" w:rsidR="00A271BB" w:rsidRPr="00A271BB" w:rsidRDefault="00A271BB" w:rsidP="00C13B4A">
      <w:pPr>
        <w:numPr>
          <w:ilvl w:val="0"/>
          <w:numId w:val="2"/>
        </w:numPr>
        <w:jc w:val="both"/>
      </w:pPr>
      <w:r w:rsidRPr="00A271BB">
        <w:t>DEBE distinguir entre los resultados de</w:t>
      </w:r>
      <w:r w:rsidR="00C13B4A">
        <w:t xml:space="preserve"> </w:t>
      </w:r>
      <w:hyperlink r:id="rId46" w:anchor="xbrl-v2-1-calculation-consistency-checking" w:history="1">
        <w:r w:rsidRPr="00A271BB">
          <w:rPr>
            <w:rStyle w:val="Hipervnculo"/>
            <w:i/>
            <w:iCs/>
          </w:rPr>
          <w:t>la verificación de coherencia de los cálculos XBRL v2.1</w:t>
        </w:r>
      </w:hyperlink>
      <w:r w:rsidR="00C13B4A">
        <w:t xml:space="preserve"> </w:t>
      </w:r>
      <w:r w:rsidRPr="00A271BB">
        <w:t>y los resultados de</w:t>
      </w:r>
      <w:r w:rsidR="00C13B4A">
        <w:t xml:space="preserve"> </w:t>
      </w:r>
      <w:hyperlink r:id="rId47" w:anchor="calculations-v1-1-validation" w:history="1">
        <w:r w:rsidRPr="00A271BB">
          <w:rPr>
            <w:rStyle w:val="Hipervnculo"/>
            <w:i/>
            <w:iCs/>
          </w:rPr>
          <w:t>la validación de los cálculos v1.1</w:t>
        </w:r>
      </w:hyperlink>
      <w:r w:rsidRPr="00A271BB">
        <w:t>;</w:t>
      </w:r>
      <w:r w:rsidR="00C13B4A">
        <w:t xml:space="preserve"> </w:t>
      </w:r>
      <w:r w:rsidRPr="00A271BB">
        <w:t>y</w:t>
      </w:r>
    </w:p>
    <w:p w14:paraId="19F07835" w14:textId="4BABEBA3" w:rsidR="00A271BB" w:rsidRPr="00A271BB" w:rsidRDefault="00A271BB" w:rsidP="00C13B4A">
      <w:pPr>
        <w:numPr>
          <w:ilvl w:val="0"/>
          <w:numId w:val="2"/>
        </w:numPr>
        <w:jc w:val="both"/>
      </w:pPr>
      <w:r w:rsidRPr="00A271BB">
        <w:t>NO DEBE utilizar los códigos de error prescritos en esta especificación al informar inconsistencias resultantes de</w:t>
      </w:r>
      <w:r w:rsidR="00C13B4A">
        <w:t xml:space="preserve"> </w:t>
      </w:r>
      <w:hyperlink r:id="rId48" w:anchor="xbrl-v2-1-calculation-consistency-checking" w:history="1">
        <w:r w:rsidRPr="00A271BB">
          <w:rPr>
            <w:rStyle w:val="Hipervnculo"/>
            <w:i/>
            <w:iCs/>
          </w:rPr>
          <w:t>la verificación de coherencia del cálculo XBRL v2.1</w:t>
        </w:r>
      </w:hyperlink>
      <w:r w:rsidRPr="00A271BB">
        <w:t>.</w:t>
      </w:r>
    </w:p>
    <w:p w14:paraId="39405648" w14:textId="2A7C01AA" w:rsidR="00A271BB" w:rsidRPr="00A271BB" w:rsidRDefault="00915995" w:rsidP="00C13B4A">
      <w:pPr>
        <w:jc w:val="both"/>
      </w:pPr>
      <w:hyperlink r:id="rId49" w:history="1">
        <w:r w:rsidR="00A271BB" w:rsidRPr="00A271BB">
          <w:rPr>
            <w:rStyle w:val="Hipervnculo"/>
          </w:rPr>
          <w:t>XBRL v2.1</w:t>
        </w:r>
      </w:hyperlink>
      <w:r w:rsidR="00294FB8">
        <w:t xml:space="preserve"> </w:t>
      </w:r>
      <w:r w:rsidR="00A271BB" w:rsidRPr="00A271BB">
        <w:t>no prescribe ningún comportamiento para</w:t>
      </w:r>
      <w:r w:rsidR="00294FB8">
        <w:t xml:space="preserve"> </w:t>
      </w:r>
      <w:hyperlink r:id="rId50" w:anchor="calculations-v1-1-relationship" w:history="1">
        <w:r w:rsidR="00A271BB" w:rsidRPr="00A271BB">
          <w:rPr>
            <w:rStyle w:val="Hipervnculo"/>
            <w:i/>
            <w:iCs/>
          </w:rPr>
          <w:t>las relaciones de Cálculos v1.1</w:t>
        </w:r>
      </w:hyperlink>
      <w:r w:rsidR="00294FB8">
        <w:t xml:space="preserve"> </w:t>
      </w:r>
      <w:r w:rsidR="00A271BB" w:rsidRPr="00A271BB">
        <w:t>y</w:t>
      </w:r>
      <w:r w:rsidR="00294FB8">
        <w:t xml:space="preserve"> </w:t>
      </w:r>
      <w:r w:rsidR="00A271BB" w:rsidRPr="00A271BB">
        <w:t>NO DEBE aplicarse a ellas</w:t>
      </w:r>
      <w:r w:rsidR="00294FB8">
        <w:t xml:space="preserve"> </w:t>
      </w:r>
      <w:hyperlink r:id="rId51" w:anchor="xbrl-v2-1-calculation-consistency-checking" w:history="1">
        <w:r w:rsidR="00A271BB" w:rsidRPr="00A271BB">
          <w:rPr>
            <w:rStyle w:val="Hipervnculo"/>
            <w:i/>
            <w:iCs/>
          </w:rPr>
          <w:t>la comprobación de coherencia de los cálculos de XBRL v2.1 .</w:t>
        </w:r>
      </w:hyperlink>
    </w:p>
    <w:p w14:paraId="743AD781" w14:textId="3001F9D4" w:rsidR="00A271BB" w:rsidRPr="00A271BB" w:rsidRDefault="00915995" w:rsidP="00C13B4A">
      <w:pPr>
        <w:jc w:val="both"/>
      </w:pPr>
      <w:hyperlink r:id="rId52" w:anchor="calculations-v1-1-relationship" w:history="1">
        <w:r w:rsidR="00A271BB" w:rsidRPr="00A271BB">
          <w:rPr>
            <w:rStyle w:val="Hipervnculo"/>
            <w:i/>
            <w:iCs/>
          </w:rPr>
          <w:t>Las relaciones de cálculo v1.1</w:t>
        </w:r>
      </w:hyperlink>
      <w:r w:rsidR="00294FB8">
        <w:t xml:space="preserve"> </w:t>
      </w:r>
      <w:r w:rsidR="00A271BB" w:rsidRPr="00A271BB">
        <w:t>y</w:t>
      </w:r>
      <w:r w:rsidR="00294FB8">
        <w:t xml:space="preserve"> </w:t>
      </w:r>
      <w:hyperlink r:id="rId53" w:anchor="xbrl-v2-1-calculation-relationship" w:history="1">
        <w:r w:rsidR="00A271BB" w:rsidRPr="00A271BB">
          <w:rPr>
            <w:rStyle w:val="Hipervnculo"/>
            <w:i/>
            <w:iCs/>
          </w:rPr>
          <w:t>las relaciones de cálculo XBRL v2.1</w:t>
        </w:r>
      </w:hyperlink>
      <w:r w:rsidR="00294FB8">
        <w:t xml:space="preserve"> </w:t>
      </w:r>
      <w:r w:rsidR="00A271BB" w:rsidRPr="00A271BB">
        <w:t>forman dos redes completamente independientes, y en el caso de que ambas estén presentes en la misma taxonomía, la validación DEBE aplicarse a cada red por separado.</w:t>
      </w:r>
    </w:p>
    <w:p w14:paraId="78CAA3B3" w14:textId="2BCA1C10" w:rsidR="00A271BB" w:rsidRDefault="00A271BB">
      <w:r w:rsidRPr="00A271BB">
        <w:rPr>
          <w:noProof/>
        </w:rPr>
        <w:drawing>
          <wp:inline distT="0" distB="0" distL="0" distR="0" wp14:anchorId="0680B927" wp14:editId="65669760">
            <wp:extent cx="5612130" cy="2571115"/>
            <wp:effectExtent l="0" t="0" r="7620" b="635"/>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4"/>
                    <a:stretch>
                      <a:fillRect/>
                    </a:stretch>
                  </pic:blipFill>
                  <pic:spPr>
                    <a:xfrm>
                      <a:off x="0" y="0"/>
                      <a:ext cx="5612130" cy="2571115"/>
                    </a:xfrm>
                    <a:prstGeom prst="rect">
                      <a:avLst/>
                    </a:prstGeom>
                  </pic:spPr>
                </pic:pic>
              </a:graphicData>
            </a:graphic>
          </wp:inline>
        </w:drawing>
      </w:r>
    </w:p>
    <w:p w14:paraId="25950F8E" w14:textId="77777777" w:rsidR="00A271BB" w:rsidRPr="00C13B4A" w:rsidRDefault="00A271BB" w:rsidP="00A271BB">
      <w:pPr>
        <w:rPr>
          <w:rFonts w:ascii="Arial Nova Cond" w:hAnsi="Arial Nova Cond"/>
          <w:color w:val="4472C4" w:themeColor="accent1"/>
          <w:sz w:val="24"/>
          <w:szCs w:val="24"/>
        </w:rPr>
      </w:pPr>
      <w:r w:rsidRPr="00C13B4A">
        <w:rPr>
          <w:rFonts w:ascii="Arial Nova Cond" w:hAnsi="Arial Nova Cond"/>
          <w:color w:val="4472C4" w:themeColor="accent1"/>
          <w:sz w:val="24"/>
          <w:szCs w:val="24"/>
        </w:rPr>
        <w:t>4.2 Estructura de cálculo</w:t>
      </w:r>
    </w:p>
    <w:p w14:paraId="62828942" w14:textId="25226125" w:rsidR="00A271BB" w:rsidRPr="00A271BB" w:rsidRDefault="00A271BB" w:rsidP="00A271BB">
      <w:r w:rsidRPr="00A271BB">
        <w:t>Los cálculos se definen en una taxonomía utilizando</w:t>
      </w:r>
      <w:r w:rsidR="00294FB8">
        <w:t xml:space="preserve"> </w:t>
      </w:r>
      <w:hyperlink r:id="rId55" w:anchor="summation-item-relationship" w:history="1">
        <w:r w:rsidRPr="00A271BB">
          <w:rPr>
            <w:rStyle w:val="Hipervnculo"/>
            <w:i/>
            <w:iCs/>
          </w:rPr>
          <w:t>relaciones de suma-elemento</w:t>
        </w:r>
      </w:hyperlink>
      <w:r w:rsidRPr="00A271BB">
        <w:t>.</w:t>
      </w:r>
    </w:p>
    <w:p w14:paraId="44D89E8A" w14:textId="00079C9E" w:rsidR="00A271BB" w:rsidRPr="00A271BB" w:rsidRDefault="00A271BB" w:rsidP="00A271BB">
      <w:pPr>
        <w:numPr>
          <w:ilvl w:val="0"/>
          <w:numId w:val="3"/>
        </w:numPr>
      </w:pPr>
      <w:bookmarkStart w:id="6" w:name="total-concept"/>
      <w:r w:rsidRPr="00A271BB">
        <w:t>El concepto identificado como fuente de la relación se denomina</w:t>
      </w:r>
      <w:r w:rsidR="00C13B4A">
        <w:t xml:space="preserve"> </w:t>
      </w:r>
      <w:r w:rsidRPr="00A271BB">
        <w:rPr>
          <w:b/>
          <w:bCs/>
        </w:rPr>
        <w:t>concepto total</w:t>
      </w:r>
      <w:bookmarkEnd w:id="6"/>
      <w:r w:rsidRPr="00A271BB">
        <w:t>.</w:t>
      </w:r>
    </w:p>
    <w:p w14:paraId="4546EDBF" w14:textId="0A3C8609" w:rsidR="00A271BB" w:rsidRPr="00A271BB" w:rsidRDefault="00A271BB" w:rsidP="00C13B4A">
      <w:pPr>
        <w:numPr>
          <w:ilvl w:val="0"/>
          <w:numId w:val="3"/>
        </w:numPr>
        <w:jc w:val="both"/>
      </w:pPr>
      <w:bookmarkStart w:id="7" w:name="contributing-concept"/>
      <w:r w:rsidRPr="00A271BB">
        <w:t>El concepto identificado como objetivo de la relación se denomina</w:t>
      </w:r>
      <w:r w:rsidR="00C13B4A">
        <w:t xml:space="preserve"> </w:t>
      </w:r>
      <w:r w:rsidRPr="00A271BB">
        <w:rPr>
          <w:b/>
          <w:bCs/>
        </w:rPr>
        <w:t>concepto contribuyente</w:t>
      </w:r>
      <w:bookmarkEnd w:id="7"/>
      <w:r w:rsidRPr="00A271BB">
        <w:t>.</w:t>
      </w:r>
    </w:p>
    <w:p w14:paraId="4D1B9B84" w14:textId="2FF24229" w:rsidR="00A271BB" w:rsidRPr="00A271BB" w:rsidRDefault="00A271BB" w:rsidP="00C13B4A">
      <w:pPr>
        <w:numPr>
          <w:ilvl w:val="0"/>
          <w:numId w:val="3"/>
        </w:numPr>
        <w:jc w:val="both"/>
      </w:pPr>
      <w:bookmarkStart w:id="8" w:name="contribution-weight"/>
      <w:r w:rsidRPr="00A271BB">
        <w:t>El valor del atributo de ponderación del arco definitorio se denomina</w:t>
      </w:r>
      <w:r w:rsidR="00294FB8">
        <w:t xml:space="preserve"> </w:t>
      </w:r>
      <w:r w:rsidRPr="00A271BB">
        <w:rPr>
          <w:b/>
          <w:bCs/>
        </w:rPr>
        <w:t>ponderación de contribución</w:t>
      </w:r>
      <w:bookmarkEnd w:id="8"/>
      <w:r w:rsidRPr="00A271BB">
        <w:t>.</w:t>
      </w:r>
    </w:p>
    <w:p w14:paraId="3729FCB5" w14:textId="7FF1F4E9" w:rsidR="00A271BB" w:rsidRPr="00A271BB" w:rsidRDefault="00A271BB" w:rsidP="00C13B4A">
      <w:pPr>
        <w:jc w:val="both"/>
      </w:pPr>
      <w:bookmarkStart w:id="9" w:name="calculation"/>
      <w:r w:rsidRPr="00294FB8">
        <w:lastRenderedPageBreak/>
        <w:t>Un</w:t>
      </w:r>
      <w:r w:rsidR="00294FB8">
        <w:t xml:space="preserve"> </w:t>
      </w:r>
      <w:r w:rsidRPr="00294FB8">
        <w:t>cálculo</w:t>
      </w:r>
      <w:r w:rsidR="00294FB8">
        <w:t xml:space="preserve"> </w:t>
      </w:r>
      <w:r w:rsidRPr="00294FB8">
        <w:t>es</w:t>
      </w:r>
      <w:r w:rsidRPr="00A271BB">
        <w:t xml:space="preserve"> el conjunto de todas</w:t>
      </w:r>
      <w:r w:rsidR="00294FB8">
        <w:t xml:space="preserve"> </w:t>
      </w:r>
      <w:bookmarkEnd w:id="9"/>
      <w:r w:rsidRPr="00A271BB">
        <w:fldChar w:fldCharType="begin"/>
      </w:r>
      <w:r w:rsidRPr="00A271BB">
        <w:instrText xml:space="preserve"> HYPERLINK "https://www.xbrl.org/Specification/calculation-1.1/REC-2023-02-22/calculation-1.1-REC-2023-02-22.html" \l "summation-item-relationship" </w:instrText>
      </w:r>
      <w:r w:rsidRPr="00A271BB">
        <w:fldChar w:fldCharType="separate"/>
      </w:r>
      <w:r w:rsidRPr="00A271BB">
        <w:rPr>
          <w:rStyle w:val="Hipervnculo"/>
          <w:i/>
          <w:iCs/>
        </w:rPr>
        <w:t>las relaciones sumatorias-elementos</w:t>
      </w:r>
      <w:r w:rsidRPr="00A271BB">
        <w:fldChar w:fldCharType="end"/>
      </w:r>
      <w:r w:rsidR="00294FB8">
        <w:t xml:space="preserve"> </w:t>
      </w:r>
      <w:r w:rsidRPr="00A271BB">
        <w:t>que comparten un</w:t>
      </w:r>
      <w:r w:rsidR="00294FB8">
        <w:t xml:space="preserve"> </w:t>
      </w:r>
      <w:hyperlink r:id="rId56" w:anchor="total-concept" w:history="1">
        <w:r w:rsidRPr="00A271BB">
          <w:rPr>
            <w:rStyle w:val="Hipervnculo"/>
            <w:i/>
            <w:iCs/>
          </w:rPr>
          <w:t>concepto total</w:t>
        </w:r>
      </w:hyperlink>
      <w:r w:rsidR="00294FB8">
        <w:t xml:space="preserve"> </w:t>
      </w:r>
      <w:r w:rsidRPr="00A271BB">
        <w:t>común , una</w:t>
      </w:r>
      <w:r w:rsidR="00294FB8">
        <w:t xml:space="preserve"> </w:t>
      </w:r>
      <w:hyperlink r:id="rId57" w:anchor="_3.5.3.3" w:history="1">
        <w:r w:rsidRPr="00A271BB">
          <w:rPr>
            <w:rStyle w:val="Hipervnculo"/>
          </w:rPr>
          <w:t>función de enlace extendida</w:t>
        </w:r>
      </w:hyperlink>
      <w:r w:rsidR="00294FB8">
        <w:t xml:space="preserve"> </w:t>
      </w:r>
      <w:r w:rsidRPr="00A271BB">
        <w:t>común y una función de arco común (consulte la</w:t>
      </w:r>
      <w:r w:rsidR="00294FB8">
        <w:t xml:space="preserve"> </w:t>
      </w:r>
      <w:hyperlink r:id="rId58" w:anchor="sec-summation-item-relationships" w:history="1">
        <w:r w:rsidRPr="00A271BB">
          <w:rPr>
            <w:rStyle w:val="Hipervnculo"/>
          </w:rPr>
          <w:t>Sección 4.1</w:t>
        </w:r>
      </w:hyperlink>
      <w:r w:rsidRPr="00A271BB">
        <w:t>).</w:t>
      </w:r>
    </w:p>
    <w:p w14:paraId="60D078DA" w14:textId="7C35D3A3" w:rsidR="00A271BB" w:rsidRPr="00A271BB" w:rsidRDefault="00A271BB" w:rsidP="00C13B4A">
      <w:pPr>
        <w:jc w:val="both"/>
      </w:pPr>
      <w:r w:rsidRPr="00A271BB">
        <w:t>NO DEBE haber más de una</w:t>
      </w:r>
      <w:r w:rsidR="000D644B">
        <w:t xml:space="preserve"> </w:t>
      </w:r>
      <w:hyperlink r:id="rId59" w:anchor="summation-item-relationship" w:history="1">
        <w:r w:rsidRPr="00A271BB">
          <w:rPr>
            <w:rStyle w:val="Hipervnculo"/>
            <w:i/>
            <w:iCs/>
          </w:rPr>
          <w:t>relación de elemento de suma</w:t>
        </w:r>
      </w:hyperlink>
      <w:r w:rsidR="000D644B">
        <w:t xml:space="preserve"> </w:t>
      </w:r>
      <w:r w:rsidRPr="00A271BB">
        <w:t>con el mismo</w:t>
      </w:r>
      <w:r w:rsidR="000D644B">
        <w:t xml:space="preserve"> </w:t>
      </w:r>
      <w:hyperlink r:id="rId60" w:anchor="total-concept" w:history="1">
        <w:r w:rsidRPr="00A271BB">
          <w:rPr>
            <w:rStyle w:val="Hipervnculo"/>
            <w:i/>
            <w:iCs/>
          </w:rPr>
          <w:t>concepto total</w:t>
        </w:r>
      </w:hyperlink>
      <w:r w:rsidR="000D644B">
        <w:t xml:space="preserve"> </w:t>
      </w:r>
      <w:r w:rsidRPr="00A271BB">
        <w:t>y el mismo</w:t>
      </w:r>
      <w:r w:rsidR="000D644B">
        <w:t xml:space="preserve"> </w:t>
      </w:r>
      <w:hyperlink r:id="rId61" w:anchor="contributing-concept" w:history="1">
        <w:r w:rsidRPr="00A271BB">
          <w:rPr>
            <w:rStyle w:val="Hipervnculo"/>
            <w:i/>
            <w:iCs/>
          </w:rPr>
          <w:t>concepto contribuyente</w:t>
        </w:r>
      </w:hyperlink>
      <w:r w:rsidR="00C13B4A">
        <w:t xml:space="preserve"> </w:t>
      </w:r>
      <w:r w:rsidRPr="00A271BB">
        <w:t>dentro de un solo</w:t>
      </w:r>
      <w:r w:rsidR="00C13B4A">
        <w:t xml:space="preserve"> </w:t>
      </w:r>
      <w:hyperlink r:id="rId62" w:anchor="calculation" w:history="1">
        <w:r w:rsidRPr="00A271BB">
          <w:rPr>
            <w:rStyle w:val="Hipervnculo"/>
            <w:i/>
            <w:iCs/>
          </w:rPr>
          <w:t>cálculo</w:t>
        </w:r>
      </w:hyperlink>
      <w:r w:rsidR="00C13B4A">
        <w:t xml:space="preserve"> </w:t>
      </w:r>
      <w:r w:rsidRPr="00A271BB">
        <w:t>(calc11e:duplicateCalculationRelationships).</w:t>
      </w:r>
      <w:r w:rsidR="00C13B4A">
        <w:t xml:space="preserve"> </w:t>
      </w:r>
      <w:r w:rsidRPr="00A271BB">
        <w:t>Tenga en cuenta que</w:t>
      </w:r>
      <w:r w:rsidR="00C13B4A">
        <w:t xml:space="preserve"> </w:t>
      </w:r>
      <w:hyperlink r:id="rId63" w:anchor="_3.5.3.9.7.5" w:history="1">
        <w:r w:rsidRPr="00A271BB">
          <w:rPr>
            <w:rStyle w:val="Hipervnculo"/>
          </w:rPr>
          <w:t>la sección 3.5.3.9.7.5 de XBRL v2.1</w:t>
        </w:r>
      </w:hyperlink>
      <w:r w:rsidR="00C13B4A">
        <w:t xml:space="preserve"> </w:t>
      </w:r>
      <w:r w:rsidRPr="00A271BB">
        <w:t>prescribe cierta de</w:t>
      </w:r>
      <w:r w:rsidR="00C13B4A">
        <w:t xml:space="preserve"> </w:t>
      </w:r>
      <w:r w:rsidRPr="00A271BB">
        <w:t>duplicación de relaciones, que DEBE aplicarse antes de esta verificación.</w:t>
      </w:r>
    </w:p>
    <w:p w14:paraId="38B93FE0" w14:textId="2385C20B" w:rsidR="00A271BB" w:rsidRPr="00C13B4A" w:rsidRDefault="00A271BB" w:rsidP="00A271BB">
      <w:pPr>
        <w:rPr>
          <w:rFonts w:ascii="Arial Nova Cond" w:hAnsi="Arial Nova Cond"/>
          <w:color w:val="4472C4" w:themeColor="accent1"/>
          <w:sz w:val="28"/>
          <w:szCs w:val="28"/>
        </w:rPr>
      </w:pPr>
      <w:r w:rsidRPr="00C13B4A">
        <w:rPr>
          <w:rFonts w:ascii="Arial Nova Cond" w:hAnsi="Arial Nova Cond"/>
          <w:color w:val="4472C4" w:themeColor="accent1"/>
          <w:sz w:val="28"/>
          <w:szCs w:val="28"/>
        </w:rPr>
        <w:t>5</w:t>
      </w:r>
      <w:r w:rsidR="00C13B4A">
        <w:rPr>
          <w:rFonts w:ascii="Arial Nova Cond" w:hAnsi="Arial Nova Cond"/>
          <w:color w:val="4472C4" w:themeColor="accent1"/>
          <w:sz w:val="28"/>
          <w:szCs w:val="28"/>
        </w:rPr>
        <w:t>.</w:t>
      </w:r>
      <w:r w:rsidRPr="00C13B4A">
        <w:rPr>
          <w:rFonts w:ascii="Arial Nova Cond" w:hAnsi="Arial Nova Cond"/>
          <w:color w:val="4472C4" w:themeColor="accent1"/>
          <w:sz w:val="28"/>
          <w:szCs w:val="28"/>
        </w:rPr>
        <w:t xml:space="preserve"> Aplicación de cálculo</w:t>
      </w:r>
    </w:p>
    <w:p w14:paraId="35D457CE" w14:textId="7B9B4306" w:rsidR="00A271BB" w:rsidRPr="00A271BB" w:rsidRDefault="00A271BB" w:rsidP="000D644B">
      <w:pPr>
        <w:jc w:val="both"/>
      </w:pPr>
      <w:r w:rsidRPr="00A271BB">
        <w:t>Se puede comprobar la coherencia</w:t>
      </w:r>
      <w:r w:rsidR="00294FB8">
        <w:t xml:space="preserve"> </w:t>
      </w:r>
      <w:r w:rsidRPr="00A271BB">
        <w:t>de un</w:t>
      </w:r>
      <w:r w:rsidR="00294FB8">
        <w:t xml:space="preserve"> </w:t>
      </w:r>
      <w:hyperlink r:id="rId64" w:anchor="component-report" w:history="1">
        <w:r w:rsidRPr="00A271BB">
          <w:rPr>
            <w:rStyle w:val="Hipervnculo"/>
            <w:i/>
            <w:iCs/>
          </w:rPr>
          <w:t>informe con un conjunto de</w:t>
        </w:r>
        <w:r w:rsidR="00294FB8">
          <w:rPr>
            <w:rStyle w:val="Hipervnculo"/>
            <w:i/>
            <w:iCs/>
          </w:rPr>
          <w:t xml:space="preserve"> </w:t>
        </w:r>
      </w:hyperlink>
      <w:hyperlink r:id="rId65" w:anchor="calculation" w:history="1">
        <w:r w:rsidRPr="00A271BB">
          <w:rPr>
            <w:rStyle w:val="Hipervnculo"/>
            <w:i/>
            <w:iCs/>
          </w:rPr>
          <w:t>cálculos</w:t>
        </w:r>
      </w:hyperlink>
      <w:r w:rsidR="00294FB8">
        <w:t xml:space="preserve"> </w:t>
      </w:r>
      <w:r w:rsidRPr="00A271BB">
        <w:t>y se genera un error siempre que los</w:t>
      </w:r>
      <w:r w:rsidR="00294FB8">
        <w:t xml:space="preserve"> </w:t>
      </w:r>
      <w:hyperlink r:id="rId66" w:anchor="component-fact" w:history="1">
        <w:r w:rsidRPr="00A271BB">
          <w:rPr>
            <w:rStyle w:val="Hipervnculo"/>
            <w:i/>
            <w:iCs/>
          </w:rPr>
          <w:t>hechos</w:t>
        </w:r>
      </w:hyperlink>
      <w:r w:rsidR="00294FB8">
        <w:t xml:space="preserve"> </w:t>
      </w:r>
      <w:r w:rsidRPr="00A271BB">
        <w:t>informados no sean coherentes con los</w:t>
      </w:r>
      <w:r w:rsidR="00294FB8">
        <w:t xml:space="preserve"> </w:t>
      </w:r>
      <w:hyperlink r:id="rId67" w:anchor="calculation" w:history="1">
        <w:r w:rsidRPr="00A271BB">
          <w:rPr>
            <w:rStyle w:val="Hipervnculo"/>
            <w:i/>
            <w:iCs/>
          </w:rPr>
          <w:t>cálculos</w:t>
        </w:r>
      </w:hyperlink>
      <w:r w:rsidR="00294FB8">
        <w:t xml:space="preserve"> </w:t>
      </w:r>
      <w:r w:rsidRPr="00A271BB">
        <w:t>definidos.</w:t>
      </w:r>
      <w:r w:rsidR="00294FB8">
        <w:t xml:space="preserve"> </w:t>
      </w:r>
      <w:r w:rsidRPr="00A271BB">
        <w:t>Cada</w:t>
      </w:r>
      <w:r w:rsidR="00294FB8">
        <w:t xml:space="preserve"> </w:t>
      </w:r>
      <w:hyperlink r:id="rId68" w:anchor="calculation" w:history="1">
        <w:r w:rsidRPr="00A271BB">
          <w:rPr>
            <w:rStyle w:val="Hipervnculo"/>
            <w:i/>
            <w:iCs/>
          </w:rPr>
          <w:t>cálculo</w:t>
        </w:r>
      </w:hyperlink>
      <w:r w:rsidR="00294FB8">
        <w:t xml:space="preserve"> </w:t>
      </w:r>
      <w:r w:rsidRPr="00A271BB">
        <w:t>se verifica siempre que haya suficientes</w:t>
      </w:r>
      <w:r w:rsidR="00294FB8">
        <w:t xml:space="preserve"> </w:t>
      </w:r>
      <w:hyperlink r:id="rId69" w:anchor="component-fact" w:history="1">
        <w:r w:rsidRPr="00A271BB">
          <w:rPr>
            <w:rStyle w:val="Hipervnculo"/>
            <w:i/>
            <w:iCs/>
          </w:rPr>
          <w:t>datos</w:t>
        </w:r>
        <w:r w:rsidR="00294FB8">
          <w:rPr>
            <w:rStyle w:val="Hipervnculo"/>
            <w:i/>
            <w:iCs/>
          </w:rPr>
          <w:t xml:space="preserve"> </w:t>
        </w:r>
      </w:hyperlink>
      <w:hyperlink r:id="rId70" w:anchor="dimensionally-aligned" w:history="1">
        <w:r w:rsidRPr="00A271BB">
          <w:rPr>
            <w:rStyle w:val="Hipervnculo"/>
            <w:i/>
            <w:iCs/>
          </w:rPr>
          <w:t>alineados dimensionalmente</w:t>
        </w:r>
      </w:hyperlink>
      <w:r w:rsidR="00294FB8">
        <w:t xml:space="preserve"> </w:t>
      </w:r>
      <w:r w:rsidRPr="00A271BB">
        <w:t>para que se "vinculen", como se describe en la</w:t>
      </w:r>
      <w:r w:rsidR="00294FB8">
        <w:t xml:space="preserve"> </w:t>
      </w:r>
      <w:hyperlink r:id="rId71" w:anchor="sec-calculation-binding" w:history="1">
        <w:r w:rsidRPr="00A271BB">
          <w:rPr>
            <w:rStyle w:val="Hipervnculo"/>
          </w:rPr>
          <w:t>Sección 5.1</w:t>
        </w:r>
      </w:hyperlink>
      <w:r w:rsidRPr="00A271BB">
        <w:t>.</w:t>
      </w:r>
    </w:p>
    <w:p w14:paraId="2E39551A" w14:textId="77777777" w:rsidR="00A271BB" w:rsidRPr="000D644B" w:rsidRDefault="00A271BB" w:rsidP="000D644B">
      <w:pPr>
        <w:jc w:val="both"/>
        <w:rPr>
          <w:rFonts w:ascii="Arial Nova Cond" w:hAnsi="Arial Nova Cond"/>
          <w:color w:val="4472C4" w:themeColor="accent1"/>
          <w:sz w:val="24"/>
          <w:szCs w:val="24"/>
        </w:rPr>
      </w:pPr>
      <w:r w:rsidRPr="000D644B">
        <w:rPr>
          <w:rFonts w:ascii="Arial Nova Cond" w:hAnsi="Arial Nova Cond"/>
          <w:color w:val="4472C4" w:themeColor="accent1"/>
          <w:sz w:val="24"/>
          <w:szCs w:val="24"/>
        </w:rPr>
        <w:t>5.1 Vinculación del cálculo</w:t>
      </w:r>
    </w:p>
    <w:p w14:paraId="6882830F" w14:textId="52C845D7" w:rsidR="00A271BB" w:rsidRPr="00A271BB" w:rsidRDefault="00A271BB" w:rsidP="000D644B">
      <w:pPr>
        <w:jc w:val="both"/>
      </w:pPr>
      <w:bookmarkStart w:id="10" w:name="reported-data-point"/>
      <w:r w:rsidRPr="00A271BB">
        <w:t>Un</w:t>
      </w:r>
      <w:r w:rsidR="005F3EAE">
        <w:t xml:space="preserve"> </w:t>
      </w:r>
      <w:r w:rsidRPr="00A271BB">
        <w:rPr>
          <w:b/>
          <w:bCs/>
        </w:rPr>
        <w:t>punto de datos informado</w:t>
      </w:r>
      <w:r w:rsidR="005F3EAE">
        <w:t xml:space="preserve"> </w:t>
      </w:r>
      <w:r w:rsidRPr="00A271BB">
        <w:t>es un conjunto de valores de</w:t>
      </w:r>
      <w:r w:rsidR="005F3EAE">
        <w:t xml:space="preserve"> </w:t>
      </w:r>
      <w:bookmarkEnd w:id="10"/>
      <w:r w:rsidRPr="00A271BB">
        <w:fldChar w:fldCharType="begin"/>
      </w:r>
      <w:r w:rsidRPr="00A271BB">
        <w:instrText xml:space="preserve"> HYPERLINK "https://www.xbrl.org/Specification/oim/REC-2021-10-13/oim-REC-2021-10-13.html" \l "term-dimension" </w:instrText>
      </w:r>
      <w:r w:rsidRPr="00A271BB">
        <w:fldChar w:fldCharType="separate"/>
      </w:r>
      <w:r w:rsidRPr="00A271BB">
        <w:rPr>
          <w:rStyle w:val="Hipervnculo"/>
          <w:i/>
          <w:iCs/>
        </w:rPr>
        <w:t>dimensión</w:t>
      </w:r>
      <w:r w:rsidRPr="00A271BB">
        <w:fldChar w:fldCharType="end"/>
      </w:r>
      <w:r w:rsidR="005F3EAE">
        <w:t xml:space="preserve"> </w:t>
      </w:r>
      <w:r w:rsidRPr="00A271BB">
        <w:t>para el cual existe al menos un</w:t>
      </w:r>
      <w:r w:rsidR="005F3EAE">
        <w:t xml:space="preserve"> </w:t>
      </w:r>
      <w:hyperlink r:id="rId72" w:anchor="component-fact" w:history="1">
        <w:r w:rsidRPr="00A271BB">
          <w:rPr>
            <w:rStyle w:val="Hipervnculo"/>
            <w:i/>
            <w:iCs/>
          </w:rPr>
          <w:t>hecho</w:t>
        </w:r>
      </w:hyperlink>
      <w:r w:rsidR="005F3EAE">
        <w:t xml:space="preserve"> </w:t>
      </w:r>
      <w:r w:rsidRPr="00A271BB">
        <w:t>con ese conjunto de valores</w:t>
      </w:r>
      <w:r w:rsidR="005F3EAE">
        <w:t xml:space="preserve"> </w:t>
      </w:r>
      <w:hyperlink r:id="rId73" w:anchor="term-dimension" w:history="1">
        <w:r w:rsidRPr="00A271BB">
          <w:rPr>
            <w:rStyle w:val="Hipervnculo"/>
            <w:i/>
            <w:iCs/>
          </w:rPr>
          <w:t>de dimensión</w:t>
        </w:r>
      </w:hyperlink>
      <w:r w:rsidR="005F3EAE">
        <w:t xml:space="preserve"> </w:t>
      </w:r>
      <w:r w:rsidRPr="00A271BB">
        <w:t>como su propiedad {dimensiones} y que tiene un valor distinto de nulo.</w:t>
      </w:r>
      <w:r w:rsidR="005F3EAE">
        <w:t xml:space="preserve"> </w:t>
      </w:r>
      <w:r w:rsidRPr="00A271BB">
        <w:t>La definición OIM de</w:t>
      </w:r>
      <w:r w:rsidR="005F3EAE">
        <w:t xml:space="preserve"> </w:t>
      </w:r>
      <w:hyperlink r:id="rId74" w:anchor="term-equal-dimension-value" w:history="1">
        <w:r w:rsidRPr="00A271BB">
          <w:rPr>
            <w:rStyle w:val="Hipervnculo"/>
            <w:i/>
            <w:iCs/>
          </w:rPr>
          <w:t>valor de dimensión igual</w:t>
        </w:r>
      </w:hyperlink>
      <w:r w:rsidR="005F3EAE">
        <w:t xml:space="preserve"> </w:t>
      </w:r>
      <w:r w:rsidRPr="00A271BB">
        <w:t>se utiliza al comparar</w:t>
      </w:r>
      <w:r w:rsidR="000D644B">
        <w:t xml:space="preserve"> </w:t>
      </w:r>
      <w:hyperlink r:id="rId75" w:anchor="term-dimension" w:history="1">
        <w:r w:rsidRPr="00A271BB">
          <w:rPr>
            <w:rStyle w:val="Hipervnculo"/>
            <w:i/>
            <w:iCs/>
          </w:rPr>
          <w:t>valores de dimensión</w:t>
        </w:r>
      </w:hyperlink>
      <w:r w:rsidRPr="00A271BB">
        <w:t>.</w:t>
      </w:r>
    </w:p>
    <w:p w14:paraId="71EAD4A0" w14:textId="53E663CC" w:rsidR="00A271BB" w:rsidRPr="00A271BB" w:rsidRDefault="00A271BB" w:rsidP="000D644B">
      <w:pPr>
        <w:jc w:val="both"/>
      </w:pPr>
      <w:r w:rsidRPr="00A271BB">
        <w:t>Un</w:t>
      </w:r>
      <w:r w:rsidR="00DE5CE5">
        <w:t xml:space="preserve"> </w:t>
      </w:r>
      <w:hyperlink r:id="rId76" w:anchor="calculation" w:history="1">
        <w:r w:rsidRPr="00A271BB">
          <w:rPr>
            <w:rStyle w:val="Hipervnculo"/>
            <w:i/>
            <w:iCs/>
          </w:rPr>
          <w:t>cálculo</w:t>
        </w:r>
      </w:hyperlink>
      <w:r w:rsidR="00DE5CE5">
        <w:t xml:space="preserve"> </w:t>
      </w:r>
      <w:r w:rsidRPr="00A271BB">
        <w:t>es vinculante siempre que se cumplan las siguientes condiciones:</w:t>
      </w:r>
    </w:p>
    <w:p w14:paraId="58EBF9D5" w14:textId="63A5527C" w:rsidR="00A271BB" w:rsidRPr="00A271BB" w:rsidRDefault="00A271BB" w:rsidP="000D644B">
      <w:pPr>
        <w:numPr>
          <w:ilvl w:val="0"/>
          <w:numId w:val="4"/>
        </w:numPr>
        <w:jc w:val="both"/>
      </w:pPr>
      <w:r w:rsidRPr="00A271BB">
        <w:t>Existe un</w:t>
      </w:r>
      <w:r w:rsidR="00DE5CE5">
        <w:t xml:space="preserve"> </w:t>
      </w:r>
      <w:r w:rsidRPr="00DE5CE5">
        <w:rPr>
          <w:i/>
          <w:iCs/>
        </w:rPr>
        <w:t>punto de datos informado</w:t>
      </w:r>
      <w:r w:rsidR="00DE5CE5">
        <w:rPr>
          <w:i/>
          <w:iCs/>
        </w:rPr>
        <w:t xml:space="preserve"> </w:t>
      </w:r>
      <w:r w:rsidRPr="00A271BB">
        <w:rPr>
          <w:b/>
          <w:bCs/>
        </w:rPr>
        <w:t>T</w:t>
      </w:r>
      <w:r w:rsidRPr="00A271BB">
        <w:t>, con una</w:t>
      </w:r>
      <w:r w:rsidR="00DE5CE5">
        <w:t xml:space="preserve"> </w:t>
      </w:r>
      <w:hyperlink r:id="rId77" w:anchor="component-concept-core-dimension" w:history="1">
        <w:r w:rsidRPr="00A271BB">
          <w:rPr>
            <w:rStyle w:val="Hipervnculo"/>
            <w:i/>
            <w:iCs/>
          </w:rPr>
          <w:t>dimensión central</w:t>
        </w:r>
      </w:hyperlink>
      <w:r w:rsidR="00DE5CE5">
        <w:t xml:space="preserve"> </w:t>
      </w:r>
      <w:r w:rsidRPr="00A271BB">
        <w:t>del concepto del</w:t>
      </w:r>
      <w:r w:rsidR="000D644B">
        <w:t xml:space="preserve"> </w:t>
      </w:r>
      <w:hyperlink r:id="rId78" w:anchor="total-concept" w:history="1">
        <w:r w:rsidRPr="00A271BB">
          <w:rPr>
            <w:rStyle w:val="Hipervnculo"/>
            <w:i/>
            <w:iCs/>
          </w:rPr>
          <w:t>concepto total</w:t>
        </w:r>
      </w:hyperlink>
      <w:r w:rsidR="000D644B">
        <w:t xml:space="preserve"> </w:t>
      </w:r>
      <w:r w:rsidRPr="00A271BB">
        <w:t>del</w:t>
      </w:r>
      <w:r w:rsidR="000D644B">
        <w:t xml:space="preserve"> </w:t>
      </w:r>
      <w:hyperlink r:id="rId79" w:anchor="calculation" w:history="1">
        <w:r w:rsidRPr="00A271BB">
          <w:rPr>
            <w:rStyle w:val="Hipervnculo"/>
            <w:i/>
            <w:iCs/>
          </w:rPr>
          <w:t>cálculo</w:t>
        </w:r>
      </w:hyperlink>
      <w:r w:rsidRPr="00A271BB">
        <w:t>;</w:t>
      </w:r>
      <w:r w:rsidR="00DE5CE5">
        <w:t xml:space="preserve"> </w:t>
      </w:r>
      <w:r w:rsidRPr="00A271BB">
        <w:t>y</w:t>
      </w:r>
    </w:p>
    <w:p w14:paraId="6FDC3605" w14:textId="2529A3B6" w:rsidR="00A271BB" w:rsidRPr="00A271BB" w:rsidRDefault="00A271BB" w:rsidP="000D644B">
      <w:pPr>
        <w:numPr>
          <w:ilvl w:val="0"/>
          <w:numId w:val="4"/>
        </w:numPr>
        <w:jc w:val="both"/>
      </w:pPr>
      <w:r w:rsidRPr="00A271BB">
        <w:t>El conjunto de</w:t>
      </w:r>
      <w:r w:rsidR="00294FB8">
        <w:t xml:space="preserve"> </w:t>
      </w:r>
      <w:hyperlink r:id="rId80" w:anchor="reported-data-point" w:history="1">
        <w:r w:rsidRPr="00A271BB">
          <w:rPr>
            <w:rStyle w:val="Hipervnculo"/>
            <w:i/>
            <w:iCs/>
          </w:rPr>
          <w:t>puntos de datos informados</w:t>
        </w:r>
      </w:hyperlink>
      <w:r w:rsidR="00294FB8">
        <w:t xml:space="preserve"> </w:t>
      </w:r>
      <w:r w:rsidRPr="00A271BB">
        <w:t>contribuyentes,</w:t>
      </w:r>
      <w:r w:rsidR="00294FB8">
        <w:t xml:space="preserve"> </w:t>
      </w:r>
      <w:r w:rsidRPr="00A271BB">
        <w:rPr>
          <w:b/>
          <w:bCs/>
        </w:rPr>
        <w:t>SS</w:t>
      </w:r>
      <w:r w:rsidRPr="00A271BB">
        <w:t>, que consta de</w:t>
      </w:r>
      <w:r w:rsidR="00294FB8">
        <w:t xml:space="preserve"> </w:t>
      </w:r>
      <w:hyperlink r:id="rId81" w:anchor="reported-data-point" w:history="1">
        <w:r w:rsidRPr="00A271BB">
          <w:rPr>
            <w:rStyle w:val="Hipervnculo"/>
            <w:i/>
            <w:iCs/>
          </w:rPr>
          <w:t>puntos de datos informados</w:t>
        </w:r>
      </w:hyperlink>
      <w:r w:rsidR="00294FB8">
        <w:t xml:space="preserve"> </w:t>
      </w:r>
      <w:r w:rsidRPr="00A271BB">
        <w:t>que tienen una</w:t>
      </w:r>
      <w:r w:rsidR="00294FB8">
        <w:t xml:space="preserve"> </w:t>
      </w:r>
      <w:hyperlink r:id="rId82" w:anchor="component-concept-core-dimension" w:history="1">
        <w:r w:rsidRPr="00A271BB">
          <w:rPr>
            <w:rStyle w:val="Hipervnculo"/>
            <w:i/>
            <w:iCs/>
          </w:rPr>
          <w:t>dimensión central de concepto</w:t>
        </w:r>
      </w:hyperlink>
      <w:r w:rsidR="005F3EAE">
        <w:t xml:space="preserve"> </w:t>
      </w:r>
      <w:r w:rsidRPr="00A271BB">
        <w:t>de cualquiera de los</w:t>
      </w:r>
      <w:r w:rsidR="00294FB8">
        <w:t xml:space="preserve"> </w:t>
      </w:r>
      <w:hyperlink r:id="rId83" w:anchor="contributing-concept" w:history="1">
        <w:r w:rsidRPr="00A271BB">
          <w:rPr>
            <w:rStyle w:val="Hipervnculo"/>
            <w:i/>
            <w:iCs/>
          </w:rPr>
          <w:t>conceptos contribuyentes</w:t>
        </w:r>
      </w:hyperlink>
      <w:r w:rsidR="005F3EAE">
        <w:t xml:space="preserve"> </w:t>
      </w:r>
      <w:r w:rsidRPr="00A271BB">
        <w:t>de los</w:t>
      </w:r>
      <w:r w:rsidR="00294FB8">
        <w:t xml:space="preserve"> </w:t>
      </w:r>
      <w:hyperlink r:id="rId84" w:anchor="calculation" w:history="1">
        <w:r w:rsidRPr="00A271BB">
          <w:rPr>
            <w:rStyle w:val="Hipervnculo"/>
            <w:i/>
            <w:iCs/>
          </w:rPr>
          <w:t>cálculos</w:t>
        </w:r>
      </w:hyperlink>
      <w:r w:rsidR="00294FB8">
        <w:t xml:space="preserve"> </w:t>
      </w:r>
      <w:r w:rsidRPr="00A271BB">
        <w:t>y que están</w:t>
      </w:r>
      <w:r w:rsidR="00294FB8">
        <w:t xml:space="preserve"> </w:t>
      </w:r>
      <w:hyperlink r:id="rId85" w:anchor="dimensionally-aligned" w:history="1">
        <w:r w:rsidRPr="00A271BB">
          <w:rPr>
            <w:rStyle w:val="Hipervnculo"/>
            <w:i/>
            <w:iCs/>
          </w:rPr>
          <w:t>alineados dimensionalmente</w:t>
        </w:r>
      </w:hyperlink>
      <w:r w:rsidR="00294FB8">
        <w:t xml:space="preserve"> </w:t>
      </w:r>
      <w:r w:rsidRPr="00A271BB">
        <w:t>con</w:t>
      </w:r>
      <w:r w:rsidR="00294FB8">
        <w:t xml:space="preserve"> </w:t>
      </w:r>
      <w:r w:rsidRPr="00A271BB">
        <w:rPr>
          <w:b/>
          <w:bCs/>
        </w:rPr>
        <w:t>T</w:t>
      </w:r>
      <w:r w:rsidRPr="00A271BB">
        <w:t>, no está vacío.</w:t>
      </w:r>
    </w:p>
    <w:p w14:paraId="6E114F41" w14:textId="584BD3F8" w:rsidR="00A271BB" w:rsidRPr="00A271BB" w:rsidRDefault="00A271BB" w:rsidP="000D644B">
      <w:pPr>
        <w:jc w:val="both"/>
      </w:pPr>
      <w:bookmarkStart w:id="11" w:name="dimensionally-aligned"/>
      <w:r w:rsidRPr="00A271BB">
        <w:t>Dos</w:t>
      </w:r>
      <w:r w:rsidR="005F3EAE">
        <w:t xml:space="preserve"> </w:t>
      </w:r>
      <w:bookmarkEnd w:id="11"/>
      <w:r w:rsidRPr="00A271BB">
        <w:fldChar w:fldCharType="begin"/>
      </w:r>
      <w:r w:rsidRPr="00A271BB">
        <w:instrText xml:space="preserve"> HYPERLINK "https://www.xbrl.org/Specification/calculation-1.1/REC-2023-02-22/calculation-1.1-REC-2023-02-22.html" \l "reported-data-point" </w:instrText>
      </w:r>
      <w:r w:rsidRPr="00A271BB">
        <w:fldChar w:fldCharType="separate"/>
      </w:r>
      <w:r w:rsidRPr="00A271BB">
        <w:rPr>
          <w:rStyle w:val="Hipervnculo"/>
          <w:i/>
          <w:iCs/>
        </w:rPr>
        <w:t>puntos de datos informados</w:t>
      </w:r>
      <w:r w:rsidRPr="00A271BB">
        <w:fldChar w:fldCharType="end"/>
      </w:r>
      <w:r w:rsidRPr="00A271BB">
        <w:t>,</w:t>
      </w:r>
      <w:r w:rsidR="005F3EAE">
        <w:t xml:space="preserve"> </w:t>
      </w:r>
      <w:r w:rsidRPr="00A271BB">
        <w:rPr>
          <w:b/>
          <w:bCs/>
        </w:rPr>
        <w:t>a</w:t>
      </w:r>
      <w:r w:rsidR="005F3EAE">
        <w:rPr>
          <w:b/>
          <w:bCs/>
        </w:rPr>
        <w:t xml:space="preserve"> </w:t>
      </w:r>
      <w:r w:rsidRPr="00A271BB">
        <w:t>y</w:t>
      </w:r>
      <w:r w:rsidR="005F3EAE">
        <w:t xml:space="preserve"> </w:t>
      </w:r>
      <w:r w:rsidRPr="00A271BB">
        <w:rPr>
          <w:b/>
          <w:bCs/>
        </w:rPr>
        <w:t>b</w:t>
      </w:r>
      <w:r w:rsidRPr="00A271BB">
        <w:t>, están</w:t>
      </w:r>
      <w:r w:rsidR="005F3EAE">
        <w:t xml:space="preserve"> </w:t>
      </w:r>
      <w:r w:rsidRPr="00A271BB">
        <w:rPr>
          <w:b/>
          <w:bCs/>
        </w:rPr>
        <w:t>alineados dimensionalmente</w:t>
      </w:r>
      <w:r w:rsidR="005F3EAE">
        <w:t xml:space="preserve"> </w:t>
      </w:r>
      <w:r w:rsidRPr="00A271BB">
        <w:t>si para cada dimensión que no sea la</w:t>
      </w:r>
      <w:r w:rsidR="005F3EAE">
        <w:t xml:space="preserve"> </w:t>
      </w:r>
      <w:hyperlink r:id="rId86" w:anchor="component-concept-core-dimension" w:history="1">
        <w:r w:rsidRPr="00A271BB">
          <w:rPr>
            <w:rStyle w:val="Hipervnculo"/>
            <w:i/>
            <w:iCs/>
          </w:rPr>
          <w:t>dimensión central del concepto</w:t>
        </w:r>
      </w:hyperlink>
      <w:r w:rsidR="005F3EAE">
        <w:t xml:space="preserve"> </w:t>
      </w:r>
      <w:r w:rsidRPr="00A271BB">
        <w:t>en la propiedad {dimensiones} de</w:t>
      </w:r>
      <w:r w:rsidR="005F3EAE">
        <w:t xml:space="preserve"> </w:t>
      </w:r>
      <w:r w:rsidRPr="00A271BB">
        <w:rPr>
          <w:b/>
          <w:bCs/>
        </w:rPr>
        <w:t>a</w:t>
      </w:r>
      <w:r w:rsidRPr="00A271BB">
        <w:t>, la misma dimensión está presente en</w:t>
      </w:r>
      <w:r w:rsidR="005F3EAE">
        <w:t xml:space="preserve"> </w:t>
      </w:r>
      <w:r w:rsidRPr="00A271BB">
        <w:rPr>
          <w:b/>
          <w:bCs/>
        </w:rPr>
        <w:t>b</w:t>
      </w:r>
      <w:r w:rsidR="005F3EAE">
        <w:t xml:space="preserve"> </w:t>
      </w:r>
      <w:r w:rsidRPr="00A271BB">
        <w:t>con un</w:t>
      </w:r>
      <w:r w:rsidR="005F3EAE">
        <w:t xml:space="preserve"> </w:t>
      </w:r>
      <w:hyperlink r:id="rId87" w:anchor="term-equal-dimension-value" w:history="1">
        <w:r w:rsidRPr="00A271BB">
          <w:rPr>
            <w:rStyle w:val="Hipervnculo"/>
            <w:i/>
            <w:iCs/>
          </w:rPr>
          <w:t>valor de dimensión igual</w:t>
        </w:r>
      </w:hyperlink>
      <w:r w:rsidRPr="00A271BB">
        <w:t>.</w:t>
      </w:r>
    </w:p>
    <w:p w14:paraId="291A711E" w14:textId="77777777" w:rsidR="00A271BB" w:rsidRPr="000D644B" w:rsidRDefault="00A271BB" w:rsidP="000D644B">
      <w:pPr>
        <w:jc w:val="both"/>
        <w:rPr>
          <w:rFonts w:ascii="Arial Nova Cond" w:hAnsi="Arial Nova Cond"/>
          <w:color w:val="4472C4" w:themeColor="accent1"/>
          <w:sz w:val="24"/>
          <w:szCs w:val="24"/>
        </w:rPr>
      </w:pPr>
      <w:r w:rsidRPr="000D644B">
        <w:rPr>
          <w:rFonts w:ascii="Arial Nova Cond" w:hAnsi="Arial Nova Cond"/>
          <w:color w:val="4472C4" w:themeColor="accent1"/>
          <w:sz w:val="24"/>
          <w:szCs w:val="24"/>
        </w:rPr>
        <w:t>5.2 Comprobación de coherencia</w:t>
      </w:r>
    </w:p>
    <w:p w14:paraId="76725327" w14:textId="2893EDFE" w:rsidR="00A271BB" w:rsidRPr="00A271BB" w:rsidRDefault="00A271BB" w:rsidP="000D644B">
      <w:pPr>
        <w:jc w:val="both"/>
      </w:pPr>
      <w:r w:rsidRPr="00A271BB">
        <w:t>Cuando un</w:t>
      </w:r>
      <w:r w:rsidR="005F3EAE">
        <w:t xml:space="preserve"> </w:t>
      </w:r>
      <w:hyperlink r:id="rId88" w:anchor="calculation" w:history="1">
        <w:r w:rsidRPr="00A271BB">
          <w:rPr>
            <w:rStyle w:val="Hipervnculo"/>
            <w:i/>
            <w:iCs/>
          </w:rPr>
          <w:t>cálculo</w:t>
        </w:r>
      </w:hyperlink>
      <w:r w:rsidR="005F3EAE">
        <w:t xml:space="preserve"> </w:t>
      </w:r>
      <w:r w:rsidRPr="00A271BB">
        <w:t>es vinculante, la coherencia del cálculo se determina de la siguiente manera:</w:t>
      </w:r>
    </w:p>
    <w:p w14:paraId="1AECF568" w14:textId="0A0C5796" w:rsidR="00A271BB" w:rsidRPr="00A271BB" w:rsidRDefault="00A271BB" w:rsidP="000D644B">
      <w:pPr>
        <w:numPr>
          <w:ilvl w:val="0"/>
          <w:numId w:val="5"/>
        </w:numPr>
        <w:jc w:val="both"/>
      </w:pPr>
      <w:r w:rsidRPr="00A271BB">
        <w:t>Si</w:t>
      </w:r>
      <w:r w:rsidR="005F3EAE">
        <w:t xml:space="preserve"> </w:t>
      </w:r>
      <w:r w:rsidRPr="00A271BB">
        <w:rPr>
          <w:b/>
          <w:bCs/>
        </w:rPr>
        <w:t>T</w:t>
      </w:r>
      <w:r w:rsidR="005F3EAE">
        <w:rPr>
          <w:b/>
          <w:bCs/>
        </w:rPr>
        <w:t xml:space="preserve"> </w:t>
      </w:r>
      <w:r w:rsidRPr="00A271BB">
        <w:t>o cualquier</w:t>
      </w:r>
      <w:r w:rsidR="005F3EAE">
        <w:t xml:space="preserve"> </w:t>
      </w:r>
      <w:hyperlink r:id="rId89" w:anchor="reported-data-point" w:history="1">
        <w:r w:rsidRPr="00A271BB">
          <w:rPr>
            <w:rStyle w:val="Hipervnculo"/>
            <w:i/>
            <w:iCs/>
          </w:rPr>
          <w:t>punto de datos informado</w:t>
        </w:r>
      </w:hyperlink>
      <w:r w:rsidR="005F3EAE">
        <w:t xml:space="preserve"> </w:t>
      </w:r>
      <w:r w:rsidRPr="00A271BB">
        <w:t>en</w:t>
      </w:r>
      <w:r w:rsidR="005F3EAE">
        <w:t xml:space="preserve"> </w:t>
      </w:r>
      <w:r w:rsidRPr="00A271BB">
        <w:rPr>
          <w:b/>
          <w:bCs/>
        </w:rPr>
        <w:t>SS</w:t>
      </w:r>
      <w:r w:rsidR="005F3EAE">
        <w:rPr>
          <w:b/>
          <w:bCs/>
        </w:rPr>
        <w:t xml:space="preserve"> </w:t>
      </w:r>
      <w:r w:rsidRPr="00A271BB">
        <w:t>tiene</w:t>
      </w:r>
      <w:r w:rsidR="005F3EAE">
        <w:t xml:space="preserve"> </w:t>
      </w:r>
      <w:hyperlink r:id="rId90" w:anchor="term-duplicate-facts" w:history="1">
        <w:r w:rsidRPr="00A271BB">
          <w:rPr>
            <w:rStyle w:val="Hipervnculo"/>
            <w:i/>
            <w:iCs/>
          </w:rPr>
          <w:t>hechos duplicados</w:t>
        </w:r>
      </w:hyperlink>
      <w:r w:rsidR="00DE5CE5">
        <w:t xml:space="preserve"> </w:t>
      </w:r>
      <w:r w:rsidRPr="00A271BB">
        <w:t>en el</w:t>
      </w:r>
      <w:r w:rsidR="00DE5CE5">
        <w:t xml:space="preserve"> </w:t>
      </w:r>
      <w:hyperlink r:id="rId91" w:anchor="component-report" w:history="1">
        <w:r w:rsidRPr="00A271BB">
          <w:rPr>
            <w:rStyle w:val="Hipervnculo"/>
            <w:i/>
            <w:iCs/>
          </w:rPr>
          <w:t>informe</w:t>
        </w:r>
      </w:hyperlink>
      <w:r w:rsidRPr="00A271BB">
        <w:t>, y el conjunto de</w:t>
      </w:r>
      <w:r w:rsidR="005F3EAE">
        <w:t xml:space="preserve"> </w:t>
      </w:r>
      <w:hyperlink r:id="rId92" w:anchor="term-duplicate-facts" w:history="1">
        <w:r w:rsidRPr="00A271BB">
          <w:rPr>
            <w:rStyle w:val="Hipervnculo"/>
            <w:i/>
            <w:iCs/>
          </w:rPr>
          <w:t>hechos duplicados</w:t>
        </w:r>
      </w:hyperlink>
      <w:r w:rsidR="005F3EAE">
        <w:t xml:space="preserve"> </w:t>
      </w:r>
      <w:r w:rsidRPr="00A271BB">
        <w:t>contiene cualquier</w:t>
      </w:r>
      <w:r w:rsidR="005F3EAE">
        <w:t xml:space="preserve"> </w:t>
      </w:r>
      <w:hyperlink r:id="rId93" w:anchor="calculation-1-1-inconsistent-duplicates" w:history="1">
        <w:r w:rsidRPr="00A271BB">
          <w:rPr>
            <w:rStyle w:val="Hipervnculo"/>
            <w:i/>
            <w:iCs/>
          </w:rPr>
          <w:t>cálculo 1.1 duplicado inconsistente,</w:t>
        </w:r>
      </w:hyperlink>
      <w:r w:rsidR="00DE5CE5">
        <w:t xml:space="preserve"> </w:t>
      </w:r>
      <w:r w:rsidRPr="00A271BB">
        <w:t>entonces DEBE generarse el código de error apropiado especificado en</w:t>
      </w:r>
      <w:r w:rsidR="00DE5CE5">
        <w:t xml:space="preserve"> </w:t>
      </w:r>
      <w:hyperlink r:id="rId94" w:anchor="sec-duplicate-facts" w:history="1">
        <w:r w:rsidRPr="00A271BB">
          <w:rPr>
            <w:rStyle w:val="Hipervnculo"/>
          </w:rPr>
          <w:t>la Sección 5.4</w:t>
        </w:r>
      </w:hyperlink>
      <w:r w:rsidR="00DE5CE5">
        <w:t xml:space="preserve"> </w:t>
      </w:r>
      <w:r w:rsidRPr="00A271BB">
        <w:t>y no se realizan más comprobaciones de coherencia para esta vinculación del</w:t>
      </w:r>
      <w:r w:rsidR="005F3EAE">
        <w:t xml:space="preserve"> </w:t>
      </w:r>
      <w:hyperlink r:id="rId95" w:anchor="calculation" w:history="1">
        <w:r w:rsidRPr="00A271BB">
          <w:rPr>
            <w:rStyle w:val="Hipervnculo"/>
            <w:i/>
            <w:iCs/>
          </w:rPr>
          <w:t>cálculo</w:t>
        </w:r>
      </w:hyperlink>
      <w:r w:rsidRPr="00A271BB">
        <w:t>.</w:t>
      </w:r>
    </w:p>
    <w:p w14:paraId="0F8F6289" w14:textId="1FC8D19A" w:rsidR="00A271BB" w:rsidRPr="00A271BB" w:rsidRDefault="00A271BB" w:rsidP="000D644B">
      <w:pPr>
        <w:numPr>
          <w:ilvl w:val="0"/>
          <w:numId w:val="5"/>
        </w:numPr>
        <w:jc w:val="both"/>
      </w:pPr>
      <w:r w:rsidRPr="00A271BB">
        <w:t>Si</w:t>
      </w:r>
      <w:r w:rsidR="005F3EAE">
        <w:t xml:space="preserve"> </w:t>
      </w:r>
      <w:r w:rsidRPr="00A271BB">
        <w:rPr>
          <w:b/>
          <w:bCs/>
        </w:rPr>
        <w:t>T</w:t>
      </w:r>
      <w:r w:rsidR="005F3EAE">
        <w:t xml:space="preserve"> </w:t>
      </w:r>
      <w:r w:rsidRPr="00A271BB">
        <w:t>o cualquier</w:t>
      </w:r>
      <w:r w:rsidR="005F3EAE">
        <w:t xml:space="preserve"> </w:t>
      </w:r>
      <w:hyperlink r:id="rId96" w:anchor="reported-data-point" w:history="1">
        <w:r w:rsidRPr="00A271BB">
          <w:rPr>
            <w:rStyle w:val="Hipervnculo"/>
            <w:i/>
            <w:iCs/>
          </w:rPr>
          <w:t>punto de datos informado</w:t>
        </w:r>
      </w:hyperlink>
      <w:r w:rsidR="005F3EAE">
        <w:t xml:space="preserve"> </w:t>
      </w:r>
      <w:r w:rsidRPr="00A271BB">
        <w:t>en</w:t>
      </w:r>
      <w:r w:rsidR="005F3EAE">
        <w:t xml:space="preserve"> </w:t>
      </w:r>
      <w:r w:rsidRPr="00A271BB">
        <w:rPr>
          <w:b/>
          <w:bCs/>
        </w:rPr>
        <w:t>SS</w:t>
      </w:r>
      <w:r w:rsidR="005F3EAE">
        <w:t xml:space="preserve"> </w:t>
      </w:r>
      <w:r w:rsidRPr="00A271BB">
        <w:t>tiene</w:t>
      </w:r>
      <w:r w:rsidR="005F3EAE">
        <w:t xml:space="preserve"> </w:t>
      </w:r>
      <w:hyperlink r:id="rId97" w:anchor="component-fact" w:history="1">
        <w:r w:rsidRPr="00A271BB">
          <w:rPr>
            <w:rStyle w:val="Hipervnculo"/>
            <w:i/>
            <w:iCs/>
          </w:rPr>
          <w:t>hechos</w:t>
        </w:r>
      </w:hyperlink>
      <w:r w:rsidR="005F3EAE">
        <w:t xml:space="preserve"> </w:t>
      </w:r>
      <w:r w:rsidRPr="00A271BB">
        <w:t>con</w:t>
      </w:r>
      <w:r w:rsidR="005F3EAE">
        <w:t xml:space="preserve"> </w:t>
      </w:r>
      <w:hyperlink r:id="rId98" w:anchor="digits-in-excess-of-the-declared-precision" w:history="1">
        <w:r w:rsidRPr="00A271BB">
          <w:rPr>
            <w:rStyle w:val="Hipervnculo"/>
            <w:i/>
            <w:iCs/>
          </w:rPr>
          <w:t>dígitos que exceden la precisión declarada</w:t>
        </w:r>
      </w:hyperlink>
      <w:r w:rsidRPr="00A271BB">
        <w:t>, entonces se DEBE generar</w:t>
      </w:r>
      <w:r w:rsidR="005F3EAE">
        <w:t xml:space="preserve"> </w:t>
      </w:r>
      <w:r w:rsidRPr="00A271BB">
        <w:t>calc11e:excessDigits</w:t>
      </w:r>
      <w:r w:rsidR="005F3EAE">
        <w:t xml:space="preserve"> </w:t>
      </w:r>
      <w:r w:rsidRPr="00A271BB">
        <w:t>y no se realizan más comprobaciones de coherencia para esta vinculación del</w:t>
      </w:r>
      <w:r w:rsidR="005F3EAE">
        <w:t xml:space="preserve"> </w:t>
      </w:r>
      <w:hyperlink r:id="rId99" w:anchor="calculation" w:history="1">
        <w:r w:rsidRPr="00A271BB">
          <w:rPr>
            <w:rStyle w:val="Hipervnculo"/>
            <w:i/>
            <w:iCs/>
          </w:rPr>
          <w:t>cálculo</w:t>
        </w:r>
      </w:hyperlink>
      <w:r w:rsidRPr="00A271BB">
        <w:t>.</w:t>
      </w:r>
    </w:p>
    <w:p w14:paraId="0AC3EDC0" w14:textId="17291C5F" w:rsidR="00A271BB" w:rsidRPr="00A271BB" w:rsidRDefault="00A271BB" w:rsidP="000D644B">
      <w:pPr>
        <w:numPr>
          <w:ilvl w:val="0"/>
          <w:numId w:val="5"/>
        </w:numPr>
        <w:jc w:val="both"/>
      </w:pPr>
      <w:r w:rsidRPr="00A271BB">
        <w:lastRenderedPageBreak/>
        <w:t>Para cada</w:t>
      </w:r>
      <w:r w:rsidR="00915995">
        <w:t xml:space="preserve"> </w:t>
      </w:r>
      <w:hyperlink r:id="rId100" w:anchor="reported-data-point" w:history="1">
        <w:r w:rsidRPr="00A271BB">
          <w:rPr>
            <w:rStyle w:val="Hipervnculo"/>
            <w:i/>
            <w:iCs/>
          </w:rPr>
          <w:t>punto de datos reportado</w:t>
        </w:r>
      </w:hyperlink>
      <w:r w:rsidR="00915995">
        <w:rPr>
          <w:rStyle w:val="Hipervnculo"/>
          <w:i/>
          <w:iCs/>
        </w:rPr>
        <w:t xml:space="preserve"> </w:t>
      </w:r>
      <w:r w:rsidRPr="00A271BB">
        <w:rPr>
          <w:b/>
          <w:bCs/>
        </w:rPr>
        <w:t>S</w:t>
      </w:r>
      <w:r w:rsidR="00915995">
        <w:t xml:space="preserve"> </w:t>
      </w:r>
      <w:r w:rsidRPr="00A271BB">
        <w:t>en</w:t>
      </w:r>
      <w:r w:rsidR="00915995">
        <w:t xml:space="preserve"> </w:t>
      </w:r>
      <w:r w:rsidRPr="00A271BB">
        <w:rPr>
          <w:b/>
          <w:bCs/>
        </w:rPr>
        <w:t>SS</w:t>
      </w:r>
      <w:r w:rsidR="00915995">
        <w:rPr>
          <w:b/>
          <w:bCs/>
        </w:rPr>
        <w:t xml:space="preserve"> </w:t>
      </w:r>
      <w:r w:rsidRPr="00A271BB">
        <w:t>, se calcula un intervalo de contribución</w:t>
      </w:r>
      <w:r w:rsidR="00915995">
        <w:t xml:space="preserve"> </w:t>
      </w:r>
      <w:r w:rsidRPr="00A271BB">
        <w:rPr>
          <w:b/>
          <w:bCs/>
        </w:rPr>
        <w:t>C</w:t>
      </w:r>
      <w:r w:rsidR="00915995">
        <w:rPr>
          <w:b/>
          <w:bCs/>
        </w:rPr>
        <w:t xml:space="preserve"> </w:t>
      </w:r>
      <w:r w:rsidRPr="00A271BB">
        <w:t>como la intersección del</w:t>
      </w:r>
      <w:r w:rsidR="00915995">
        <w:t xml:space="preserve"> </w:t>
      </w:r>
      <w:hyperlink r:id="rId101" w:anchor="fact-value-interval" w:history="1">
        <w:r w:rsidRPr="00A271BB">
          <w:rPr>
            <w:rStyle w:val="Hipervnculo"/>
            <w:i/>
            <w:iCs/>
          </w:rPr>
          <w:t>intervalo de valor de hecho</w:t>
        </w:r>
      </w:hyperlink>
      <w:r w:rsidR="00915995">
        <w:t xml:space="preserve"> </w:t>
      </w:r>
      <w:r w:rsidRPr="00A271BB">
        <w:t>(ver</w:t>
      </w:r>
      <w:r w:rsidR="00915995">
        <w:t xml:space="preserve"> </w:t>
      </w:r>
      <w:hyperlink r:id="rId102" w:anchor="sec-consistent-duplicates-handling" w:history="1">
        <w:r w:rsidRPr="00A271BB">
          <w:rPr>
            <w:rStyle w:val="Hipervnculo"/>
          </w:rPr>
          <w:t>Sección 5.5</w:t>
        </w:r>
      </w:hyperlink>
      <w:r w:rsidRPr="00A271BB">
        <w:t>) para todos</w:t>
      </w:r>
      <w:r w:rsidR="00915995">
        <w:t xml:space="preserve"> </w:t>
      </w:r>
      <w:hyperlink r:id="rId103" w:anchor="component-fact" w:history="1">
        <w:r w:rsidRPr="00A271BB">
          <w:rPr>
            <w:rStyle w:val="Hipervnculo"/>
            <w:i/>
            <w:iCs/>
          </w:rPr>
          <w:t>los hechos</w:t>
        </w:r>
      </w:hyperlink>
      <w:r w:rsidR="00915995">
        <w:t xml:space="preserve"> </w:t>
      </w:r>
      <w:r w:rsidRPr="00A271BB">
        <w:t>para ese punto de datos multiplicado por la</w:t>
      </w:r>
      <w:r w:rsidR="00915995">
        <w:t xml:space="preserve"> </w:t>
      </w:r>
      <w:hyperlink r:id="rId104" w:anchor="contribution-weight" w:history="1">
        <w:r w:rsidRPr="00A271BB">
          <w:rPr>
            <w:rStyle w:val="Hipervnculo"/>
            <w:i/>
            <w:iCs/>
          </w:rPr>
          <w:t>ponderación de contribución</w:t>
        </w:r>
      </w:hyperlink>
      <w:r w:rsidRPr="00A271BB">
        <w:t>.</w:t>
      </w:r>
    </w:p>
    <w:p w14:paraId="19849946" w14:textId="2CF5938A" w:rsidR="00A271BB" w:rsidRPr="00A271BB" w:rsidRDefault="00A271BB" w:rsidP="000D644B">
      <w:pPr>
        <w:numPr>
          <w:ilvl w:val="0"/>
          <w:numId w:val="5"/>
        </w:numPr>
        <w:jc w:val="both"/>
      </w:pPr>
      <w:r w:rsidRPr="00A271BB">
        <w:t>Un intervalo total calculado,</w:t>
      </w:r>
      <w:r w:rsidR="00DE5CE5">
        <w:t xml:space="preserve"> </w:t>
      </w:r>
      <w:r w:rsidRPr="00A271BB">
        <w:rPr>
          <w:b/>
          <w:bCs/>
        </w:rPr>
        <w:t>CT</w:t>
      </w:r>
      <w:r w:rsidRPr="00A271BB">
        <w:t>, se calcula como la suma de los intervalos de</w:t>
      </w:r>
      <w:r w:rsidR="00DE5CE5">
        <w:t xml:space="preserve"> </w:t>
      </w:r>
      <w:r w:rsidRPr="00A271BB">
        <w:t>contribución</w:t>
      </w:r>
      <w:r w:rsidR="00DE5CE5">
        <w:t xml:space="preserve"> </w:t>
      </w:r>
      <w:r w:rsidRPr="00A271BB">
        <w:rPr>
          <w:b/>
          <w:bCs/>
        </w:rPr>
        <w:t>C.</w:t>
      </w:r>
    </w:p>
    <w:p w14:paraId="0EF8C097" w14:textId="07162144" w:rsidR="00A271BB" w:rsidRPr="00A271BB" w:rsidRDefault="00A271BB" w:rsidP="000D644B">
      <w:pPr>
        <w:numPr>
          <w:ilvl w:val="0"/>
          <w:numId w:val="5"/>
        </w:numPr>
        <w:jc w:val="both"/>
      </w:pPr>
      <w:r w:rsidRPr="00A271BB">
        <w:t>El total informado,</w:t>
      </w:r>
      <w:r w:rsidR="00DE5CE5">
        <w:t xml:space="preserve"> </w:t>
      </w:r>
      <w:r w:rsidRPr="00A271BB">
        <w:rPr>
          <w:b/>
          <w:bCs/>
        </w:rPr>
        <w:t>RT</w:t>
      </w:r>
      <w:r w:rsidRPr="00A271BB">
        <w:t>, es la intersección del</w:t>
      </w:r>
      <w:r w:rsidR="00DE5CE5">
        <w:t xml:space="preserve"> </w:t>
      </w:r>
      <w:hyperlink r:id="rId105" w:anchor="fact-value-interval" w:history="1">
        <w:r w:rsidRPr="00A271BB">
          <w:rPr>
            <w:rStyle w:val="Hipervnculo"/>
            <w:i/>
            <w:iCs/>
          </w:rPr>
          <w:t>intervalo de valores de hechos</w:t>
        </w:r>
      </w:hyperlink>
      <w:r w:rsidR="00DE5CE5">
        <w:t xml:space="preserve"> </w:t>
      </w:r>
      <w:r w:rsidRPr="00A271BB">
        <w:t>para</w:t>
      </w:r>
      <w:r w:rsidR="00DE5CE5">
        <w:t xml:space="preserve"> </w:t>
      </w:r>
      <w:r w:rsidRPr="00A271BB">
        <w:t>todos</w:t>
      </w:r>
      <w:r w:rsidR="00DE5CE5">
        <w:t xml:space="preserve"> </w:t>
      </w:r>
      <w:hyperlink r:id="rId106" w:anchor="component-fact" w:history="1">
        <w:r w:rsidRPr="00A271BB">
          <w:rPr>
            <w:rStyle w:val="Hipervnculo"/>
            <w:i/>
            <w:iCs/>
          </w:rPr>
          <w:t>los hechos</w:t>
        </w:r>
      </w:hyperlink>
      <w:r w:rsidR="00DE5CE5">
        <w:t xml:space="preserve"> </w:t>
      </w:r>
      <w:r w:rsidRPr="00A271BB">
        <w:t>para</w:t>
      </w:r>
      <w:r w:rsidR="00DE5CE5">
        <w:t xml:space="preserve"> </w:t>
      </w:r>
      <w:r w:rsidRPr="00A271BB">
        <w:rPr>
          <w:b/>
          <w:bCs/>
        </w:rPr>
        <w:t>T.</w:t>
      </w:r>
    </w:p>
    <w:p w14:paraId="78011022" w14:textId="1325E1DC" w:rsidR="00A271BB" w:rsidRPr="00A271BB" w:rsidRDefault="00A271BB" w:rsidP="000D644B">
      <w:pPr>
        <w:numPr>
          <w:ilvl w:val="0"/>
          <w:numId w:val="5"/>
        </w:numPr>
        <w:jc w:val="both"/>
      </w:pPr>
      <w:r w:rsidRPr="00A271BB">
        <w:t>El cálculo se considera coherente si</w:t>
      </w:r>
      <w:r w:rsidR="00915995">
        <w:t xml:space="preserve"> </w:t>
      </w:r>
      <w:r w:rsidRPr="00A271BB">
        <w:rPr>
          <w:b/>
          <w:bCs/>
        </w:rPr>
        <w:t>CT</w:t>
      </w:r>
      <w:r w:rsidR="00915995">
        <w:t xml:space="preserve"> </w:t>
      </w:r>
      <w:r w:rsidRPr="00A271BB">
        <w:t>se superpone con</w:t>
      </w:r>
      <w:r w:rsidR="005F3EAE">
        <w:t xml:space="preserve"> </w:t>
      </w:r>
      <w:r w:rsidRPr="00A271BB">
        <w:rPr>
          <w:b/>
          <w:bCs/>
        </w:rPr>
        <w:t>RT</w:t>
      </w:r>
      <w:r w:rsidRPr="00A271BB">
        <w:t>.</w:t>
      </w:r>
    </w:p>
    <w:p w14:paraId="5BD4D9CB" w14:textId="3F8FCAE4" w:rsidR="00A271BB" w:rsidRPr="00A271BB" w:rsidRDefault="00A271BB" w:rsidP="000D644B">
      <w:pPr>
        <w:jc w:val="both"/>
      </w:pPr>
      <w:r w:rsidRPr="00A271BB">
        <w:t>Si el</w:t>
      </w:r>
      <w:r w:rsidR="00DE5CE5">
        <w:t xml:space="preserve"> </w:t>
      </w:r>
      <w:hyperlink r:id="rId107" w:anchor="rounding-mode" w:history="1">
        <w:r w:rsidRPr="00A271BB">
          <w:rPr>
            <w:rStyle w:val="Hipervnculo"/>
            <w:i/>
            <w:iCs/>
          </w:rPr>
          <w:t>modo de redondeo</w:t>
        </w:r>
      </w:hyperlink>
      <w:r w:rsidR="00DE5CE5">
        <w:t xml:space="preserve"> </w:t>
      </w:r>
      <w:r w:rsidRPr="00A271BB">
        <w:t>es "redondear al más cercano", el código de error</w:t>
      </w:r>
      <w:r w:rsidR="00DE5CE5">
        <w:t xml:space="preserve"> </w:t>
      </w:r>
      <w:r w:rsidRPr="00A271BB">
        <w:t>calc11e:inconsistentCalculationUsingRounding</w:t>
      </w:r>
      <w:r w:rsidR="00DE5CE5">
        <w:t xml:space="preserve"> </w:t>
      </w:r>
      <w:r w:rsidRPr="00A271BB">
        <w:t>DEBE generarse para cada vinculación de un</w:t>
      </w:r>
      <w:r w:rsidR="005F3EAE">
        <w:t xml:space="preserve"> </w:t>
      </w:r>
      <w:hyperlink r:id="rId108" w:anchor="calculation" w:history="1">
        <w:r w:rsidRPr="00A271BB">
          <w:rPr>
            <w:rStyle w:val="Hipervnculo"/>
            <w:i/>
            <w:iCs/>
          </w:rPr>
          <w:t>cálculo</w:t>
        </w:r>
      </w:hyperlink>
      <w:r w:rsidR="005F3EAE">
        <w:t xml:space="preserve"> </w:t>
      </w:r>
      <w:r w:rsidRPr="00A271BB">
        <w:t>que no sea consistente.</w:t>
      </w:r>
    </w:p>
    <w:p w14:paraId="0FB41AE3" w14:textId="1EF877C3" w:rsidR="00A271BB" w:rsidRPr="00A271BB" w:rsidRDefault="00A271BB" w:rsidP="000D644B">
      <w:pPr>
        <w:jc w:val="both"/>
      </w:pPr>
      <w:r w:rsidRPr="00A271BB">
        <w:t>Si el</w:t>
      </w:r>
      <w:r w:rsidR="00DE5CE5">
        <w:t xml:space="preserve"> </w:t>
      </w:r>
      <w:hyperlink r:id="rId109" w:anchor="rounding-mode" w:history="1">
        <w:r w:rsidRPr="00A271BB">
          <w:rPr>
            <w:rStyle w:val="Hipervnculo"/>
            <w:i/>
            <w:iCs/>
          </w:rPr>
          <w:t>modo de redondeo</w:t>
        </w:r>
      </w:hyperlink>
      <w:r w:rsidR="00DE5CE5">
        <w:t xml:space="preserve"> </w:t>
      </w:r>
      <w:r w:rsidRPr="00A271BB">
        <w:t>es "truncamiento", el código de error</w:t>
      </w:r>
      <w:r w:rsidR="00DE5CE5">
        <w:t xml:space="preserve"> </w:t>
      </w:r>
      <w:r w:rsidRPr="00A271BB">
        <w:t>calc11e:inconsistentCalculationUsingTruncation</w:t>
      </w:r>
      <w:r w:rsidR="00DE5CE5">
        <w:t xml:space="preserve"> </w:t>
      </w:r>
      <w:r w:rsidRPr="00A271BB">
        <w:t>DEBE generarse para cada enlace de un</w:t>
      </w:r>
      <w:r w:rsidR="005F3EAE">
        <w:t xml:space="preserve"> </w:t>
      </w:r>
      <w:hyperlink r:id="rId110" w:anchor="calculation" w:history="1">
        <w:r w:rsidRPr="00A271BB">
          <w:rPr>
            <w:rStyle w:val="Hipervnculo"/>
            <w:i/>
            <w:iCs/>
          </w:rPr>
          <w:t>cálculo</w:t>
        </w:r>
      </w:hyperlink>
      <w:r w:rsidR="005F3EAE">
        <w:t xml:space="preserve"> </w:t>
      </w:r>
      <w:r w:rsidRPr="00A271BB">
        <w:t>que no sea consistente.</w:t>
      </w:r>
    </w:p>
    <w:p w14:paraId="0B783DA6" w14:textId="77777777" w:rsidR="00A271BB" w:rsidRPr="00A271BB" w:rsidRDefault="00A271BB" w:rsidP="000D644B">
      <w:pPr>
        <w:jc w:val="both"/>
        <w:rPr>
          <w:b/>
          <w:bCs/>
        </w:rPr>
      </w:pPr>
      <w:r w:rsidRPr="00A271BB">
        <w:rPr>
          <w:b/>
          <w:bCs/>
        </w:rPr>
        <w:t>5.2.1 Modo de redondeo</w:t>
      </w:r>
    </w:p>
    <w:p w14:paraId="1EE1D236" w14:textId="71D80AC1" w:rsidR="00A271BB" w:rsidRPr="00A271BB" w:rsidRDefault="00A271BB" w:rsidP="000D644B">
      <w:pPr>
        <w:jc w:val="both"/>
      </w:pPr>
      <w:r w:rsidRPr="00A271BB">
        <w:t>Para establecer la coherencia de un cálculo, es necesario conocer el conjunto de valores posibles a partir de los cuales se puede haber redondeado un valor informado.</w:t>
      </w:r>
      <w:r w:rsidR="00915995">
        <w:t xml:space="preserve"> </w:t>
      </w:r>
      <w:r w:rsidRPr="00A271BB">
        <w:t>Esto dependerá del método de redondeo que se haya utilizado.</w:t>
      </w:r>
      <w:r w:rsidR="00915995">
        <w:t xml:space="preserve"> </w:t>
      </w:r>
      <w:r w:rsidRPr="00A271BB">
        <w:t>Esta especificación define dos posibles</w:t>
      </w:r>
      <w:r w:rsidR="00915995">
        <w:t xml:space="preserve"> </w:t>
      </w:r>
      <w:hyperlink r:id="rId111" w:anchor="rounding-mode" w:history="1">
        <w:r w:rsidRPr="00A271BB">
          <w:rPr>
            <w:rStyle w:val="Hipervnculo"/>
            <w:i/>
            <w:iCs/>
          </w:rPr>
          <w:t>modos de redondeo</w:t>
        </w:r>
      </w:hyperlink>
      <w:r w:rsidRPr="00A271BB">
        <w:t>.</w:t>
      </w:r>
    </w:p>
    <w:p w14:paraId="584A3157" w14:textId="73132821" w:rsidR="00A271BB" w:rsidRPr="00A271BB" w:rsidRDefault="00A271BB" w:rsidP="000D644B">
      <w:pPr>
        <w:jc w:val="both"/>
      </w:pPr>
      <w:bookmarkStart w:id="12" w:name="rounding-mode"/>
      <w:r w:rsidRPr="00A271BB">
        <w:t>El</w:t>
      </w:r>
      <w:r w:rsidR="00915995">
        <w:t xml:space="preserve"> </w:t>
      </w:r>
      <w:r w:rsidRPr="00A271BB">
        <w:rPr>
          <w:b/>
          <w:bCs/>
        </w:rPr>
        <w:t>modo de redondeo</w:t>
      </w:r>
      <w:r w:rsidR="00915995">
        <w:t xml:space="preserve"> </w:t>
      </w:r>
      <w:r w:rsidRPr="00A271BB">
        <w:t>define cómo se han obtenido los valores que se han reportado con una precisión finita y es uno de:</w:t>
      </w:r>
      <w:bookmarkEnd w:id="12"/>
    </w:p>
    <w:p w14:paraId="3153BAA3" w14:textId="3C7BA488" w:rsidR="00A271BB" w:rsidRPr="00A271BB" w:rsidRDefault="00A271BB" w:rsidP="000D644B">
      <w:pPr>
        <w:numPr>
          <w:ilvl w:val="0"/>
          <w:numId w:val="6"/>
        </w:numPr>
        <w:jc w:val="both"/>
      </w:pPr>
      <w:r w:rsidRPr="00A271BB">
        <w:t>"redondeado al más cercano": los valores informados se han redondeado a partir de un valor en el</w:t>
      </w:r>
      <w:r w:rsidR="005F3EAE">
        <w:t xml:space="preserve"> </w:t>
      </w:r>
      <w:hyperlink r:id="rId112" w:anchor="rounded-fact-value-interval" w:history="1">
        <w:r w:rsidRPr="00A271BB">
          <w:rPr>
            <w:rStyle w:val="Hipervnculo"/>
            <w:i/>
            <w:iCs/>
          </w:rPr>
          <w:t>intervalo de valores de hecho redondeados</w:t>
        </w:r>
      </w:hyperlink>
      <w:r w:rsidRPr="00A271BB">
        <w:t>.</w:t>
      </w:r>
    </w:p>
    <w:p w14:paraId="742BC57F" w14:textId="6F572B47" w:rsidR="00A271BB" w:rsidRPr="00A271BB" w:rsidRDefault="00A271BB" w:rsidP="000D644B">
      <w:pPr>
        <w:numPr>
          <w:ilvl w:val="0"/>
          <w:numId w:val="6"/>
        </w:numPr>
        <w:jc w:val="both"/>
      </w:pPr>
      <w:r w:rsidRPr="00A271BB">
        <w:t>"truncamiento": los valores informados se han truncado a partir de un valor en el</w:t>
      </w:r>
      <w:r w:rsidR="005F3EAE">
        <w:t xml:space="preserve"> </w:t>
      </w:r>
      <w:hyperlink r:id="rId113" w:anchor="truncated-fact-value-interval" w:history="1">
        <w:r w:rsidRPr="00A271BB">
          <w:rPr>
            <w:rStyle w:val="Hipervnculo"/>
            <w:i/>
            <w:iCs/>
          </w:rPr>
          <w:t>intervalo de valores de hechos truncados</w:t>
        </w:r>
      </w:hyperlink>
      <w:r w:rsidRPr="00A271BB">
        <w:t>.</w:t>
      </w:r>
    </w:p>
    <w:p w14:paraId="4E448183" w14:textId="16F4617C" w:rsidR="00A271BB" w:rsidRPr="00A271BB" w:rsidRDefault="00A271BB" w:rsidP="000D644B">
      <w:pPr>
        <w:jc w:val="both"/>
      </w:pPr>
      <w:r w:rsidRPr="00A271BB">
        <w:t>Los procesadores que implementan esta especificación deben admitir ambos</w:t>
      </w:r>
      <w:r w:rsidR="005F3EAE">
        <w:t xml:space="preserve"> </w:t>
      </w:r>
      <w:hyperlink r:id="rId114" w:anchor="rounding-mode" w:history="1">
        <w:r w:rsidRPr="00A271BB">
          <w:rPr>
            <w:rStyle w:val="Hipervnculo"/>
            <w:i/>
            <w:iCs/>
          </w:rPr>
          <w:t>modos de redondeo</w:t>
        </w:r>
      </w:hyperlink>
      <w:r w:rsidRPr="00A271BB">
        <w:t>.</w:t>
      </w:r>
      <w:r w:rsidR="005F3EAE">
        <w:t xml:space="preserve"> </w:t>
      </w:r>
      <w:r w:rsidRPr="00A271BB">
        <w:t>Se DEBE utilizar un</w:t>
      </w:r>
      <w:r w:rsidR="005F3EAE">
        <w:t xml:space="preserve"> </w:t>
      </w:r>
      <w:hyperlink r:id="rId115" w:anchor="rounding-mode" w:history="1">
        <w:r w:rsidRPr="00A271BB">
          <w:rPr>
            <w:rStyle w:val="Hipervnculo"/>
            <w:i/>
            <w:iCs/>
          </w:rPr>
          <w:t>modo de redondeo</w:t>
        </w:r>
      </w:hyperlink>
      <w:r w:rsidR="005F3EAE">
        <w:t xml:space="preserve"> </w:t>
      </w:r>
      <w:r w:rsidRPr="00A271BB">
        <w:t>único de manera consistente para todos los cálculos de un</w:t>
      </w:r>
      <w:r w:rsidR="005F3EAE">
        <w:t xml:space="preserve"> </w:t>
      </w:r>
      <w:hyperlink r:id="rId116" w:anchor="component-report" w:history="1">
        <w:r w:rsidRPr="00A271BB">
          <w:rPr>
            <w:rStyle w:val="Hipervnculo"/>
            <w:i/>
            <w:iCs/>
          </w:rPr>
          <w:t>informe</w:t>
        </w:r>
      </w:hyperlink>
      <w:r w:rsidRPr="00A271BB">
        <w:t>.</w:t>
      </w:r>
      <w:r w:rsidR="005F3EAE">
        <w:t xml:space="preserve"> </w:t>
      </w:r>
      <w:r w:rsidRPr="00A271BB">
        <w:t>El</w:t>
      </w:r>
      <w:r w:rsidR="005F3EAE">
        <w:t xml:space="preserve"> </w:t>
      </w:r>
      <w:hyperlink r:id="rId117" w:anchor="rounding-mode" w:history="1">
        <w:r w:rsidRPr="00A271BB">
          <w:rPr>
            <w:rStyle w:val="Hipervnculo"/>
            <w:i/>
            <w:iCs/>
          </w:rPr>
          <w:t>modo de redondeo</w:t>
        </w:r>
      </w:hyperlink>
      <w:r w:rsidR="005F3EAE">
        <w:t xml:space="preserve"> </w:t>
      </w:r>
      <w:r w:rsidRPr="00A271BB">
        <w:t>utilizado DEBE ser una opción de configuración de tiempo de ejecución.</w:t>
      </w:r>
    </w:p>
    <w:p w14:paraId="3529597B" w14:textId="77777777" w:rsidR="00A271BB" w:rsidRPr="00A271BB" w:rsidRDefault="00A271BB" w:rsidP="000D644B">
      <w:pPr>
        <w:jc w:val="both"/>
        <w:rPr>
          <w:b/>
          <w:bCs/>
        </w:rPr>
      </w:pPr>
      <w:r w:rsidRPr="00A271BB">
        <w:rPr>
          <w:b/>
          <w:bCs/>
        </w:rPr>
        <w:t>5.2.2 Intervalo de valor de hecho</w:t>
      </w:r>
    </w:p>
    <w:p w14:paraId="0E5A83D3" w14:textId="6D811B18" w:rsidR="00A271BB" w:rsidRPr="00A271BB" w:rsidRDefault="00A271BB" w:rsidP="000D644B">
      <w:pPr>
        <w:jc w:val="both"/>
      </w:pPr>
      <w:bookmarkStart w:id="13" w:name="fact-value-interval"/>
      <w:r w:rsidRPr="00A271BB">
        <w:t>El</w:t>
      </w:r>
      <w:r w:rsidR="00915995">
        <w:t xml:space="preserve"> </w:t>
      </w:r>
      <w:r w:rsidRPr="00A271BB">
        <w:rPr>
          <w:b/>
          <w:bCs/>
        </w:rPr>
        <w:t>intervalo de valor de hecho</w:t>
      </w:r>
      <w:r w:rsidR="005F3EAE">
        <w:t xml:space="preserve"> </w:t>
      </w:r>
      <w:r w:rsidRPr="00A271BB">
        <w:t>para un hecho es el rango de valores posibles desde los cuales el valor de hecho informado es consistente con haber sido redondeado o truncado, según el</w:t>
      </w:r>
      <w:r w:rsidR="00915995">
        <w:t xml:space="preserve"> </w:t>
      </w:r>
      <w:bookmarkEnd w:id="13"/>
      <w:r w:rsidRPr="00A271BB">
        <w:fldChar w:fldCharType="begin"/>
      </w:r>
      <w:r w:rsidRPr="00A271BB">
        <w:instrText xml:space="preserve"> HYPERLINK "https://www.xbrl.org/Specification/calculation-1.1/REC-2023-02-22/calculation-1.1-REC-2023-02-22.html" \l "rounding-mode" </w:instrText>
      </w:r>
      <w:r w:rsidRPr="00A271BB">
        <w:fldChar w:fldCharType="separate"/>
      </w:r>
      <w:r w:rsidRPr="00A271BB">
        <w:rPr>
          <w:rStyle w:val="Hipervnculo"/>
          <w:i/>
          <w:iCs/>
        </w:rPr>
        <w:t>modo de redondeo</w:t>
      </w:r>
      <w:r w:rsidRPr="00A271BB">
        <w:fldChar w:fldCharType="end"/>
      </w:r>
      <w:r w:rsidRPr="00A271BB">
        <w:t>.</w:t>
      </w:r>
    </w:p>
    <w:p w14:paraId="417FFBB6" w14:textId="6C595B9D" w:rsidR="00A271BB" w:rsidRPr="00A271BB" w:rsidRDefault="00A271BB" w:rsidP="000D644B">
      <w:pPr>
        <w:numPr>
          <w:ilvl w:val="0"/>
          <w:numId w:val="7"/>
        </w:numPr>
        <w:jc w:val="both"/>
      </w:pPr>
      <w:r w:rsidRPr="00A271BB">
        <w:t>Si el</w:t>
      </w:r>
      <w:r w:rsidR="00915995">
        <w:t xml:space="preserve"> </w:t>
      </w:r>
      <w:hyperlink r:id="rId118" w:anchor="rounding-mode" w:history="1">
        <w:r w:rsidRPr="00A271BB">
          <w:rPr>
            <w:rStyle w:val="Hipervnculo"/>
            <w:i/>
            <w:iCs/>
          </w:rPr>
          <w:t>modo de redondeo</w:t>
        </w:r>
      </w:hyperlink>
      <w:r w:rsidRPr="00A271BB">
        <w:t> es "redondear al más cercano", el</w:t>
      </w:r>
      <w:r w:rsidR="00915995">
        <w:t xml:space="preserve"> </w:t>
      </w:r>
      <w:hyperlink r:id="rId119" w:anchor="fact-value-interval" w:history="1">
        <w:r w:rsidRPr="00A271BB">
          <w:rPr>
            <w:rStyle w:val="Hipervnculo"/>
            <w:i/>
            <w:iCs/>
          </w:rPr>
          <w:t>intervalo de valores de hecho</w:t>
        </w:r>
      </w:hyperlink>
      <w:r w:rsidR="00915995">
        <w:t xml:space="preserve"> </w:t>
      </w:r>
      <w:r w:rsidRPr="00A271BB">
        <w:t>es el</w:t>
      </w:r>
      <w:r w:rsidR="00915995">
        <w:t xml:space="preserve"> </w:t>
      </w:r>
      <w:hyperlink r:id="rId120" w:anchor="rounded-fact-value-interval" w:history="1">
        <w:r w:rsidRPr="00A271BB">
          <w:rPr>
            <w:rStyle w:val="Hipervnculo"/>
            <w:i/>
            <w:iCs/>
          </w:rPr>
          <w:t>intervalo de valores de hechos redondeado</w:t>
        </w:r>
      </w:hyperlink>
      <w:r w:rsidRPr="00A271BB">
        <w:t>.</w:t>
      </w:r>
    </w:p>
    <w:p w14:paraId="65E84896" w14:textId="62762706" w:rsidR="00A271BB" w:rsidRPr="00A271BB" w:rsidRDefault="00A271BB" w:rsidP="000D644B">
      <w:pPr>
        <w:numPr>
          <w:ilvl w:val="0"/>
          <w:numId w:val="7"/>
        </w:numPr>
        <w:jc w:val="both"/>
      </w:pPr>
      <w:r w:rsidRPr="00A271BB">
        <w:t>Si el</w:t>
      </w:r>
      <w:r w:rsidR="00915995">
        <w:t xml:space="preserve"> </w:t>
      </w:r>
      <w:hyperlink r:id="rId121" w:anchor="rounding-mode" w:history="1">
        <w:r w:rsidRPr="00A271BB">
          <w:rPr>
            <w:rStyle w:val="Hipervnculo"/>
            <w:i/>
            <w:iCs/>
          </w:rPr>
          <w:t>modo de redondeo</w:t>
        </w:r>
      </w:hyperlink>
      <w:r w:rsidR="00915995">
        <w:t xml:space="preserve"> </w:t>
      </w:r>
      <w:r w:rsidRPr="00A271BB">
        <w:t>es "truncamiento", el</w:t>
      </w:r>
      <w:r w:rsidR="00915995">
        <w:t xml:space="preserve"> </w:t>
      </w:r>
      <w:hyperlink r:id="rId122" w:anchor="fact-value-interval" w:history="1">
        <w:r w:rsidRPr="00A271BB">
          <w:rPr>
            <w:rStyle w:val="Hipervnculo"/>
            <w:i/>
            <w:iCs/>
          </w:rPr>
          <w:t>intervalo de valores de hecho</w:t>
        </w:r>
      </w:hyperlink>
      <w:r w:rsidR="00915995">
        <w:t xml:space="preserve"> </w:t>
      </w:r>
      <w:r w:rsidRPr="00A271BB">
        <w:t>es el</w:t>
      </w:r>
      <w:r w:rsidR="00915995">
        <w:t xml:space="preserve"> </w:t>
      </w:r>
      <w:hyperlink r:id="rId123" w:anchor="truncated-fact-value-interval" w:history="1">
        <w:r w:rsidRPr="00A271BB">
          <w:rPr>
            <w:rStyle w:val="Hipervnculo"/>
            <w:i/>
            <w:iCs/>
          </w:rPr>
          <w:t>intervalo de valores de hechos truncado</w:t>
        </w:r>
      </w:hyperlink>
      <w:r w:rsidRPr="00A271BB">
        <w:t>.</w:t>
      </w:r>
    </w:p>
    <w:p w14:paraId="1B3589AC" w14:textId="77777777" w:rsidR="00A271BB" w:rsidRPr="000D644B" w:rsidRDefault="00A271BB" w:rsidP="00A271BB">
      <w:pPr>
        <w:rPr>
          <w:rFonts w:ascii="Arial Nova Cond" w:hAnsi="Arial Nova Cond"/>
          <w:color w:val="4472C4" w:themeColor="accent1"/>
        </w:rPr>
      </w:pPr>
      <w:r w:rsidRPr="000D644B">
        <w:rPr>
          <w:rFonts w:ascii="Arial Nova Cond" w:hAnsi="Arial Nova Cond"/>
          <w:color w:val="4472C4" w:themeColor="accent1"/>
        </w:rPr>
        <w:lastRenderedPageBreak/>
        <w:t>5.2.3 Intervalo de valores de hecho redondeados</w:t>
      </w:r>
    </w:p>
    <w:p w14:paraId="6FEF4387" w14:textId="3236DF9D" w:rsidR="00A271BB" w:rsidRPr="00A271BB" w:rsidRDefault="00A271BB" w:rsidP="000D644B">
      <w:pPr>
        <w:jc w:val="both"/>
      </w:pPr>
      <w:bookmarkStart w:id="14" w:name="rounded-fact-value-interval"/>
      <w:r w:rsidRPr="00A271BB">
        <w:t>El</w:t>
      </w:r>
      <w:r w:rsidR="005F3EAE">
        <w:t xml:space="preserve"> </w:t>
      </w:r>
      <w:r w:rsidRPr="00A271BB">
        <w:rPr>
          <w:b/>
          <w:bCs/>
        </w:rPr>
        <w:t>intervalo de valor de hecho redondeado</w:t>
      </w:r>
      <w:r w:rsidR="005F3EAE">
        <w:t xml:space="preserve"> </w:t>
      </w:r>
      <w:r w:rsidRPr="00A271BB">
        <w:t>para un hecho es el rango de valores posibles desde los cuales el valor de hecho informado es consistente con haber sido redondeado, lo que permite que un valor "mitad" se haya redondeado hacia arriba o hacia abajo.</w:t>
      </w:r>
      <w:r w:rsidR="000D644B">
        <w:t xml:space="preserve"> </w:t>
      </w:r>
      <w:bookmarkEnd w:id="14"/>
      <w:r w:rsidRPr="00A271BB">
        <w:t>Para un hecho con {valor}vy propiedad finita de {decimales}d, se define como:</w:t>
      </w:r>
    </w:p>
    <w:p w14:paraId="48FE8D26" w14:textId="77777777" w:rsidR="00A271BB" w:rsidRPr="00A271BB" w:rsidRDefault="00A271BB" w:rsidP="000D644B">
      <w:pPr>
        <w:jc w:val="both"/>
      </w:pPr>
      <w:r w:rsidRPr="00A271BB">
        <w:t>[v-0.5*10^(0-d), v+0.5*10^(0-d)]</w:t>
      </w:r>
    </w:p>
    <w:p w14:paraId="6879D56D" w14:textId="77777777" w:rsidR="00A271BB" w:rsidRPr="00A271BB" w:rsidRDefault="00A271BB" w:rsidP="000D644B">
      <w:pPr>
        <w:jc w:val="both"/>
      </w:pPr>
      <w:r w:rsidRPr="00A271BB">
        <w:t>Para un hecho con una propiedad {decimales} de "infinito", se define como el intervalo de un solo punto:</w:t>
      </w:r>
    </w:p>
    <w:p w14:paraId="24FDA2A5" w14:textId="77777777" w:rsidR="00A271BB" w:rsidRPr="00A271BB" w:rsidRDefault="00A271BB" w:rsidP="000D644B">
      <w:pPr>
        <w:jc w:val="both"/>
      </w:pPr>
      <w:r w:rsidRPr="00A271BB">
        <w:t>[v, v]</w:t>
      </w:r>
    </w:p>
    <w:p w14:paraId="03A351A8" w14:textId="51EED375" w:rsidR="00A271BB" w:rsidRDefault="00A271BB">
      <w:r w:rsidRPr="00A271BB">
        <w:rPr>
          <w:noProof/>
        </w:rPr>
        <w:drawing>
          <wp:inline distT="0" distB="0" distL="0" distR="0" wp14:anchorId="6B04FB05" wp14:editId="7092FC88">
            <wp:extent cx="5612130" cy="2611120"/>
            <wp:effectExtent l="0" t="0" r="762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4"/>
                    <a:stretch>
                      <a:fillRect/>
                    </a:stretch>
                  </pic:blipFill>
                  <pic:spPr>
                    <a:xfrm>
                      <a:off x="0" y="0"/>
                      <a:ext cx="5612130" cy="2611120"/>
                    </a:xfrm>
                    <a:prstGeom prst="rect">
                      <a:avLst/>
                    </a:prstGeom>
                  </pic:spPr>
                </pic:pic>
              </a:graphicData>
            </a:graphic>
          </wp:inline>
        </w:drawing>
      </w:r>
    </w:p>
    <w:p w14:paraId="75B872FB" w14:textId="77777777" w:rsidR="00A271BB" w:rsidRPr="000D644B" w:rsidRDefault="00A271BB" w:rsidP="00A271BB">
      <w:pPr>
        <w:rPr>
          <w:rFonts w:ascii="Arial Nova Cond" w:hAnsi="Arial Nova Cond"/>
          <w:color w:val="4472C4" w:themeColor="accent1"/>
        </w:rPr>
      </w:pPr>
      <w:r w:rsidRPr="000D644B">
        <w:rPr>
          <w:rFonts w:ascii="Arial Nova Cond" w:hAnsi="Arial Nova Cond"/>
          <w:color w:val="4472C4" w:themeColor="accent1"/>
        </w:rPr>
        <w:t>5.2.4 Intervalo de valor de hecho truncado</w:t>
      </w:r>
    </w:p>
    <w:p w14:paraId="401FF780" w14:textId="1AF4E718" w:rsidR="00A271BB" w:rsidRPr="00A271BB" w:rsidRDefault="00A271BB" w:rsidP="000D644B">
      <w:pPr>
        <w:jc w:val="both"/>
      </w:pPr>
      <w:bookmarkStart w:id="15" w:name="truncated-fact-value-interval"/>
      <w:r w:rsidRPr="00A271BB">
        <w:t>El</w:t>
      </w:r>
      <w:r w:rsidR="005F3EAE">
        <w:t xml:space="preserve"> </w:t>
      </w:r>
      <w:r w:rsidRPr="00A271BB">
        <w:rPr>
          <w:b/>
          <w:bCs/>
        </w:rPr>
        <w:t>intervalo de valor de hecho truncado</w:t>
      </w:r>
      <w:r w:rsidR="005F3EAE">
        <w:t xml:space="preserve"> </w:t>
      </w:r>
      <w:r w:rsidRPr="00A271BB">
        <w:t>para un hecho es el rango de valores posibles desde los cuales el valor de hecho informado es consistente con haber sido truncado.</w:t>
      </w:r>
      <w:bookmarkEnd w:id="15"/>
      <w:r w:rsidR="005F3EAE">
        <w:t xml:space="preserve"> </w:t>
      </w:r>
      <w:r w:rsidRPr="00A271BB">
        <w:t>Para un hecho con {valor}</w:t>
      </w:r>
      <w:r w:rsidR="005F3EAE">
        <w:t xml:space="preserve"> </w:t>
      </w:r>
      <w:r w:rsidRPr="00A271BB">
        <w:t>vy propiedad finita de {decimales}d, el intervalo se obtiene de la siguiente manera:</w:t>
      </w:r>
    </w:p>
    <w:p w14:paraId="2566CE21" w14:textId="1A64D7D3" w:rsidR="00A271BB" w:rsidRPr="00A271BB" w:rsidRDefault="00A271BB" w:rsidP="000D644B">
      <w:pPr>
        <w:jc w:val="both"/>
      </w:pPr>
      <w:r w:rsidRPr="00A271BB">
        <w:t>El valor informado</w:t>
      </w:r>
      <w:r w:rsidR="005F3EAE">
        <w:t xml:space="preserve"> </w:t>
      </w:r>
      <w:r w:rsidRPr="00A271BB">
        <w:t>vprimero se trunca a su precisión indicada, reemplazando cualquier dígito distinto de cero a la derecha del</w:t>
      </w:r>
      <w:r w:rsidR="005F3EAE">
        <w:t xml:space="preserve"> </w:t>
      </w:r>
      <w:r w:rsidRPr="00A271BB">
        <w:t>denésimo lugar decimal con cero.</w:t>
      </w:r>
    </w:p>
    <w:p w14:paraId="73FE9FA7" w14:textId="77777777" w:rsidR="00A271BB" w:rsidRPr="00A271BB" w:rsidRDefault="00A271BB" w:rsidP="000D644B">
      <w:pPr>
        <w:jc w:val="both"/>
      </w:pPr>
      <w:r w:rsidRPr="00A271BB">
        <w:t>El intervalo es entonces:</w:t>
      </w:r>
    </w:p>
    <w:p w14:paraId="0A3FB771" w14:textId="77777777" w:rsidR="00A271BB" w:rsidRPr="00A271BB" w:rsidRDefault="00A271BB" w:rsidP="000D644B">
      <w:pPr>
        <w:jc w:val="both"/>
      </w:pPr>
      <w:r w:rsidRPr="00A271BB">
        <w:t>Si v &gt; 0:</w:t>
      </w:r>
    </w:p>
    <w:p w14:paraId="496D2193" w14:textId="77777777" w:rsidR="00A271BB" w:rsidRPr="00A271BB" w:rsidRDefault="00A271BB" w:rsidP="000D644B">
      <w:pPr>
        <w:jc w:val="both"/>
      </w:pPr>
      <w:r w:rsidRPr="00A271BB">
        <w:t>[v, v+10^(0-d))</w:t>
      </w:r>
    </w:p>
    <w:p w14:paraId="7AADCEBA" w14:textId="77777777" w:rsidR="00A271BB" w:rsidRPr="00A271BB" w:rsidRDefault="00A271BB" w:rsidP="000D644B">
      <w:pPr>
        <w:jc w:val="both"/>
      </w:pPr>
      <w:r w:rsidRPr="00A271BB">
        <w:t>Si v &lt; 0:</w:t>
      </w:r>
    </w:p>
    <w:p w14:paraId="78E0BCF6" w14:textId="77777777" w:rsidR="00A271BB" w:rsidRPr="00A271BB" w:rsidRDefault="00A271BB" w:rsidP="000D644B">
      <w:pPr>
        <w:jc w:val="both"/>
      </w:pPr>
      <w:r w:rsidRPr="00A271BB">
        <w:t>(v-10^(0-d), v]</w:t>
      </w:r>
    </w:p>
    <w:p w14:paraId="60BE3242" w14:textId="77777777" w:rsidR="00A271BB" w:rsidRPr="00A271BB" w:rsidRDefault="00A271BB" w:rsidP="000D644B">
      <w:pPr>
        <w:jc w:val="both"/>
      </w:pPr>
      <w:r w:rsidRPr="00A271BB">
        <w:t>Si v == 0:</w:t>
      </w:r>
    </w:p>
    <w:p w14:paraId="7B9B08C8" w14:textId="77777777" w:rsidR="00A271BB" w:rsidRPr="00A271BB" w:rsidRDefault="00A271BB" w:rsidP="000D644B">
      <w:pPr>
        <w:jc w:val="both"/>
      </w:pPr>
      <w:r w:rsidRPr="00A271BB">
        <w:t>(v-10^(0-d), v+10^(0-d))</w:t>
      </w:r>
    </w:p>
    <w:p w14:paraId="05ACD5B3" w14:textId="77777777" w:rsidR="00A271BB" w:rsidRPr="00A271BB" w:rsidRDefault="00A271BB" w:rsidP="000D644B">
      <w:pPr>
        <w:jc w:val="both"/>
      </w:pPr>
      <w:r w:rsidRPr="00A271BB">
        <w:lastRenderedPageBreak/>
        <w:t>Para un hecho con una propiedad {decimales} de "infinito", se define como el intervalo de un solo punto:</w:t>
      </w:r>
    </w:p>
    <w:p w14:paraId="528EDD03" w14:textId="77777777" w:rsidR="00A271BB" w:rsidRPr="00A271BB" w:rsidRDefault="00A271BB" w:rsidP="00A271BB">
      <w:r w:rsidRPr="00A271BB">
        <w:t>[v, v]</w:t>
      </w:r>
    </w:p>
    <w:p w14:paraId="523318A1" w14:textId="101D0B97" w:rsidR="00A271BB" w:rsidRDefault="00A271BB">
      <w:r w:rsidRPr="00A271BB">
        <w:rPr>
          <w:noProof/>
        </w:rPr>
        <w:drawing>
          <wp:inline distT="0" distB="0" distL="0" distR="0" wp14:anchorId="36BD4902" wp14:editId="7D6112D9">
            <wp:extent cx="5612130" cy="1621155"/>
            <wp:effectExtent l="0" t="0" r="762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5"/>
                    <a:stretch>
                      <a:fillRect/>
                    </a:stretch>
                  </pic:blipFill>
                  <pic:spPr>
                    <a:xfrm>
                      <a:off x="0" y="0"/>
                      <a:ext cx="5612130" cy="1621155"/>
                    </a:xfrm>
                    <a:prstGeom prst="rect">
                      <a:avLst/>
                    </a:prstGeom>
                  </pic:spPr>
                </pic:pic>
              </a:graphicData>
            </a:graphic>
          </wp:inline>
        </w:drawing>
      </w:r>
    </w:p>
    <w:p w14:paraId="101B5086" w14:textId="77777777" w:rsidR="00A271BB" w:rsidRPr="000D644B" w:rsidRDefault="00A271BB" w:rsidP="000D644B">
      <w:pPr>
        <w:jc w:val="both"/>
        <w:rPr>
          <w:rFonts w:ascii="Arial Nova Cond" w:hAnsi="Arial Nova Cond"/>
          <w:color w:val="4472C4" w:themeColor="accent1"/>
        </w:rPr>
      </w:pPr>
      <w:r w:rsidRPr="000D644B">
        <w:rPr>
          <w:rFonts w:ascii="Arial Nova Cond" w:hAnsi="Arial Nova Cond"/>
          <w:color w:val="4472C4" w:themeColor="accent1"/>
        </w:rPr>
        <w:t>5.3 Dígitos que exceden la precisión declarada</w:t>
      </w:r>
    </w:p>
    <w:p w14:paraId="02ECE2CD" w14:textId="4510235A" w:rsidR="00A271BB" w:rsidRPr="00A271BB" w:rsidRDefault="00A271BB" w:rsidP="000D644B">
      <w:pPr>
        <w:jc w:val="both"/>
      </w:pPr>
      <w:bookmarkStart w:id="16" w:name="digits-in-excess-of-the-declared-precisi"/>
      <w:r w:rsidRPr="00A271BB">
        <w:t>Un</w:t>
      </w:r>
      <w:r w:rsidR="00915995">
        <w:t xml:space="preserve"> </w:t>
      </w:r>
      <w:bookmarkEnd w:id="16"/>
      <w:r w:rsidRPr="00A271BB">
        <w:fldChar w:fldCharType="begin"/>
      </w:r>
      <w:r w:rsidRPr="00A271BB">
        <w:instrText xml:space="preserve"> HYPERLINK "https://www.xbrl.org/Specification/oim/REC-2021-10-13/oim-REC-2021-10-13.html" \l "component-fact" </w:instrText>
      </w:r>
      <w:r w:rsidRPr="00A271BB">
        <w:fldChar w:fldCharType="separate"/>
      </w:r>
      <w:r w:rsidRPr="00A271BB">
        <w:rPr>
          <w:rStyle w:val="Hipervnculo"/>
          <w:i/>
          <w:iCs/>
        </w:rPr>
        <w:t>hecho</w:t>
      </w:r>
      <w:r w:rsidRPr="00A271BB">
        <w:fldChar w:fldCharType="end"/>
      </w:r>
      <w:r w:rsidR="00915995">
        <w:t xml:space="preserve"> </w:t>
      </w:r>
      <w:r w:rsidRPr="00A271BB">
        <w:t>tiene</w:t>
      </w:r>
      <w:r w:rsidR="00915995">
        <w:t xml:space="preserve"> </w:t>
      </w:r>
      <w:r w:rsidRPr="00A271BB">
        <w:rPr>
          <w:b/>
          <w:bCs/>
        </w:rPr>
        <w:t>dígitos que exceden la precisión declarada</w:t>
      </w:r>
      <w:r w:rsidR="00915995">
        <w:t xml:space="preserve"> </w:t>
      </w:r>
      <w:r w:rsidRPr="00A271BB">
        <w:t>si hay dígitos distintos de cero a la derecha de la posición identificada por el valor de la propiedad {decimals}.</w:t>
      </w:r>
      <w:r w:rsidR="00915995">
        <w:t xml:space="preserve"> </w:t>
      </w:r>
      <w:r w:rsidRPr="00A271BB">
        <w:t>Un</w:t>
      </w:r>
      <w:r w:rsidR="00915995">
        <w:t xml:space="preserve"> </w:t>
      </w:r>
      <w:hyperlink r:id="rId126" w:anchor="component-fact" w:history="1">
        <w:r w:rsidRPr="00A271BB">
          <w:rPr>
            <w:rStyle w:val="Hipervnculo"/>
            <w:i/>
            <w:iCs/>
          </w:rPr>
          <w:t>hecho</w:t>
        </w:r>
      </w:hyperlink>
      <w:r w:rsidR="00915995">
        <w:t xml:space="preserve"> </w:t>
      </w:r>
      <w:r w:rsidRPr="00A271BB">
        <w:t>con una propiedad {decimales} de "infinito" no puede tener dígitos que excedan la precisión declarada.</w:t>
      </w:r>
    </w:p>
    <w:p w14:paraId="54C575D6" w14:textId="66CFE25B" w:rsidR="00A271BB" w:rsidRPr="00A271BB" w:rsidRDefault="00A271BB" w:rsidP="000D644B">
      <w:pPr>
        <w:jc w:val="both"/>
      </w:pPr>
      <w:r w:rsidRPr="00A271BB">
        <w:t>Más formalmente, un</w:t>
      </w:r>
      <w:r w:rsidR="00915995">
        <w:t xml:space="preserve"> </w:t>
      </w:r>
      <w:hyperlink r:id="rId127" w:anchor="component-fact" w:history="1">
        <w:r w:rsidRPr="00A271BB">
          <w:rPr>
            <w:rStyle w:val="Hipervnculo"/>
            <w:i/>
            <w:iCs/>
          </w:rPr>
          <w:t>hecho</w:t>
        </w:r>
      </w:hyperlink>
      <w:r w:rsidR="00915995">
        <w:t xml:space="preserve"> </w:t>
      </w:r>
      <w:r w:rsidRPr="00A271BB">
        <w:t>tiene</w:t>
      </w:r>
      <w:r w:rsidR="00915995">
        <w:t xml:space="preserve"> </w:t>
      </w:r>
      <w:hyperlink r:id="rId128" w:anchor="digits-in-excess-of-the-declared-precision" w:history="1">
        <w:r w:rsidRPr="00A271BB">
          <w:rPr>
            <w:rStyle w:val="Hipervnculo"/>
            <w:i/>
            <w:iCs/>
          </w:rPr>
          <w:t>dígitos que exceden la precisión declarada</w:t>
        </w:r>
      </w:hyperlink>
      <w:r w:rsidR="00915995">
        <w:t xml:space="preserve"> </w:t>
      </w:r>
      <w:r w:rsidRPr="00A271BB">
        <w:t>si la propiedad {decimales} no es "infinito" y el valor informado no es un múltiplo entero de 10^(-d) donde d es el valor de los {decimales} propiedad.</w:t>
      </w:r>
    </w:p>
    <w:p w14:paraId="455263F7" w14:textId="3D1E576F" w:rsidR="00A271BB" w:rsidRDefault="00A271BB">
      <w:r w:rsidRPr="00A271BB">
        <w:rPr>
          <w:noProof/>
        </w:rPr>
        <w:drawing>
          <wp:inline distT="0" distB="0" distL="0" distR="0" wp14:anchorId="69FF4093" wp14:editId="443EED31">
            <wp:extent cx="5612130" cy="1811020"/>
            <wp:effectExtent l="0" t="0" r="762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9"/>
                    <a:stretch>
                      <a:fillRect/>
                    </a:stretch>
                  </pic:blipFill>
                  <pic:spPr>
                    <a:xfrm>
                      <a:off x="0" y="0"/>
                      <a:ext cx="5612130" cy="1811020"/>
                    </a:xfrm>
                    <a:prstGeom prst="rect">
                      <a:avLst/>
                    </a:prstGeom>
                  </pic:spPr>
                </pic:pic>
              </a:graphicData>
            </a:graphic>
          </wp:inline>
        </w:drawing>
      </w:r>
    </w:p>
    <w:p w14:paraId="713C6EDE" w14:textId="77777777" w:rsidR="00A271BB" w:rsidRPr="000D644B" w:rsidRDefault="00A271BB" w:rsidP="00A271BB">
      <w:pPr>
        <w:rPr>
          <w:rFonts w:ascii="Arial Nova Cond" w:hAnsi="Arial Nova Cond"/>
          <w:color w:val="4472C4" w:themeColor="accent1"/>
          <w:sz w:val="24"/>
          <w:szCs w:val="24"/>
        </w:rPr>
      </w:pPr>
      <w:r w:rsidRPr="000D644B">
        <w:rPr>
          <w:rFonts w:ascii="Arial Nova Cond" w:hAnsi="Arial Nova Cond"/>
          <w:color w:val="4472C4" w:themeColor="accent1"/>
          <w:sz w:val="24"/>
          <w:szCs w:val="24"/>
        </w:rPr>
        <w:t>5.4 Duplicados consistentes e inconsistentes</w:t>
      </w:r>
    </w:p>
    <w:p w14:paraId="36764172" w14:textId="196EE41A" w:rsidR="00A271BB" w:rsidRPr="00A271BB" w:rsidRDefault="00A271BB" w:rsidP="000D644B">
      <w:pPr>
        <w:jc w:val="both"/>
      </w:pPr>
      <w:r w:rsidRPr="00A271BB">
        <w:t>Cuando hay</w:t>
      </w:r>
      <w:r w:rsidR="000D644B">
        <w:t xml:space="preserve"> </w:t>
      </w:r>
      <w:hyperlink r:id="rId130" w:anchor="term-duplicate-facts" w:history="1">
        <w:r w:rsidRPr="00A271BB">
          <w:rPr>
            <w:rStyle w:val="Hipervnculo"/>
            <w:i/>
            <w:iCs/>
          </w:rPr>
          <w:t>hechos duplicados</w:t>
        </w:r>
      </w:hyperlink>
      <w:r w:rsidR="000D644B">
        <w:t xml:space="preserve"> </w:t>
      </w:r>
      <w:r w:rsidRPr="00A271BB">
        <w:t>en un</w:t>
      </w:r>
      <w:r w:rsidR="000D644B">
        <w:t xml:space="preserve"> </w:t>
      </w:r>
      <w:hyperlink r:id="rId131" w:anchor="component-report" w:history="1">
        <w:r w:rsidRPr="00A271BB">
          <w:rPr>
            <w:rStyle w:val="Hipervnculo"/>
            <w:i/>
            <w:iCs/>
          </w:rPr>
          <w:t>informe</w:t>
        </w:r>
      </w:hyperlink>
      <w:r w:rsidRPr="00A271BB">
        <w:t>, los valores pueden o no ser consistentes con haber sido redondeados o truncados a partir de un único valor subyacente.</w:t>
      </w:r>
      <w:r w:rsidR="005F3EAE">
        <w:t xml:space="preserve"> </w:t>
      </w:r>
      <w:r w:rsidRPr="00A271BB">
        <w:t>El</w:t>
      </w:r>
      <w:r w:rsidR="005F3EAE">
        <w:t xml:space="preserve"> </w:t>
      </w:r>
      <w:hyperlink r:id="rId132" w:history="1">
        <w:r w:rsidRPr="00A271BB">
          <w:rPr>
            <w:rStyle w:val="Hipervnculo"/>
          </w:rPr>
          <w:t>Modelo de Información Abierto</w:t>
        </w:r>
      </w:hyperlink>
      <w:r w:rsidR="005F3EAE">
        <w:t xml:space="preserve"> </w:t>
      </w:r>
      <w:r w:rsidRPr="00A271BB">
        <w:t>proporciona definiciones de </w:t>
      </w:r>
      <w:hyperlink r:id="rId133" w:anchor="term-consistent-duplicates" w:history="1">
        <w:r w:rsidRPr="00A271BB">
          <w:rPr>
            <w:rStyle w:val="Hipervnculo"/>
            <w:i/>
            <w:iCs/>
          </w:rPr>
          <w:t>duplicados consistentes</w:t>
        </w:r>
      </w:hyperlink>
      <w:r w:rsidR="005F3EAE">
        <w:t xml:space="preserve"> </w:t>
      </w:r>
      <w:r w:rsidRPr="00A271BB">
        <w:t>y</w:t>
      </w:r>
      <w:r w:rsidR="005F3EAE">
        <w:t xml:space="preserve"> </w:t>
      </w:r>
      <w:hyperlink r:id="rId134" w:anchor="term-inconsistent-duplicates" w:history="1">
        <w:r w:rsidRPr="00A271BB">
          <w:rPr>
            <w:rStyle w:val="Hipervnculo"/>
            <w:i/>
            <w:iCs/>
          </w:rPr>
          <w:t>duplicados inconsistentes</w:t>
        </w:r>
      </w:hyperlink>
      <w:r w:rsidRPr="00A271BB">
        <w:t> .</w:t>
      </w:r>
      <w:r w:rsidR="00DE5CE5">
        <w:t xml:space="preserve"> </w:t>
      </w:r>
      <w:r w:rsidRPr="00A271BB">
        <w:t>Estas definiciones suponen que se utiliza "redondear al más cercano" y no son compatibles con el</w:t>
      </w:r>
      <w:r w:rsidR="00DE5CE5">
        <w:t xml:space="preserve"> </w:t>
      </w:r>
      <w:hyperlink r:id="rId135" w:anchor="rounding-mode" w:history="1">
        <w:r w:rsidRPr="00A271BB">
          <w:rPr>
            <w:rStyle w:val="Hipervnculo"/>
            <w:i/>
            <w:iCs/>
          </w:rPr>
          <w:t>modo de redondeo</w:t>
        </w:r>
      </w:hyperlink>
      <w:r w:rsidR="00DE5CE5">
        <w:t xml:space="preserve"> </w:t>
      </w:r>
      <w:r w:rsidRPr="00A271BB">
        <w:t>"truncamiento".</w:t>
      </w:r>
      <w:r w:rsidR="00DE5CE5">
        <w:t xml:space="preserve"> </w:t>
      </w:r>
      <w:r w:rsidRPr="00A271BB">
        <w:t>Por lo tanto, esta especificación proporciona una definición modificada denominada</w:t>
      </w:r>
      <w:r w:rsidR="00DE5CE5">
        <w:t xml:space="preserve"> </w:t>
      </w:r>
      <w:hyperlink r:id="rId136" w:anchor="calculation-1-1-consistent-duplicates" w:history="1">
        <w:r w:rsidRPr="00A271BB">
          <w:rPr>
            <w:rStyle w:val="Hipervnculo"/>
            <w:i/>
            <w:iCs/>
          </w:rPr>
          <w:t>cálculo 1.1 de duplicados consistentes</w:t>
        </w:r>
      </w:hyperlink>
      <w:r w:rsidRPr="00A271BB">
        <w:t>.</w:t>
      </w:r>
    </w:p>
    <w:p w14:paraId="71B9838F" w14:textId="604E1107" w:rsidR="00A271BB" w:rsidRPr="00A271BB" w:rsidRDefault="00A271BB" w:rsidP="000D644B">
      <w:pPr>
        <w:jc w:val="both"/>
      </w:pPr>
      <w:bookmarkStart w:id="17" w:name="calculation-1-1-consistent-duplicates"/>
      <w:r w:rsidRPr="00A271BB">
        <w:t>Dos</w:t>
      </w:r>
      <w:r w:rsidR="00DE5CE5">
        <w:t xml:space="preserve"> </w:t>
      </w:r>
      <w:bookmarkEnd w:id="17"/>
      <w:r w:rsidRPr="00A271BB">
        <w:fldChar w:fldCharType="begin"/>
      </w:r>
      <w:r w:rsidRPr="00A271BB">
        <w:instrText xml:space="preserve"> HYPERLINK "https://www.xbrl.org/Specification/oim/REC-2021-10-13/oim-REC-2021-10-13.html" \l "component-fact" </w:instrText>
      </w:r>
      <w:r w:rsidRPr="00A271BB">
        <w:fldChar w:fldCharType="separate"/>
      </w:r>
      <w:r w:rsidRPr="00A271BB">
        <w:rPr>
          <w:rStyle w:val="Hipervnculo"/>
          <w:i/>
          <w:iCs/>
        </w:rPr>
        <w:t>hechos</w:t>
      </w:r>
      <w:r w:rsidRPr="00A271BB">
        <w:fldChar w:fldCharType="end"/>
      </w:r>
      <w:r w:rsidR="00DE5CE5">
        <w:t xml:space="preserve"> </w:t>
      </w:r>
      <w:r w:rsidRPr="00A271BB">
        <w:t>son</w:t>
      </w:r>
      <w:r w:rsidR="00DE5CE5">
        <w:t xml:space="preserve"> </w:t>
      </w:r>
      <w:r w:rsidRPr="00A271BB">
        <w:rPr>
          <w:b/>
          <w:bCs/>
        </w:rPr>
        <w:t>duplicados consistentes del cálculo 1.1</w:t>
      </w:r>
      <w:r w:rsidR="00DE5CE5">
        <w:rPr>
          <w:b/>
          <w:bCs/>
        </w:rPr>
        <w:t xml:space="preserve"> </w:t>
      </w:r>
      <w:r w:rsidRPr="00A271BB">
        <w:t>si cumplen con la especificación para</w:t>
      </w:r>
      <w:r w:rsidR="00DE5CE5">
        <w:t xml:space="preserve"> </w:t>
      </w:r>
      <w:hyperlink r:id="rId137" w:anchor="term-duplicate-facts" w:history="1">
        <w:r w:rsidRPr="00A271BB">
          <w:rPr>
            <w:rStyle w:val="Hipervnculo"/>
            <w:i/>
            <w:iCs/>
          </w:rPr>
          <w:t>hechos duplicados</w:t>
        </w:r>
      </w:hyperlink>
      <w:r w:rsidR="00DE5CE5">
        <w:t xml:space="preserve"> </w:t>
      </w:r>
      <w:r w:rsidRPr="00A271BB">
        <w:t>de OIM , con la modificación de que el intervalo utilizado para establecer la consistencia del valor numérico es el</w:t>
      </w:r>
      <w:r w:rsidR="00DE5CE5">
        <w:t xml:space="preserve"> </w:t>
      </w:r>
      <w:hyperlink r:id="rId138" w:anchor="fact-value-interval" w:history="1">
        <w:r w:rsidRPr="00A271BB">
          <w:rPr>
            <w:rStyle w:val="Hipervnculo"/>
            <w:i/>
            <w:iCs/>
          </w:rPr>
          <w:t>intervalo de valor de hecho</w:t>
        </w:r>
      </w:hyperlink>
      <w:r w:rsidRPr="00A271BB">
        <w:t>, como se define en esta especificación.</w:t>
      </w:r>
    </w:p>
    <w:p w14:paraId="74F8FA49" w14:textId="544F24FF" w:rsidR="00A271BB" w:rsidRPr="00A271BB" w:rsidRDefault="00A271BB" w:rsidP="000D644B">
      <w:pPr>
        <w:jc w:val="both"/>
      </w:pPr>
      <w:bookmarkStart w:id="18" w:name="calculation-1-1-inconsistent-duplicates"/>
      <w:r w:rsidRPr="00A271BB">
        <w:lastRenderedPageBreak/>
        <w:t>Dos</w:t>
      </w:r>
      <w:r w:rsidR="00DE5CE5">
        <w:t xml:space="preserve"> </w:t>
      </w:r>
      <w:bookmarkEnd w:id="18"/>
      <w:r w:rsidRPr="00A271BB">
        <w:fldChar w:fldCharType="begin"/>
      </w:r>
      <w:r w:rsidRPr="00A271BB">
        <w:instrText xml:space="preserve"> HYPERLINK "https://www.xbrl.org/Specification/oim/REC-2021-10-13/oim-REC-2021-10-13.html" \l "component-fact" </w:instrText>
      </w:r>
      <w:r w:rsidRPr="00A271BB">
        <w:fldChar w:fldCharType="separate"/>
      </w:r>
      <w:r w:rsidRPr="00A271BB">
        <w:rPr>
          <w:rStyle w:val="Hipervnculo"/>
          <w:i/>
          <w:iCs/>
        </w:rPr>
        <w:t>hechos</w:t>
      </w:r>
      <w:r w:rsidRPr="00A271BB">
        <w:fldChar w:fldCharType="end"/>
      </w:r>
      <w:r w:rsidR="00DE5CE5">
        <w:t xml:space="preserve"> </w:t>
      </w:r>
      <w:r w:rsidRPr="00A271BB">
        <w:t>son</w:t>
      </w:r>
      <w:r w:rsidR="00DE5CE5">
        <w:t xml:space="preserve"> </w:t>
      </w:r>
      <w:r w:rsidRPr="00A271BB">
        <w:rPr>
          <w:b/>
          <w:bCs/>
        </w:rPr>
        <w:t>duplicados inconsistentes del cálculo 1.1</w:t>
      </w:r>
      <w:r w:rsidR="00DE5CE5">
        <w:t xml:space="preserve"> </w:t>
      </w:r>
      <w:r w:rsidRPr="00A271BB">
        <w:t>si cumplen con la especificación para</w:t>
      </w:r>
      <w:r w:rsidR="00DE5CE5">
        <w:t xml:space="preserve"> </w:t>
      </w:r>
      <w:hyperlink r:id="rId139" w:anchor="term-inconsistent-duplicates" w:history="1">
        <w:r w:rsidRPr="00A271BB">
          <w:rPr>
            <w:rStyle w:val="Hipervnculo"/>
            <w:i/>
            <w:iCs/>
          </w:rPr>
          <w:t>duplicados inconsistentes</w:t>
        </w:r>
      </w:hyperlink>
      <w:r w:rsidR="00DE5CE5">
        <w:t xml:space="preserve"> </w:t>
      </w:r>
      <w:r w:rsidRPr="00A271BB">
        <w:t>de OIM , con la modificación de que la referencia a</w:t>
      </w:r>
      <w:r w:rsidR="00DE5CE5">
        <w:t xml:space="preserve"> </w:t>
      </w:r>
      <w:hyperlink r:id="rId140" w:anchor="term-consistent-duplicates" w:history="1">
        <w:r w:rsidRPr="00A271BB">
          <w:rPr>
            <w:rStyle w:val="Hipervnculo"/>
            <w:i/>
            <w:iCs/>
          </w:rPr>
          <w:t>duplicados consistentes</w:t>
        </w:r>
      </w:hyperlink>
      <w:r w:rsidR="00DE5CE5">
        <w:t xml:space="preserve"> </w:t>
      </w:r>
      <w:r w:rsidRPr="00A271BB">
        <w:t>se reemplaza con</w:t>
      </w:r>
      <w:r w:rsidR="00DE5CE5">
        <w:t xml:space="preserve"> </w:t>
      </w:r>
      <w:hyperlink r:id="rId141" w:anchor="calculation-1-1-consistent-duplicates" w:history="1">
        <w:r w:rsidRPr="00A271BB">
          <w:rPr>
            <w:rStyle w:val="Hipervnculo"/>
            <w:i/>
            <w:iCs/>
          </w:rPr>
          <w:t>duplicados consistentes del cálculo 1.1</w:t>
        </w:r>
      </w:hyperlink>
      <w:r w:rsidRPr="00A271BB">
        <w:t>.</w:t>
      </w:r>
    </w:p>
    <w:p w14:paraId="0EA6ADBF" w14:textId="77777777" w:rsidR="00A271BB" w:rsidRPr="00A271BB" w:rsidRDefault="00A271BB" w:rsidP="000D644B">
      <w:pPr>
        <w:jc w:val="both"/>
      </w:pPr>
      <w:r w:rsidRPr="00A271BB">
        <w:t>Cuando esta especificación requiera que se genere un error por duplicados inconsistentes, se deben usar los siguientes códigos de error:</w:t>
      </w:r>
    </w:p>
    <w:p w14:paraId="2B64292B" w14:textId="7A302665" w:rsidR="00A271BB" w:rsidRPr="00A271BB" w:rsidRDefault="00A271BB" w:rsidP="000D644B">
      <w:pPr>
        <w:numPr>
          <w:ilvl w:val="0"/>
          <w:numId w:val="8"/>
        </w:numPr>
      </w:pPr>
      <w:r w:rsidRPr="00A271BB">
        <w:t>Si el</w:t>
      </w:r>
      <w:r w:rsidR="000D644B">
        <w:t xml:space="preserve"> </w:t>
      </w:r>
      <w:hyperlink r:id="rId142" w:anchor="rounding-mode" w:history="1">
        <w:r w:rsidRPr="00A271BB">
          <w:rPr>
            <w:rStyle w:val="Hipervnculo"/>
            <w:i/>
            <w:iCs/>
          </w:rPr>
          <w:t>modo de redondeo</w:t>
        </w:r>
      </w:hyperlink>
      <w:r w:rsidR="000D644B">
        <w:t xml:space="preserve"> </w:t>
      </w:r>
      <w:r w:rsidRPr="00A271BB">
        <w:t>es "redondear al más cercano", aumente</w:t>
      </w:r>
      <w:r w:rsidR="000D644B">
        <w:t xml:space="preserve"> </w:t>
      </w:r>
      <w:proofErr w:type="spellStart"/>
      <w:proofErr w:type="gramStart"/>
      <w:r w:rsidRPr="00A271BB">
        <w:t>oime:disallowedDuplicateFacts</w:t>
      </w:r>
      <w:proofErr w:type="spellEnd"/>
      <w:proofErr w:type="gramEnd"/>
      <w:r w:rsidRPr="00A271BB">
        <w:t>.</w:t>
      </w:r>
    </w:p>
    <w:p w14:paraId="3C8C139D" w14:textId="0CD2C12C" w:rsidR="00A271BB" w:rsidRPr="00A271BB" w:rsidRDefault="00A271BB" w:rsidP="000D644B">
      <w:pPr>
        <w:numPr>
          <w:ilvl w:val="0"/>
          <w:numId w:val="8"/>
        </w:numPr>
      </w:pPr>
      <w:r w:rsidRPr="00A271BB">
        <w:t>Si el</w:t>
      </w:r>
      <w:r w:rsidR="000D644B">
        <w:t xml:space="preserve"> </w:t>
      </w:r>
      <w:hyperlink r:id="rId143" w:anchor="rounding-mode" w:history="1">
        <w:r w:rsidRPr="00A271BB">
          <w:rPr>
            <w:rStyle w:val="Hipervnculo"/>
            <w:i/>
            <w:iCs/>
          </w:rPr>
          <w:t>modo de redondeo</w:t>
        </w:r>
      </w:hyperlink>
      <w:r w:rsidR="000D644B">
        <w:t xml:space="preserve"> </w:t>
      </w:r>
      <w:r w:rsidRPr="00A271BB">
        <w:t>es "truncamiento", genere</w:t>
      </w:r>
      <w:r w:rsidR="000D644B">
        <w:t xml:space="preserve"> </w:t>
      </w:r>
      <w:r w:rsidRPr="00A271BB">
        <w:t>calc11</w:t>
      </w:r>
      <w:proofErr w:type="gramStart"/>
      <w:r w:rsidRPr="00A271BB">
        <w:t>e:disallowedDuplicateFactsUsingTruncation</w:t>
      </w:r>
      <w:proofErr w:type="gramEnd"/>
      <w:r w:rsidRPr="00A271BB">
        <w:t>.</w:t>
      </w:r>
    </w:p>
    <w:p w14:paraId="500D1930" w14:textId="3DB9B75F" w:rsidR="00A271BB" w:rsidRDefault="00A271BB">
      <w:r w:rsidRPr="00A271BB">
        <w:rPr>
          <w:noProof/>
        </w:rPr>
        <w:drawing>
          <wp:inline distT="0" distB="0" distL="0" distR="0" wp14:anchorId="2630234E" wp14:editId="7C17F25C">
            <wp:extent cx="5612130" cy="695960"/>
            <wp:effectExtent l="0" t="0" r="7620" b="889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4"/>
                    <a:stretch>
                      <a:fillRect/>
                    </a:stretch>
                  </pic:blipFill>
                  <pic:spPr>
                    <a:xfrm>
                      <a:off x="0" y="0"/>
                      <a:ext cx="5612130" cy="695960"/>
                    </a:xfrm>
                    <a:prstGeom prst="rect">
                      <a:avLst/>
                    </a:prstGeom>
                  </pic:spPr>
                </pic:pic>
              </a:graphicData>
            </a:graphic>
          </wp:inline>
        </w:drawing>
      </w:r>
    </w:p>
    <w:p w14:paraId="08266459" w14:textId="77777777" w:rsidR="00A271BB" w:rsidRPr="000D644B" w:rsidRDefault="00A271BB" w:rsidP="00A271BB">
      <w:pPr>
        <w:rPr>
          <w:rFonts w:ascii="Arial Nova Cond" w:hAnsi="Arial Nova Cond"/>
          <w:color w:val="4472C4" w:themeColor="accent1"/>
          <w:sz w:val="24"/>
          <w:szCs w:val="24"/>
        </w:rPr>
      </w:pPr>
      <w:r w:rsidRPr="000D644B">
        <w:rPr>
          <w:rFonts w:ascii="Arial Nova Cond" w:hAnsi="Arial Nova Cond"/>
          <w:color w:val="4472C4" w:themeColor="accent1"/>
          <w:sz w:val="24"/>
          <w:szCs w:val="24"/>
        </w:rPr>
        <w:t>5.5 Manejo de duplicados consistentes</w:t>
      </w:r>
    </w:p>
    <w:p w14:paraId="18BC8C68" w14:textId="54536323" w:rsidR="00A271BB" w:rsidRDefault="00A271BB">
      <w:r w:rsidRPr="00A271BB">
        <w:rPr>
          <w:noProof/>
        </w:rPr>
        <w:drawing>
          <wp:inline distT="0" distB="0" distL="0" distR="0" wp14:anchorId="36E4CB75" wp14:editId="316394E2">
            <wp:extent cx="5612130" cy="1856105"/>
            <wp:effectExtent l="0" t="0" r="762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5"/>
                    <a:stretch>
                      <a:fillRect/>
                    </a:stretch>
                  </pic:blipFill>
                  <pic:spPr>
                    <a:xfrm>
                      <a:off x="0" y="0"/>
                      <a:ext cx="5612130" cy="1856105"/>
                    </a:xfrm>
                    <a:prstGeom prst="rect">
                      <a:avLst/>
                    </a:prstGeom>
                  </pic:spPr>
                </pic:pic>
              </a:graphicData>
            </a:graphic>
          </wp:inline>
        </w:drawing>
      </w:r>
    </w:p>
    <w:p w14:paraId="4B16AC2B" w14:textId="77777777" w:rsidR="00A271BB" w:rsidRPr="000D644B" w:rsidRDefault="00A271BB" w:rsidP="00A271BB">
      <w:pPr>
        <w:rPr>
          <w:rFonts w:ascii="Arial Nova Cond" w:hAnsi="Arial Nova Cond"/>
          <w:color w:val="4472C4" w:themeColor="accent1"/>
          <w:sz w:val="24"/>
          <w:szCs w:val="24"/>
        </w:rPr>
      </w:pPr>
      <w:r w:rsidRPr="000D644B">
        <w:rPr>
          <w:rFonts w:ascii="Arial Nova Cond" w:hAnsi="Arial Nova Cond"/>
          <w:color w:val="4472C4" w:themeColor="accent1"/>
          <w:sz w:val="24"/>
          <w:szCs w:val="24"/>
        </w:rPr>
        <w:t>5.6 Manejo de duplicados inconsistentes</w:t>
      </w:r>
    </w:p>
    <w:p w14:paraId="1E0F2908" w14:textId="1B92442C" w:rsidR="00A271BB" w:rsidRDefault="00A271BB">
      <w:r w:rsidRPr="00A271BB">
        <w:rPr>
          <w:noProof/>
        </w:rPr>
        <w:drawing>
          <wp:inline distT="0" distB="0" distL="0" distR="0" wp14:anchorId="068586E1" wp14:editId="3B320789">
            <wp:extent cx="5612130" cy="1802765"/>
            <wp:effectExtent l="0" t="0" r="7620" b="6985"/>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6"/>
                    <a:stretch>
                      <a:fillRect/>
                    </a:stretch>
                  </pic:blipFill>
                  <pic:spPr>
                    <a:xfrm>
                      <a:off x="0" y="0"/>
                      <a:ext cx="5612130" cy="1802765"/>
                    </a:xfrm>
                    <a:prstGeom prst="rect">
                      <a:avLst/>
                    </a:prstGeom>
                  </pic:spPr>
                </pic:pic>
              </a:graphicData>
            </a:graphic>
          </wp:inline>
        </w:drawing>
      </w:r>
    </w:p>
    <w:p w14:paraId="554E03F4" w14:textId="2CFA9BC8" w:rsidR="000D644B" w:rsidRDefault="000D644B"/>
    <w:p w14:paraId="25370FF7" w14:textId="4C6C3512" w:rsidR="000D644B" w:rsidRDefault="000D644B"/>
    <w:p w14:paraId="6E3CD22C" w14:textId="77777777" w:rsidR="000D644B" w:rsidRDefault="000D644B"/>
    <w:p w14:paraId="3ABACC58" w14:textId="77777777" w:rsidR="00A271BB" w:rsidRPr="000D644B" w:rsidRDefault="00A271BB" w:rsidP="00A271BB">
      <w:pPr>
        <w:rPr>
          <w:rFonts w:ascii="Arial Nova Cond" w:hAnsi="Arial Nova Cond"/>
          <w:color w:val="4472C4" w:themeColor="accent1"/>
          <w:sz w:val="24"/>
          <w:szCs w:val="24"/>
        </w:rPr>
      </w:pPr>
      <w:r w:rsidRPr="000D644B">
        <w:rPr>
          <w:rFonts w:ascii="Arial Nova Cond" w:hAnsi="Arial Nova Cond"/>
          <w:color w:val="4472C4" w:themeColor="accent1"/>
          <w:sz w:val="24"/>
          <w:szCs w:val="24"/>
        </w:rPr>
        <w:lastRenderedPageBreak/>
        <w:t>5.7 Aritmética de intervalos</w:t>
      </w:r>
    </w:p>
    <w:p w14:paraId="0E649F9B" w14:textId="1CC19A9A" w:rsidR="00A271BB" w:rsidRDefault="00A271BB">
      <w:r w:rsidRPr="00A271BB">
        <w:rPr>
          <w:noProof/>
        </w:rPr>
        <w:drawing>
          <wp:inline distT="0" distB="0" distL="0" distR="0" wp14:anchorId="607AD6CD" wp14:editId="1B72C378">
            <wp:extent cx="5612130" cy="1587500"/>
            <wp:effectExtent l="0" t="0" r="7620"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7"/>
                    <a:stretch>
                      <a:fillRect/>
                    </a:stretch>
                  </pic:blipFill>
                  <pic:spPr>
                    <a:xfrm>
                      <a:off x="0" y="0"/>
                      <a:ext cx="5612130" cy="1587500"/>
                    </a:xfrm>
                    <a:prstGeom prst="rect">
                      <a:avLst/>
                    </a:prstGeom>
                  </pic:spPr>
                </pic:pic>
              </a:graphicData>
            </a:graphic>
          </wp:inline>
        </w:drawing>
      </w:r>
    </w:p>
    <w:p w14:paraId="2986C4A2" w14:textId="77777777" w:rsidR="00A271BB" w:rsidRPr="000D644B" w:rsidRDefault="00A271BB" w:rsidP="00A271BB">
      <w:pPr>
        <w:rPr>
          <w:rFonts w:ascii="Arial Nova Cond" w:hAnsi="Arial Nova Cond"/>
          <w:color w:val="4472C4" w:themeColor="accent1"/>
          <w:sz w:val="28"/>
          <w:szCs w:val="28"/>
        </w:rPr>
      </w:pPr>
      <w:r w:rsidRPr="000D644B">
        <w:rPr>
          <w:rFonts w:ascii="Arial Nova Cond" w:hAnsi="Arial Nova Cond"/>
          <w:color w:val="4472C4" w:themeColor="accent1"/>
          <w:sz w:val="28"/>
          <w:szCs w:val="28"/>
        </w:rPr>
        <w:t>Apéndice A Esquema</w:t>
      </w:r>
    </w:p>
    <w:p w14:paraId="32324AF3" w14:textId="63F9505D" w:rsidR="00A271BB" w:rsidRPr="00A271BB" w:rsidRDefault="00A271BB" w:rsidP="000D644B">
      <w:pPr>
        <w:jc w:val="both"/>
      </w:pPr>
      <w:r w:rsidRPr="00A271BB">
        <w:t>Esta sección contiene archivos XML que forman parte de esta especificación.</w:t>
      </w:r>
      <w:bookmarkStart w:id="19" w:name="publication-url"/>
      <w:r w:rsidR="000D644B">
        <w:t xml:space="preserve"> </w:t>
      </w:r>
      <w:r w:rsidRPr="00A271BB">
        <w:t>Cada documento tiene una</w:t>
      </w:r>
      <w:r w:rsidR="000D644B">
        <w:t xml:space="preserve"> </w:t>
      </w:r>
      <w:r w:rsidRPr="00A271BB">
        <w:rPr>
          <w:b/>
          <w:bCs/>
        </w:rPr>
        <w:t>URL de publicación</w:t>
      </w:r>
      <w:r w:rsidR="000D644B">
        <w:t xml:space="preserve"> </w:t>
      </w:r>
      <w:r w:rsidRPr="00A271BB">
        <w:t>estándar, en la que se publica la copia normativa del documento.</w:t>
      </w:r>
      <w:bookmarkEnd w:id="19"/>
      <w:r w:rsidR="000D644B">
        <w:t xml:space="preserve"> </w:t>
      </w:r>
      <w:r w:rsidRPr="00A271BB">
        <w:t>Para mayor comodidad, en este apéndice se incluye una copia no normativa de cada documento.</w:t>
      </w:r>
    </w:p>
    <w:p w14:paraId="4E722CC9" w14:textId="641EA9B8" w:rsidR="00A271BB" w:rsidRPr="00A271BB" w:rsidRDefault="00A271BB" w:rsidP="000D644B">
      <w:pPr>
        <w:jc w:val="both"/>
      </w:pPr>
      <w:r w:rsidRPr="00A271BB">
        <w:t>Todas las referencias a estos documentos realizadas para los fines de DTS Discovery DEBEN resolverse en la</w:t>
      </w:r>
      <w:r w:rsidR="000D644B">
        <w:t xml:space="preserve"> </w:t>
      </w:r>
      <w:hyperlink r:id="rId148" w:anchor="publication-url" w:history="1">
        <w:r w:rsidRPr="00A271BB">
          <w:rPr>
            <w:rStyle w:val="Hipervnculo"/>
            <w:i/>
            <w:iCs/>
          </w:rPr>
          <w:t>URL de publicación</w:t>
        </w:r>
      </w:hyperlink>
      <w:r w:rsidRPr="00A271BB">
        <w:t>, después de aplicar el procesamiento de base XML (cuando corresponda) y resolver cualquier URL relativa.</w:t>
      </w:r>
    </w:p>
    <w:p w14:paraId="4A54CEC6" w14:textId="0761F547" w:rsidR="00A271BB" w:rsidRDefault="00A271BB">
      <w:r w:rsidRPr="00A271BB">
        <w:rPr>
          <w:noProof/>
        </w:rPr>
        <w:drawing>
          <wp:inline distT="0" distB="0" distL="0" distR="0" wp14:anchorId="06802BE9" wp14:editId="68C0092F">
            <wp:extent cx="5612130" cy="1319530"/>
            <wp:effectExtent l="0" t="0" r="7620"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9"/>
                    <a:stretch>
                      <a:fillRect/>
                    </a:stretch>
                  </pic:blipFill>
                  <pic:spPr>
                    <a:xfrm>
                      <a:off x="0" y="0"/>
                      <a:ext cx="5612130" cy="1319530"/>
                    </a:xfrm>
                    <a:prstGeom prst="rect">
                      <a:avLst/>
                    </a:prstGeom>
                  </pic:spPr>
                </pic:pic>
              </a:graphicData>
            </a:graphic>
          </wp:inline>
        </w:drawing>
      </w:r>
    </w:p>
    <w:p w14:paraId="540B5AD1" w14:textId="52A7DC57" w:rsidR="000D644B" w:rsidRDefault="000D644B"/>
    <w:p w14:paraId="0CBCDC56" w14:textId="445D83D8" w:rsidR="000D644B" w:rsidRDefault="000D644B"/>
    <w:p w14:paraId="5297BC93" w14:textId="222A3BB4" w:rsidR="000D644B" w:rsidRDefault="000D644B"/>
    <w:p w14:paraId="49413C3C" w14:textId="66B0AD73" w:rsidR="000D644B" w:rsidRDefault="000D644B"/>
    <w:p w14:paraId="22FB04F2" w14:textId="12F98E89" w:rsidR="000D644B" w:rsidRDefault="000D644B"/>
    <w:p w14:paraId="0ADDD05A" w14:textId="7A8EB11B" w:rsidR="000D644B" w:rsidRDefault="000D644B"/>
    <w:p w14:paraId="4F2D63A6" w14:textId="1B54C77A" w:rsidR="000D644B" w:rsidRDefault="000D644B"/>
    <w:p w14:paraId="1E754394" w14:textId="13AE3758" w:rsidR="000D644B" w:rsidRDefault="000D644B"/>
    <w:p w14:paraId="1D8DF5C0" w14:textId="6A1984DD" w:rsidR="000D644B" w:rsidRDefault="000D644B"/>
    <w:p w14:paraId="700B0260" w14:textId="716712E2" w:rsidR="000D644B" w:rsidRDefault="000D644B"/>
    <w:p w14:paraId="1A4C6B9A" w14:textId="77777777" w:rsidR="000D644B" w:rsidRDefault="000D644B"/>
    <w:p w14:paraId="352B83D5" w14:textId="77777777" w:rsidR="00A271BB" w:rsidRPr="000D644B" w:rsidRDefault="00A271BB" w:rsidP="00A271BB">
      <w:pPr>
        <w:rPr>
          <w:rFonts w:ascii="Arial Nova Cond" w:hAnsi="Arial Nova Cond"/>
          <w:color w:val="4472C4" w:themeColor="accent1"/>
          <w:sz w:val="28"/>
          <w:szCs w:val="28"/>
        </w:rPr>
      </w:pPr>
      <w:r w:rsidRPr="000D644B">
        <w:rPr>
          <w:rFonts w:ascii="Arial Nova Cond" w:hAnsi="Arial Nova Cond"/>
          <w:color w:val="4472C4" w:themeColor="accent1"/>
          <w:sz w:val="28"/>
          <w:szCs w:val="28"/>
        </w:rPr>
        <w:lastRenderedPageBreak/>
        <w:t>A.1 Esquema de Cálculo 1.1 (cálculo-1.1.xsd)</w:t>
      </w:r>
    </w:p>
    <w:p w14:paraId="616D5699" w14:textId="217FAC39" w:rsidR="00A271BB" w:rsidRPr="00A271BB" w:rsidRDefault="00A271BB" w:rsidP="00A271BB">
      <w:r w:rsidRPr="00A271BB">
        <w:t>La</w:t>
      </w:r>
      <w:r w:rsidR="000D644B">
        <w:t xml:space="preserve"> </w:t>
      </w:r>
      <w:hyperlink r:id="rId150" w:anchor="publication-url" w:history="1">
        <w:r w:rsidRPr="00A271BB">
          <w:rPr>
            <w:rStyle w:val="Hipervnculo"/>
            <w:i/>
            <w:iCs/>
          </w:rPr>
          <w:t>URL de publicación</w:t>
        </w:r>
      </w:hyperlink>
      <w:r w:rsidR="000D644B">
        <w:t xml:space="preserve"> </w:t>
      </w:r>
      <w:r w:rsidRPr="00A271BB">
        <w:t xml:space="preserve">de este esquema es </w:t>
      </w:r>
      <w:hyperlink r:id="rId151" w:history="1">
        <w:r w:rsidR="000D644B" w:rsidRPr="002E3E81">
          <w:rPr>
            <w:rStyle w:val="Hipervnculo"/>
          </w:rPr>
          <w:t>https://www.xbrl.org/2023/calculation-1.1.xsd</w:t>
        </w:r>
      </w:hyperlink>
      <w:r w:rsidRPr="00A271BB">
        <w:t>.</w:t>
      </w:r>
    </w:p>
    <w:p w14:paraId="270BC9DD" w14:textId="59A47DD7" w:rsidR="00A271BB" w:rsidRDefault="00A271BB">
      <w:r w:rsidRPr="00A271BB">
        <w:rPr>
          <w:noProof/>
        </w:rPr>
        <w:drawing>
          <wp:inline distT="0" distB="0" distL="0" distR="0" wp14:anchorId="16643CA7" wp14:editId="13CA7984">
            <wp:extent cx="5612130" cy="3208655"/>
            <wp:effectExtent l="0" t="0" r="7620" b="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2"/>
                    <a:stretch>
                      <a:fillRect/>
                    </a:stretch>
                  </pic:blipFill>
                  <pic:spPr>
                    <a:xfrm>
                      <a:off x="0" y="0"/>
                      <a:ext cx="5612130" cy="3208655"/>
                    </a:xfrm>
                    <a:prstGeom prst="rect">
                      <a:avLst/>
                    </a:prstGeom>
                  </pic:spPr>
                </pic:pic>
              </a:graphicData>
            </a:graphic>
          </wp:inline>
        </w:drawing>
      </w:r>
    </w:p>
    <w:p w14:paraId="3CC8FC9D" w14:textId="77777777" w:rsidR="00A271BB" w:rsidRPr="000D644B" w:rsidRDefault="00A271BB" w:rsidP="00A271BB">
      <w:pPr>
        <w:rPr>
          <w:rFonts w:ascii="Arial Nova Cond" w:hAnsi="Arial Nova Cond"/>
          <w:color w:val="4472C4" w:themeColor="accent1"/>
          <w:sz w:val="28"/>
          <w:szCs w:val="28"/>
        </w:rPr>
      </w:pPr>
      <w:r w:rsidRPr="000D644B">
        <w:rPr>
          <w:rFonts w:ascii="Arial Nova Cond" w:hAnsi="Arial Nova Cond"/>
          <w:color w:val="4472C4" w:themeColor="accent1"/>
          <w:sz w:val="28"/>
          <w:szCs w:val="28"/>
        </w:rPr>
        <w:t>Apéndice B Situación de la propiedad intelectual (no normativa)</w:t>
      </w:r>
    </w:p>
    <w:p w14:paraId="058FDBDF" w14:textId="58731D41" w:rsidR="00A271BB" w:rsidRPr="00A271BB" w:rsidRDefault="00A271BB" w:rsidP="00EC5B1A">
      <w:pPr>
        <w:jc w:val="both"/>
      </w:pPr>
      <w:r w:rsidRPr="00A271BB">
        <w:t>Este documento y sus traducciones pueden copiarse y proporcionarse a otros, y los trabajos derivados que lo comenten, lo expliquen o ayuden en su implementación pueden prepararse, copiarse, publicarse y distribuirse, en su totalidad o en parte, sin restricción de ningún tipo, siempre que el aviso de derechos de autor anterior y este párrafo estén incluidos en todas dichas copias y trabajos derivados.</w:t>
      </w:r>
      <w:r w:rsidR="000D644B">
        <w:t xml:space="preserve"> </w:t>
      </w:r>
      <w:r w:rsidRPr="00A271BB">
        <w:t>Sin embargo, este documento en sí no puede modificarse de ninguna manera, como eliminar el aviso de derechos de autor o las referencias a XBRL International o a organizaciones XBRL, excepto cuando sea necesario traducirlo a idiomas distintos del inglés.</w:t>
      </w:r>
      <w:r w:rsidR="000D644B">
        <w:t xml:space="preserve"> </w:t>
      </w:r>
      <w:r w:rsidRPr="00A271BB">
        <w:t>Los miembros de XBRL International aceptan otorgar ciertas licencias según la Política de propiedad intelectual de XBRL International (</w:t>
      </w:r>
      <w:hyperlink r:id="rId153" w:history="1">
        <w:r w:rsidRPr="00A271BB">
          <w:rPr>
            <w:rStyle w:val="Hipervnculo"/>
          </w:rPr>
          <w:t>https://www.xbrl.org/legal</w:t>
        </w:r>
      </w:hyperlink>
      <w:r w:rsidRPr="00A271BB">
        <w:t>).</w:t>
      </w:r>
    </w:p>
    <w:p w14:paraId="7AF29C67" w14:textId="1BCACFE3" w:rsidR="00A271BB" w:rsidRPr="00A271BB" w:rsidRDefault="00A271BB" w:rsidP="00EC5B1A">
      <w:pPr>
        <w:jc w:val="both"/>
      </w:pPr>
      <w:r w:rsidRPr="00A271BB">
        <w:t>Este documento y la información aquí contenida se proporcionan "TAL CUAL" y XBRL INTERNATIONAL RENUNCIA A TODAS LAS GARANTÍAS, EXPRESAS O IMPLÍCITAS, INCLUYENDO, PERO NO LIMITADO A, CUALQUIER GARANTÍA DE QUE EL USO DE LA INFORMACIÓN AQUÍ NO INFRINGIRÁ NINGÚN DERECHO O GARANTÍA IMPLÍCITA. DE COMERCIABILIDAD O IDONEIDAD PARA UN PROPÓSITO PARTICULAR.</w:t>
      </w:r>
    </w:p>
    <w:p w14:paraId="4CBEC53D" w14:textId="7109C200" w:rsidR="00A271BB" w:rsidRDefault="00A271BB" w:rsidP="00EC5B1A">
      <w:pPr>
        <w:jc w:val="both"/>
      </w:pPr>
      <w:r w:rsidRPr="00A271BB">
        <w:t>La atención de los usuarios de este documento está dirigida a la posibilidad de que el cumplimiento o la adopción de las especificaciones de XBRL International puedan requerir el uso de una invención cubierta por derechos de patente. XBRL International no será responsable de identificar patentes para las cuales cualquier especificación de XBRL International pueda requerir una licencia, ni de realizar investigaciones legales sobre la validez legal o el alcance de aquellas patentes que se le presenten. Las especificaciones de XBRL International son prospectivas y meramente informativas.</w:t>
      </w:r>
      <w:r w:rsidR="000D644B">
        <w:t xml:space="preserve"> </w:t>
      </w:r>
      <w:r w:rsidRPr="00A271BB">
        <w:lastRenderedPageBreak/>
        <w:t>Los posibles usuarios son responsables de protegerse contra la responsabilidad por infracción de patentes.</w:t>
      </w:r>
      <w:r w:rsidR="000D644B">
        <w:t xml:space="preserve"> </w:t>
      </w:r>
      <w:r w:rsidRPr="00A271BB">
        <w:t>XBRL International no toma ninguna posición con respecto a la validez o alcance de cualquier propiedad intelectual u otros derechos que puedan reclamarse relacionados con la implementación o el uso de la tecnología descrita en este documento o la medida en que cualquier licencia bajo dichos derechos podría o no ser disponible;</w:t>
      </w:r>
      <w:r w:rsidR="000D644B">
        <w:t xml:space="preserve"> </w:t>
      </w:r>
      <w:r w:rsidRPr="00A271BB">
        <w:t>tampoco declara que haya hecho ningún esfuerzo por identificar dichos derechos.</w:t>
      </w:r>
      <w:r w:rsidR="00EC5B1A">
        <w:t xml:space="preserve"> </w:t>
      </w:r>
      <w:r w:rsidRPr="00A271BB">
        <w:t>Los miembros de XBRL International aceptan otorgar ciertas licencias según la Política de propiedad intelectual de XBRL International (</w:t>
      </w:r>
      <w:hyperlink r:id="rId154" w:history="1">
        <w:r w:rsidR="00EC5B1A" w:rsidRPr="00A271BB">
          <w:rPr>
            <w:rStyle w:val="Hipervnculo"/>
          </w:rPr>
          <w:t>https://www.xbrl.org/legal</w:t>
        </w:r>
      </w:hyperlink>
      <w:r w:rsidRPr="00A271BB">
        <w:t>).</w:t>
      </w:r>
    </w:p>
    <w:p w14:paraId="7BB5D2DD" w14:textId="77777777" w:rsidR="00A271BB" w:rsidRDefault="00A271BB"/>
    <w:sectPr w:rsidR="00A271B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Nova Cond">
    <w:altName w:val="Arial Nova Cond"/>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53979"/>
    <w:multiLevelType w:val="multilevel"/>
    <w:tmpl w:val="07243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EE2ECF"/>
    <w:multiLevelType w:val="multilevel"/>
    <w:tmpl w:val="0E6E1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7F2D7C"/>
    <w:multiLevelType w:val="multilevel"/>
    <w:tmpl w:val="3552D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8A7B2D"/>
    <w:multiLevelType w:val="multilevel"/>
    <w:tmpl w:val="8954D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A2D5A1C"/>
    <w:multiLevelType w:val="multilevel"/>
    <w:tmpl w:val="40CC2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6333764"/>
    <w:multiLevelType w:val="multilevel"/>
    <w:tmpl w:val="837CB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9286C1C"/>
    <w:multiLevelType w:val="multilevel"/>
    <w:tmpl w:val="82D46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EF74968"/>
    <w:multiLevelType w:val="multilevel"/>
    <w:tmpl w:val="DCFE7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6"/>
  </w:num>
  <w:num w:numId="4">
    <w:abstractNumId w:val="2"/>
  </w:num>
  <w:num w:numId="5">
    <w:abstractNumId w:val="4"/>
  </w:num>
  <w:num w:numId="6">
    <w:abstractNumId w:val="7"/>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69D"/>
    <w:rsid w:val="000D644B"/>
    <w:rsid w:val="00294FB8"/>
    <w:rsid w:val="005F3EAE"/>
    <w:rsid w:val="008C069D"/>
    <w:rsid w:val="00915995"/>
    <w:rsid w:val="00A271BB"/>
    <w:rsid w:val="00A35830"/>
    <w:rsid w:val="00C13B4A"/>
    <w:rsid w:val="00DE5CE5"/>
    <w:rsid w:val="00E47AFB"/>
    <w:rsid w:val="00EC5B1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76065"/>
  <w15:chartTrackingRefBased/>
  <w15:docId w15:val="{E6D62374-E107-45E8-B806-0C12BB5C2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C069D"/>
    <w:rPr>
      <w:color w:val="0563C1" w:themeColor="hyperlink"/>
      <w:u w:val="single"/>
    </w:rPr>
  </w:style>
  <w:style w:type="character" w:styleId="Mencinsinresolver">
    <w:name w:val="Unresolved Mention"/>
    <w:basedOn w:val="Fuentedeprrafopredeter"/>
    <w:uiPriority w:val="99"/>
    <w:semiHidden/>
    <w:unhideWhenUsed/>
    <w:rsid w:val="008C06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008247">
      <w:bodyDiv w:val="1"/>
      <w:marLeft w:val="0"/>
      <w:marRight w:val="0"/>
      <w:marTop w:val="0"/>
      <w:marBottom w:val="0"/>
      <w:divBdr>
        <w:top w:val="none" w:sz="0" w:space="0" w:color="auto"/>
        <w:left w:val="none" w:sz="0" w:space="0" w:color="auto"/>
        <w:bottom w:val="none" w:sz="0" w:space="0" w:color="auto"/>
        <w:right w:val="none" w:sz="0" w:space="0" w:color="auto"/>
      </w:divBdr>
    </w:div>
    <w:div w:id="205794507">
      <w:bodyDiv w:val="1"/>
      <w:marLeft w:val="0"/>
      <w:marRight w:val="0"/>
      <w:marTop w:val="0"/>
      <w:marBottom w:val="0"/>
      <w:divBdr>
        <w:top w:val="none" w:sz="0" w:space="0" w:color="auto"/>
        <w:left w:val="none" w:sz="0" w:space="0" w:color="auto"/>
        <w:bottom w:val="none" w:sz="0" w:space="0" w:color="auto"/>
        <w:right w:val="none" w:sz="0" w:space="0" w:color="auto"/>
      </w:divBdr>
    </w:div>
    <w:div w:id="381491000">
      <w:bodyDiv w:val="1"/>
      <w:marLeft w:val="0"/>
      <w:marRight w:val="0"/>
      <w:marTop w:val="0"/>
      <w:marBottom w:val="0"/>
      <w:divBdr>
        <w:top w:val="none" w:sz="0" w:space="0" w:color="auto"/>
        <w:left w:val="none" w:sz="0" w:space="0" w:color="auto"/>
        <w:bottom w:val="none" w:sz="0" w:space="0" w:color="auto"/>
        <w:right w:val="none" w:sz="0" w:space="0" w:color="auto"/>
      </w:divBdr>
    </w:div>
    <w:div w:id="426930104">
      <w:bodyDiv w:val="1"/>
      <w:marLeft w:val="0"/>
      <w:marRight w:val="0"/>
      <w:marTop w:val="0"/>
      <w:marBottom w:val="0"/>
      <w:divBdr>
        <w:top w:val="none" w:sz="0" w:space="0" w:color="auto"/>
        <w:left w:val="none" w:sz="0" w:space="0" w:color="auto"/>
        <w:bottom w:val="none" w:sz="0" w:space="0" w:color="auto"/>
        <w:right w:val="none" w:sz="0" w:space="0" w:color="auto"/>
      </w:divBdr>
    </w:div>
    <w:div w:id="507260380">
      <w:bodyDiv w:val="1"/>
      <w:marLeft w:val="0"/>
      <w:marRight w:val="0"/>
      <w:marTop w:val="0"/>
      <w:marBottom w:val="0"/>
      <w:divBdr>
        <w:top w:val="none" w:sz="0" w:space="0" w:color="auto"/>
        <w:left w:val="none" w:sz="0" w:space="0" w:color="auto"/>
        <w:bottom w:val="none" w:sz="0" w:space="0" w:color="auto"/>
        <w:right w:val="none" w:sz="0" w:space="0" w:color="auto"/>
      </w:divBdr>
    </w:div>
    <w:div w:id="706100270">
      <w:bodyDiv w:val="1"/>
      <w:marLeft w:val="0"/>
      <w:marRight w:val="0"/>
      <w:marTop w:val="0"/>
      <w:marBottom w:val="0"/>
      <w:divBdr>
        <w:top w:val="none" w:sz="0" w:space="0" w:color="auto"/>
        <w:left w:val="none" w:sz="0" w:space="0" w:color="auto"/>
        <w:bottom w:val="none" w:sz="0" w:space="0" w:color="auto"/>
        <w:right w:val="none" w:sz="0" w:space="0" w:color="auto"/>
      </w:divBdr>
      <w:divsChild>
        <w:div w:id="1065181768">
          <w:marLeft w:val="0"/>
          <w:marRight w:val="0"/>
          <w:marTop w:val="0"/>
          <w:marBottom w:val="0"/>
          <w:divBdr>
            <w:top w:val="none" w:sz="0" w:space="0" w:color="auto"/>
            <w:left w:val="none" w:sz="0" w:space="0" w:color="auto"/>
            <w:bottom w:val="none" w:sz="0" w:space="0" w:color="auto"/>
            <w:right w:val="none" w:sz="0" w:space="0" w:color="auto"/>
          </w:divBdr>
        </w:div>
        <w:div w:id="346837129">
          <w:marLeft w:val="0"/>
          <w:marRight w:val="0"/>
          <w:marTop w:val="300"/>
          <w:marBottom w:val="300"/>
          <w:divBdr>
            <w:top w:val="none" w:sz="0" w:space="0" w:color="auto"/>
            <w:left w:val="none" w:sz="0" w:space="0" w:color="auto"/>
            <w:bottom w:val="none" w:sz="0" w:space="0" w:color="auto"/>
            <w:right w:val="none" w:sz="0" w:space="0" w:color="auto"/>
          </w:divBdr>
        </w:div>
        <w:div w:id="648629591">
          <w:marLeft w:val="0"/>
          <w:marRight w:val="0"/>
          <w:marTop w:val="600"/>
          <w:marBottom w:val="0"/>
          <w:divBdr>
            <w:top w:val="none" w:sz="0" w:space="0" w:color="auto"/>
            <w:left w:val="none" w:sz="0" w:space="0" w:color="auto"/>
            <w:bottom w:val="none" w:sz="0" w:space="0" w:color="auto"/>
            <w:right w:val="none" w:sz="0" w:space="0" w:color="auto"/>
          </w:divBdr>
          <w:divsChild>
            <w:div w:id="1228415016">
              <w:marLeft w:val="0"/>
              <w:marRight w:val="0"/>
              <w:marTop w:val="75"/>
              <w:marBottom w:val="75"/>
              <w:divBdr>
                <w:top w:val="none" w:sz="0" w:space="0" w:color="auto"/>
                <w:left w:val="none" w:sz="0" w:space="0" w:color="auto"/>
                <w:bottom w:val="dotted" w:sz="6" w:space="0" w:color="CCCCCC"/>
                <w:right w:val="none" w:sz="0" w:space="0" w:color="auto"/>
              </w:divBdr>
            </w:div>
          </w:divsChild>
        </w:div>
      </w:divsChild>
    </w:div>
    <w:div w:id="826287436">
      <w:bodyDiv w:val="1"/>
      <w:marLeft w:val="0"/>
      <w:marRight w:val="0"/>
      <w:marTop w:val="0"/>
      <w:marBottom w:val="0"/>
      <w:divBdr>
        <w:top w:val="none" w:sz="0" w:space="0" w:color="auto"/>
        <w:left w:val="none" w:sz="0" w:space="0" w:color="auto"/>
        <w:bottom w:val="none" w:sz="0" w:space="0" w:color="auto"/>
        <w:right w:val="none" w:sz="0" w:space="0" w:color="auto"/>
      </w:divBdr>
    </w:div>
    <w:div w:id="1142193796">
      <w:bodyDiv w:val="1"/>
      <w:marLeft w:val="0"/>
      <w:marRight w:val="0"/>
      <w:marTop w:val="0"/>
      <w:marBottom w:val="0"/>
      <w:divBdr>
        <w:top w:val="none" w:sz="0" w:space="0" w:color="auto"/>
        <w:left w:val="none" w:sz="0" w:space="0" w:color="auto"/>
        <w:bottom w:val="none" w:sz="0" w:space="0" w:color="auto"/>
        <w:right w:val="none" w:sz="0" w:space="0" w:color="auto"/>
      </w:divBdr>
    </w:div>
    <w:div w:id="1287540536">
      <w:bodyDiv w:val="1"/>
      <w:marLeft w:val="0"/>
      <w:marRight w:val="0"/>
      <w:marTop w:val="0"/>
      <w:marBottom w:val="0"/>
      <w:divBdr>
        <w:top w:val="none" w:sz="0" w:space="0" w:color="auto"/>
        <w:left w:val="none" w:sz="0" w:space="0" w:color="auto"/>
        <w:bottom w:val="none" w:sz="0" w:space="0" w:color="auto"/>
        <w:right w:val="none" w:sz="0" w:space="0" w:color="auto"/>
      </w:divBdr>
    </w:div>
    <w:div w:id="1391073860">
      <w:bodyDiv w:val="1"/>
      <w:marLeft w:val="0"/>
      <w:marRight w:val="0"/>
      <w:marTop w:val="0"/>
      <w:marBottom w:val="0"/>
      <w:divBdr>
        <w:top w:val="none" w:sz="0" w:space="0" w:color="auto"/>
        <w:left w:val="none" w:sz="0" w:space="0" w:color="auto"/>
        <w:bottom w:val="none" w:sz="0" w:space="0" w:color="auto"/>
        <w:right w:val="none" w:sz="0" w:space="0" w:color="auto"/>
      </w:divBdr>
    </w:div>
    <w:div w:id="1440249246">
      <w:bodyDiv w:val="1"/>
      <w:marLeft w:val="0"/>
      <w:marRight w:val="0"/>
      <w:marTop w:val="0"/>
      <w:marBottom w:val="0"/>
      <w:divBdr>
        <w:top w:val="none" w:sz="0" w:space="0" w:color="auto"/>
        <w:left w:val="none" w:sz="0" w:space="0" w:color="auto"/>
        <w:bottom w:val="none" w:sz="0" w:space="0" w:color="auto"/>
        <w:right w:val="none" w:sz="0" w:space="0" w:color="auto"/>
      </w:divBdr>
    </w:div>
    <w:div w:id="1495490845">
      <w:bodyDiv w:val="1"/>
      <w:marLeft w:val="0"/>
      <w:marRight w:val="0"/>
      <w:marTop w:val="0"/>
      <w:marBottom w:val="0"/>
      <w:divBdr>
        <w:top w:val="none" w:sz="0" w:space="0" w:color="auto"/>
        <w:left w:val="none" w:sz="0" w:space="0" w:color="auto"/>
        <w:bottom w:val="none" w:sz="0" w:space="0" w:color="auto"/>
        <w:right w:val="none" w:sz="0" w:space="0" w:color="auto"/>
      </w:divBdr>
      <w:divsChild>
        <w:div w:id="855921341">
          <w:marLeft w:val="0"/>
          <w:marRight w:val="0"/>
          <w:marTop w:val="0"/>
          <w:marBottom w:val="0"/>
          <w:divBdr>
            <w:top w:val="none" w:sz="0" w:space="0" w:color="auto"/>
            <w:left w:val="none" w:sz="0" w:space="0" w:color="auto"/>
            <w:bottom w:val="none" w:sz="0" w:space="0" w:color="auto"/>
            <w:right w:val="none" w:sz="0" w:space="0" w:color="auto"/>
          </w:divBdr>
        </w:div>
        <w:div w:id="1028601889">
          <w:marLeft w:val="0"/>
          <w:marRight w:val="0"/>
          <w:marTop w:val="0"/>
          <w:marBottom w:val="0"/>
          <w:divBdr>
            <w:top w:val="none" w:sz="0" w:space="0" w:color="auto"/>
            <w:left w:val="none" w:sz="0" w:space="0" w:color="auto"/>
            <w:bottom w:val="none" w:sz="0" w:space="0" w:color="auto"/>
            <w:right w:val="none" w:sz="0" w:space="0" w:color="auto"/>
          </w:divBdr>
        </w:div>
      </w:divsChild>
    </w:div>
    <w:div w:id="1513689557">
      <w:bodyDiv w:val="1"/>
      <w:marLeft w:val="0"/>
      <w:marRight w:val="0"/>
      <w:marTop w:val="0"/>
      <w:marBottom w:val="0"/>
      <w:divBdr>
        <w:top w:val="none" w:sz="0" w:space="0" w:color="auto"/>
        <w:left w:val="none" w:sz="0" w:space="0" w:color="auto"/>
        <w:bottom w:val="none" w:sz="0" w:space="0" w:color="auto"/>
        <w:right w:val="none" w:sz="0" w:space="0" w:color="auto"/>
      </w:divBdr>
      <w:divsChild>
        <w:div w:id="366761624">
          <w:marLeft w:val="0"/>
          <w:marRight w:val="0"/>
          <w:marTop w:val="0"/>
          <w:marBottom w:val="0"/>
          <w:divBdr>
            <w:top w:val="none" w:sz="0" w:space="0" w:color="auto"/>
            <w:left w:val="none" w:sz="0" w:space="0" w:color="auto"/>
            <w:bottom w:val="none" w:sz="0" w:space="0" w:color="auto"/>
            <w:right w:val="none" w:sz="0" w:space="0" w:color="auto"/>
          </w:divBdr>
        </w:div>
        <w:div w:id="372507486">
          <w:marLeft w:val="0"/>
          <w:marRight w:val="0"/>
          <w:marTop w:val="0"/>
          <w:marBottom w:val="0"/>
          <w:divBdr>
            <w:top w:val="none" w:sz="0" w:space="0" w:color="auto"/>
            <w:left w:val="none" w:sz="0" w:space="0" w:color="auto"/>
            <w:bottom w:val="none" w:sz="0" w:space="0" w:color="auto"/>
            <w:right w:val="none" w:sz="0" w:space="0" w:color="auto"/>
          </w:divBdr>
        </w:div>
        <w:div w:id="1188060318">
          <w:marLeft w:val="0"/>
          <w:marRight w:val="0"/>
          <w:marTop w:val="0"/>
          <w:marBottom w:val="0"/>
          <w:divBdr>
            <w:top w:val="none" w:sz="0" w:space="0" w:color="auto"/>
            <w:left w:val="none" w:sz="0" w:space="0" w:color="auto"/>
            <w:bottom w:val="none" w:sz="0" w:space="0" w:color="auto"/>
            <w:right w:val="none" w:sz="0" w:space="0" w:color="auto"/>
          </w:divBdr>
        </w:div>
        <w:div w:id="986979963">
          <w:marLeft w:val="0"/>
          <w:marRight w:val="0"/>
          <w:marTop w:val="0"/>
          <w:marBottom w:val="0"/>
          <w:divBdr>
            <w:top w:val="none" w:sz="0" w:space="0" w:color="auto"/>
            <w:left w:val="none" w:sz="0" w:space="0" w:color="auto"/>
            <w:bottom w:val="none" w:sz="0" w:space="0" w:color="auto"/>
            <w:right w:val="none" w:sz="0" w:space="0" w:color="auto"/>
          </w:divBdr>
        </w:div>
      </w:divsChild>
    </w:div>
    <w:div w:id="1604460031">
      <w:bodyDiv w:val="1"/>
      <w:marLeft w:val="0"/>
      <w:marRight w:val="0"/>
      <w:marTop w:val="0"/>
      <w:marBottom w:val="0"/>
      <w:divBdr>
        <w:top w:val="none" w:sz="0" w:space="0" w:color="auto"/>
        <w:left w:val="none" w:sz="0" w:space="0" w:color="auto"/>
        <w:bottom w:val="none" w:sz="0" w:space="0" w:color="auto"/>
        <w:right w:val="none" w:sz="0" w:space="0" w:color="auto"/>
      </w:divBdr>
      <w:divsChild>
        <w:div w:id="967273600">
          <w:marLeft w:val="0"/>
          <w:marRight w:val="0"/>
          <w:marTop w:val="0"/>
          <w:marBottom w:val="0"/>
          <w:divBdr>
            <w:top w:val="none" w:sz="0" w:space="0" w:color="auto"/>
            <w:left w:val="none" w:sz="0" w:space="0" w:color="auto"/>
            <w:bottom w:val="none" w:sz="0" w:space="0" w:color="auto"/>
            <w:right w:val="none" w:sz="0" w:space="0" w:color="auto"/>
          </w:divBdr>
        </w:div>
        <w:div w:id="27603589">
          <w:marLeft w:val="0"/>
          <w:marRight w:val="0"/>
          <w:marTop w:val="0"/>
          <w:marBottom w:val="0"/>
          <w:divBdr>
            <w:top w:val="none" w:sz="0" w:space="0" w:color="auto"/>
            <w:left w:val="none" w:sz="0" w:space="0" w:color="auto"/>
            <w:bottom w:val="none" w:sz="0" w:space="0" w:color="auto"/>
            <w:right w:val="none" w:sz="0" w:space="0" w:color="auto"/>
          </w:divBdr>
        </w:div>
        <w:div w:id="916355069">
          <w:marLeft w:val="0"/>
          <w:marRight w:val="0"/>
          <w:marTop w:val="0"/>
          <w:marBottom w:val="0"/>
          <w:divBdr>
            <w:top w:val="none" w:sz="0" w:space="0" w:color="auto"/>
            <w:left w:val="none" w:sz="0" w:space="0" w:color="auto"/>
            <w:bottom w:val="none" w:sz="0" w:space="0" w:color="auto"/>
            <w:right w:val="none" w:sz="0" w:space="0" w:color="auto"/>
          </w:divBdr>
        </w:div>
        <w:div w:id="1372653110">
          <w:marLeft w:val="0"/>
          <w:marRight w:val="0"/>
          <w:marTop w:val="0"/>
          <w:marBottom w:val="0"/>
          <w:divBdr>
            <w:top w:val="none" w:sz="0" w:space="0" w:color="auto"/>
            <w:left w:val="none" w:sz="0" w:space="0" w:color="auto"/>
            <w:bottom w:val="none" w:sz="0" w:space="0" w:color="auto"/>
            <w:right w:val="none" w:sz="0" w:space="0" w:color="auto"/>
          </w:divBdr>
        </w:div>
      </w:divsChild>
    </w:div>
    <w:div w:id="1695154278">
      <w:bodyDiv w:val="1"/>
      <w:marLeft w:val="0"/>
      <w:marRight w:val="0"/>
      <w:marTop w:val="0"/>
      <w:marBottom w:val="0"/>
      <w:divBdr>
        <w:top w:val="none" w:sz="0" w:space="0" w:color="auto"/>
        <w:left w:val="none" w:sz="0" w:space="0" w:color="auto"/>
        <w:bottom w:val="none" w:sz="0" w:space="0" w:color="auto"/>
        <w:right w:val="none" w:sz="0" w:space="0" w:color="auto"/>
      </w:divBdr>
    </w:div>
    <w:div w:id="1722483248">
      <w:bodyDiv w:val="1"/>
      <w:marLeft w:val="0"/>
      <w:marRight w:val="0"/>
      <w:marTop w:val="0"/>
      <w:marBottom w:val="0"/>
      <w:divBdr>
        <w:top w:val="none" w:sz="0" w:space="0" w:color="auto"/>
        <w:left w:val="none" w:sz="0" w:space="0" w:color="auto"/>
        <w:bottom w:val="none" w:sz="0" w:space="0" w:color="auto"/>
        <w:right w:val="none" w:sz="0" w:space="0" w:color="auto"/>
      </w:divBdr>
      <w:divsChild>
        <w:div w:id="854267311">
          <w:marLeft w:val="0"/>
          <w:marRight w:val="0"/>
          <w:marTop w:val="0"/>
          <w:marBottom w:val="0"/>
          <w:divBdr>
            <w:top w:val="none" w:sz="0" w:space="0" w:color="auto"/>
            <w:left w:val="none" w:sz="0" w:space="0" w:color="auto"/>
            <w:bottom w:val="none" w:sz="0" w:space="0" w:color="auto"/>
            <w:right w:val="none" w:sz="0" w:space="0" w:color="auto"/>
          </w:divBdr>
        </w:div>
        <w:div w:id="2071534218">
          <w:marLeft w:val="0"/>
          <w:marRight w:val="0"/>
          <w:marTop w:val="0"/>
          <w:marBottom w:val="150"/>
          <w:divBdr>
            <w:top w:val="single" w:sz="6" w:space="3" w:color="707070"/>
            <w:left w:val="single" w:sz="2" w:space="3" w:color="707070"/>
            <w:bottom w:val="single" w:sz="6" w:space="3" w:color="707070"/>
            <w:right w:val="single" w:sz="2" w:space="3" w:color="707070"/>
          </w:divBdr>
        </w:div>
        <w:div w:id="802694933">
          <w:marLeft w:val="0"/>
          <w:marRight w:val="0"/>
          <w:marTop w:val="0"/>
          <w:marBottom w:val="0"/>
          <w:divBdr>
            <w:top w:val="single" w:sz="6" w:space="3" w:color="707070"/>
            <w:left w:val="single" w:sz="2" w:space="3" w:color="707070"/>
            <w:bottom w:val="single" w:sz="6" w:space="3" w:color="707070"/>
            <w:right w:val="single" w:sz="2" w:space="3" w:color="707070"/>
          </w:divBdr>
        </w:div>
        <w:div w:id="453595795">
          <w:marLeft w:val="0"/>
          <w:marRight w:val="0"/>
          <w:marTop w:val="600"/>
          <w:marBottom w:val="0"/>
          <w:divBdr>
            <w:top w:val="none" w:sz="0" w:space="0" w:color="auto"/>
            <w:left w:val="none" w:sz="0" w:space="0" w:color="auto"/>
            <w:bottom w:val="none" w:sz="0" w:space="0" w:color="auto"/>
            <w:right w:val="none" w:sz="0" w:space="0" w:color="auto"/>
          </w:divBdr>
          <w:divsChild>
            <w:div w:id="1473325336">
              <w:marLeft w:val="0"/>
              <w:marRight w:val="0"/>
              <w:marTop w:val="75"/>
              <w:marBottom w:val="75"/>
              <w:divBdr>
                <w:top w:val="none" w:sz="0" w:space="0" w:color="auto"/>
                <w:left w:val="none" w:sz="0" w:space="0" w:color="auto"/>
                <w:bottom w:val="dotted" w:sz="6" w:space="0" w:color="CCCCCC"/>
                <w:right w:val="none" w:sz="0" w:space="0" w:color="auto"/>
              </w:divBdr>
            </w:div>
          </w:divsChild>
        </w:div>
      </w:divsChild>
    </w:div>
    <w:div w:id="2056731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xbrl.org/Specification/calculation-1.1/REC-2023-02-22/calculation-1.1-REC-2023-02-22.html" TargetMode="External"/><Relationship Id="rId21" Type="http://schemas.openxmlformats.org/officeDocument/2006/relationships/image" Target="media/image5.png"/><Relationship Id="rId42" Type="http://schemas.openxmlformats.org/officeDocument/2006/relationships/hyperlink" Target="https://www.xbrl.org/Specification/calculation-1.1/REC-2023-02-22/calculation-1.1-REC-2023-02-22.html" TargetMode="External"/><Relationship Id="rId63" Type="http://schemas.openxmlformats.org/officeDocument/2006/relationships/hyperlink" Target="https://www.xbrl.org/Specification/XBRL-2.1/REC-2003-12-31/XBRL-2.1-REC-2003-12-31+corrected-errata-2013-02-20.html" TargetMode="External"/><Relationship Id="rId84" Type="http://schemas.openxmlformats.org/officeDocument/2006/relationships/hyperlink" Target="https://www.xbrl.org/Specification/calculation-1.1/REC-2023-02-22/calculation-1.1-REC-2023-02-22.html" TargetMode="External"/><Relationship Id="rId138" Type="http://schemas.openxmlformats.org/officeDocument/2006/relationships/hyperlink" Target="https://www.xbrl.org/Specification/calculation-1.1/REC-2023-02-22/calculation-1.1-REC-2023-02-22.html" TargetMode="External"/><Relationship Id="rId107" Type="http://schemas.openxmlformats.org/officeDocument/2006/relationships/hyperlink" Target="https://www.xbrl.org/Specification/calculation-1.1/REC-2023-02-22/calculation-1.1-REC-2023-02-22.html" TargetMode="External"/><Relationship Id="rId11" Type="http://schemas.openxmlformats.org/officeDocument/2006/relationships/hyperlink" Target="https://www.xbrl.org/calculations-1-1-getting-rid-of-the-noise/" TargetMode="External"/><Relationship Id="rId32" Type="http://schemas.openxmlformats.org/officeDocument/2006/relationships/hyperlink" Target="https://www.xbrl.org/Specification/xbrl-json/REC-2021-10-13/xbrl-json-REC-2021-10-13.html" TargetMode="External"/><Relationship Id="rId53" Type="http://schemas.openxmlformats.org/officeDocument/2006/relationships/hyperlink" Target="https://www.xbrl.org/Specification/calculation-1.1/REC-2023-02-22/calculation-1.1-REC-2023-02-22.html" TargetMode="External"/><Relationship Id="rId74" Type="http://schemas.openxmlformats.org/officeDocument/2006/relationships/hyperlink" Target="https://www.xbrl.org/Specification/oim/REC-2021-10-13/oim-REC-2021-10-13.html" TargetMode="External"/><Relationship Id="rId128" Type="http://schemas.openxmlformats.org/officeDocument/2006/relationships/hyperlink" Target="https://www.xbrl.org/Specification/calculation-1.1/REC-2023-02-22/calculation-1.1-REC-2023-02-22.html" TargetMode="External"/><Relationship Id="rId149" Type="http://schemas.openxmlformats.org/officeDocument/2006/relationships/image" Target="media/image18.png"/><Relationship Id="rId5" Type="http://schemas.openxmlformats.org/officeDocument/2006/relationships/image" Target="media/image1.jpeg"/><Relationship Id="rId95" Type="http://schemas.openxmlformats.org/officeDocument/2006/relationships/hyperlink" Target="https://www.xbrl.org/Specification/calculation-1.1/REC-2023-02-22/calculation-1.1-REC-2023-02-22.html" TargetMode="External"/><Relationship Id="rId22" Type="http://schemas.openxmlformats.org/officeDocument/2006/relationships/image" Target="media/image6.png"/><Relationship Id="rId27" Type="http://schemas.openxmlformats.org/officeDocument/2006/relationships/hyperlink" Target="https://www.xbrl.org/Specification/calculation-1.1/REC-2023-02-22/calculation-1.1-REC-2023-02-22.html" TargetMode="External"/><Relationship Id="rId43" Type="http://schemas.openxmlformats.org/officeDocument/2006/relationships/hyperlink" Target="https://www.xbrl.org/Specification/calculation-1.1/REC-2023-02-22/calculation-1.1-REC-2023-02-22.html" TargetMode="External"/><Relationship Id="rId48" Type="http://schemas.openxmlformats.org/officeDocument/2006/relationships/hyperlink" Target="https://www.xbrl.org/Specification/calculation-1.1/REC-2023-02-22/calculation-1.1-REC-2023-02-22.html" TargetMode="External"/><Relationship Id="rId64" Type="http://schemas.openxmlformats.org/officeDocument/2006/relationships/hyperlink" Target="https://www.xbrl.org/Specification/oim/REC-2021-10-13/oim-REC-2021-10-13.html" TargetMode="External"/><Relationship Id="rId69" Type="http://schemas.openxmlformats.org/officeDocument/2006/relationships/hyperlink" Target="https://www.xbrl.org/Specification/oim/REC-2021-10-13/oim-REC-2021-10-13.html" TargetMode="External"/><Relationship Id="rId113" Type="http://schemas.openxmlformats.org/officeDocument/2006/relationships/hyperlink" Target="https://www.xbrl.org/Specification/calculation-1.1/REC-2023-02-22/calculation-1.1-REC-2023-02-22.html" TargetMode="External"/><Relationship Id="rId118" Type="http://schemas.openxmlformats.org/officeDocument/2006/relationships/hyperlink" Target="https://www.xbrl.org/Specification/calculation-1.1/REC-2023-02-22/calculation-1.1-REC-2023-02-22.html" TargetMode="External"/><Relationship Id="rId134" Type="http://schemas.openxmlformats.org/officeDocument/2006/relationships/hyperlink" Target="https://www.xbrl.org/Specification/oim/REC-2021-10-13/oim-REC-2021-10-13.html" TargetMode="External"/><Relationship Id="rId139" Type="http://schemas.openxmlformats.org/officeDocument/2006/relationships/hyperlink" Target="https://www.xbrl.org/Specification/oim/REC-2021-10-13/oim-REC-2021-10-13.html" TargetMode="External"/><Relationship Id="rId80" Type="http://schemas.openxmlformats.org/officeDocument/2006/relationships/hyperlink" Target="https://www.xbrl.org/Specification/calculation-1.1/REC-2023-02-22/calculation-1.1-REC-2023-02-22.html" TargetMode="External"/><Relationship Id="rId85" Type="http://schemas.openxmlformats.org/officeDocument/2006/relationships/hyperlink" Target="https://www.xbrl.org/Specification/calculation-1.1/REC-2023-02-22/calculation-1.1-REC-2023-02-22.html" TargetMode="External"/><Relationship Id="rId150" Type="http://schemas.openxmlformats.org/officeDocument/2006/relationships/hyperlink" Target="https://www.xbrl.org/Specification/calculation-1.1/REC-2023-02-22/calculation-1.1-REC-2023-02-22.html" TargetMode="External"/><Relationship Id="rId155" Type="http://schemas.openxmlformats.org/officeDocument/2006/relationships/fontTable" Target="fontTable.xml"/><Relationship Id="rId12" Type="http://schemas.openxmlformats.org/officeDocument/2006/relationships/hyperlink" Target="https://www.xbrl.org/Specification/calculation-1.1/REC-2023-02-22/calculation-1.1-REC-2023-02-22.html" TargetMode="External"/><Relationship Id="rId17" Type="http://schemas.openxmlformats.org/officeDocument/2006/relationships/hyperlink" Target="https://www.xbrl.org/wp-content/uploads/2024/01/calc_count_errors_1-1.png" TargetMode="External"/><Relationship Id="rId33" Type="http://schemas.openxmlformats.org/officeDocument/2006/relationships/hyperlink" Target="https://www.xbrl.org/Specification/xbrl-csv/REC-2021-10-13/xbrl-csv-REC-2021-10-13.html" TargetMode="External"/><Relationship Id="rId38" Type="http://schemas.openxmlformats.org/officeDocument/2006/relationships/hyperlink" Target="https://xbrl.org/2023/arcrole/summation-item" TargetMode="External"/><Relationship Id="rId59" Type="http://schemas.openxmlformats.org/officeDocument/2006/relationships/hyperlink" Target="https://www.xbrl.org/Specification/calculation-1.1/REC-2023-02-22/calculation-1.1-REC-2023-02-22.html" TargetMode="External"/><Relationship Id="rId103" Type="http://schemas.openxmlformats.org/officeDocument/2006/relationships/hyperlink" Target="https://www.xbrl.org/Specification/oim/REC-2021-10-13/oim-REC-2021-10-13.html" TargetMode="External"/><Relationship Id="rId108" Type="http://schemas.openxmlformats.org/officeDocument/2006/relationships/hyperlink" Target="https://www.xbrl.org/Specification/calculation-1.1/REC-2023-02-22/calculation-1.1-REC-2023-02-22.html" TargetMode="External"/><Relationship Id="rId124" Type="http://schemas.openxmlformats.org/officeDocument/2006/relationships/image" Target="media/image11.png"/><Relationship Id="rId129" Type="http://schemas.openxmlformats.org/officeDocument/2006/relationships/image" Target="media/image13.png"/><Relationship Id="rId54" Type="http://schemas.openxmlformats.org/officeDocument/2006/relationships/image" Target="media/image10.png"/><Relationship Id="rId70" Type="http://schemas.openxmlformats.org/officeDocument/2006/relationships/hyperlink" Target="https://www.xbrl.org/Specification/calculation-1.1/REC-2023-02-22/calculation-1.1-REC-2023-02-22.html" TargetMode="External"/><Relationship Id="rId75" Type="http://schemas.openxmlformats.org/officeDocument/2006/relationships/hyperlink" Target="https://www.xbrl.org/Specification/oim/REC-2021-10-13/oim-REC-2021-10-13.html" TargetMode="External"/><Relationship Id="rId91" Type="http://schemas.openxmlformats.org/officeDocument/2006/relationships/hyperlink" Target="https://www.xbrl.org/Specification/oim/REC-2021-10-13/oim-REC-2021-10-13.html" TargetMode="External"/><Relationship Id="rId96" Type="http://schemas.openxmlformats.org/officeDocument/2006/relationships/hyperlink" Target="https://www.xbrl.org/Specification/calculation-1.1/REC-2023-02-22/calculation-1.1-REC-2023-02-22.html" TargetMode="External"/><Relationship Id="rId140" Type="http://schemas.openxmlformats.org/officeDocument/2006/relationships/hyperlink" Target="https://www.xbrl.org/Specification/oim/REC-2021-10-13/oim-REC-2021-10-13.html" TargetMode="External"/><Relationship Id="rId145" Type="http://schemas.openxmlformats.org/officeDocument/2006/relationships/image" Target="media/image15.png"/><Relationship Id="rId1" Type="http://schemas.openxmlformats.org/officeDocument/2006/relationships/numbering" Target="numbering.xml"/><Relationship Id="rId6" Type="http://schemas.openxmlformats.org/officeDocument/2006/relationships/hyperlink" Target="https://www.xbrl.org/news/calculations-1-1-getting-rid-of-the-noise/" TargetMode="External"/><Relationship Id="rId23" Type="http://schemas.openxmlformats.org/officeDocument/2006/relationships/hyperlink" Target="https://www.xbrl.org/Specification/XBRL-2.1/REC-2003-12-31/XBRL-2.1-REC-2003-12-31+corrected-errata-2013-02-20.html" TargetMode="External"/><Relationship Id="rId28" Type="http://schemas.openxmlformats.org/officeDocument/2006/relationships/hyperlink" Target="https://www.xbrl.org/Specification/XBRL-2.1/REC-2003-12-31/XBRL-2.1-REC-2003-12-31+corrected-errata-2013-02-20.html" TargetMode="External"/><Relationship Id="rId49" Type="http://schemas.openxmlformats.org/officeDocument/2006/relationships/hyperlink" Target="https://www.xbrl.org/Specification/XBRL-2.1/REC-2003-12-31/XBRL-2.1-REC-2003-12-31+corrected-errata-2013-02-20.html" TargetMode="External"/><Relationship Id="rId114" Type="http://schemas.openxmlformats.org/officeDocument/2006/relationships/hyperlink" Target="https://www.xbrl.org/Specification/calculation-1.1/REC-2023-02-22/calculation-1.1-REC-2023-02-22.html" TargetMode="External"/><Relationship Id="rId119" Type="http://schemas.openxmlformats.org/officeDocument/2006/relationships/hyperlink" Target="https://www.xbrl.org/Specification/calculation-1.1/REC-2023-02-22/calculation-1.1-REC-2023-02-22.html" TargetMode="External"/><Relationship Id="rId44" Type="http://schemas.openxmlformats.org/officeDocument/2006/relationships/hyperlink" Target="https://www.xbrl.org/Specification/calculation-1.1/REC-2023-02-22/calculation-1.1-REC-2023-02-22.html" TargetMode="External"/><Relationship Id="rId60" Type="http://schemas.openxmlformats.org/officeDocument/2006/relationships/hyperlink" Target="https://www.xbrl.org/Specification/calculation-1.1/REC-2023-02-22/calculation-1.1-REC-2023-02-22.html" TargetMode="External"/><Relationship Id="rId65" Type="http://schemas.openxmlformats.org/officeDocument/2006/relationships/hyperlink" Target="https://www.xbrl.org/Specification/calculation-1.1/REC-2023-02-22/calculation-1.1-REC-2023-02-22.html" TargetMode="External"/><Relationship Id="rId81" Type="http://schemas.openxmlformats.org/officeDocument/2006/relationships/hyperlink" Target="https://www.xbrl.org/Specification/calculation-1.1/REC-2023-02-22/calculation-1.1-REC-2023-02-22.html" TargetMode="External"/><Relationship Id="rId86" Type="http://schemas.openxmlformats.org/officeDocument/2006/relationships/hyperlink" Target="https://www.xbrl.org/Specification/oim/REC-2021-10-13/oim-REC-2021-10-13.html" TargetMode="External"/><Relationship Id="rId130" Type="http://schemas.openxmlformats.org/officeDocument/2006/relationships/hyperlink" Target="https://www.xbrl.org/Specification/oim/REC-2021-10-13/oim-REC-2021-10-13.html" TargetMode="External"/><Relationship Id="rId135" Type="http://schemas.openxmlformats.org/officeDocument/2006/relationships/hyperlink" Target="https://www.xbrl.org/Specification/calculation-1.1/REC-2023-02-22/calculation-1.1-REC-2023-02-22.html" TargetMode="External"/><Relationship Id="rId151" Type="http://schemas.openxmlformats.org/officeDocument/2006/relationships/hyperlink" Target="https://www.xbrl.org/2023/calculation-1.1.xsd" TargetMode="External"/><Relationship Id="rId156" Type="http://schemas.openxmlformats.org/officeDocument/2006/relationships/theme" Target="theme/theme1.xml"/><Relationship Id="rId13" Type="http://schemas.openxmlformats.org/officeDocument/2006/relationships/hyperlink" Target="https://www.xbrl.org/wp-content/uploads/2024/01/cal1.1.png" TargetMode="External"/><Relationship Id="rId18" Type="http://schemas.openxmlformats.org/officeDocument/2006/relationships/image" Target="media/image3.png"/><Relationship Id="rId39" Type="http://schemas.openxmlformats.org/officeDocument/2006/relationships/hyperlink" Target="https://www.xbrl.org/Specification/calculation-1.1/REC-2023-02-22/calculation-1.1-REC-2023-02-22.html" TargetMode="External"/><Relationship Id="rId109" Type="http://schemas.openxmlformats.org/officeDocument/2006/relationships/hyperlink" Target="https://www.xbrl.org/Specification/calculation-1.1/REC-2023-02-22/calculation-1.1-REC-2023-02-22.html" TargetMode="External"/><Relationship Id="rId34" Type="http://schemas.openxmlformats.org/officeDocument/2006/relationships/hyperlink" Target="https://www.xbrl.org/Specification/xbrl-xml/REC-2021-10-13/xbrl-xml-REC-2021-10-13.html" TargetMode="External"/><Relationship Id="rId50" Type="http://schemas.openxmlformats.org/officeDocument/2006/relationships/hyperlink" Target="https://www.xbrl.org/Specification/calculation-1.1/REC-2023-02-22/calculation-1.1-REC-2023-02-22.html" TargetMode="External"/><Relationship Id="rId55" Type="http://schemas.openxmlformats.org/officeDocument/2006/relationships/hyperlink" Target="https://www.xbrl.org/Specification/calculation-1.1/REC-2023-02-22/calculation-1.1-REC-2023-02-22.html" TargetMode="External"/><Relationship Id="rId76" Type="http://schemas.openxmlformats.org/officeDocument/2006/relationships/hyperlink" Target="https://www.xbrl.org/Specification/calculation-1.1/REC-2023-02-22/calculation-1.1-REC-2023-02-22.html" TargetMode="External"/><Relationship Id="rId97" Type="http://schemas.openxmlformats.org/officeDocument/2006/relationships/hyperlink" Target="https://www.xbrl.org/Specification/oim/REC-2021-10-13/oim-REC-2021-10-13.html" TargetMode="External"/><Relationship Id="rId104" Type="http://schemas.openxmlformats.org/officeDocument/2006/relationships/hyperlink" Target="https://www.xbrl.org/Specification/calculation-1.1/REC-2023-02-22/calculation-1.1-REC-2023-02-22.html" TargetMode="External"/><Relationship Id="rId120" Type="http://schemas.openxmlformats.org/officeDocument/2006/relationships/hyperlink" Target="https://www.xbrl.org/Specification/calculation-1.1/REC-2023-02-22/calculation-1.1-REC-2023-02-22.html" TargetMode="External"/><Relationship Id="rId125" Type="http://schemas.openxmlformats.org/officeDocument/2006/relationships/image" Target="media/image12.png"/><Relationship Id="rId141" Type="http://schemas.openxmlformats.org/officeDocument/2006/relationships/hyperlink" Target="https://www.xbrl.org/Specification/calculation-1.1/REC-2023-02-22/calculation-1.1-REC-2023-02-22.html" TargetMode="External"/><Relationship Id="rId146" Type="http://schemas.openxmlformats.org/officeDocument/2006/relationships/image" Target="media/image16.png"/><Relationship Id="rId7" Type="http://schemas.openxmlformats.org/officeDocument/2006/relationships/hyperlink" Target="https://xbrl.us3.list-manage.com/track/click?u=fbbc983fbc59adb89ff279b5b&amp;id=d47feec883&amp;e=45983b0199" TargetMode="External"/><Relationship Id="rId71" Type="http://schemas.openxmlformats.org/officeDocument/2006/relationships/hyperlink" Target="https://www.xbrl.org/Specification/calculation-1.1/REC-2023-02-22/calculation-1.1-REC-2023-02-22.html" TargetMode="External"/><Relationship Id="rId92" Type="http://schemas.openxmlformats.org/officeDocument/2006/relationships/hyperlink" Target="https://www.xbrl.org/Specification/oim/REC-2021-10-13/oim-REC-2021-10-13.html" TargetMode="External"/><Relationship Id="rId2" Type="http://schemas.openxmlformats.org/officeDocument/2006/relationships/styles" Target="styles.xml"/><Relationship Id="rId29" Type="http://schemas.openxmlformats.org/officeDocument/2006/relationships/hyperlink" Target="https://www.xbrl.org/Specification/calculation-1.1/REC-2023-02-22/calculation-1.1-REC-2023-02-22.html" TargetMode="External"/><Relationship Id="rId24" Type="http://schemas.openxmlformats.org/officeDocument/2006/relationships/image" Target="media/image7.png"/><Relationship Id="rId40" Type="http://schemas.openxmlformats.org/officeDocument/2006/relationships/hyperlink" Target="https://www.xbrl.org/Specification/calculation-1.1/REC-2023-02-22/calculation-1.1-REC-2023-02-22.html" TargetMode="External"/><Relationship Id="rId45" Type="http://schemas.openxmlformats.org/officeDocument/2006/relationships/hyperlink" Target="https://www.xbrl.org/Specification/calculation-1.1/REC-2023-02-22/calculation-1.1-REC-2023-02-22.html" TargetMode="External"/><Relationship Id="rId66" Type="http://schemas.openxmlformats.org/officeDocument/2006/relationships/hyperlink" Target="https://www.xbrl.org/Specification/oim/REC-2021-10-13/oim-REC-2021-10-13.html" TargetMode="External"/><Relationship Id="rId87" Type="http://schemas.openxmlformats.org/officeDocument/2006/relationships/hyperlink" Target="https://www.xbrl.org/Specification/oim/REC-2021-10-13/oim-REC-2021-10-13.html" TargetMode="External"/><Relationship Id="rId110" Type="http://schemas.openxmlformats.org/officeDocument/2006/relationships/hyperlink" Target="https://www.xbrl.org/Specification/calculation-1.1/REC-2023-02-22/calculation-1.1-REC-2023-02-22.html" TargetMode="External"/><Relationship Id="rId115" Type="http://schemas.openxmlformats.org/officeDocument/2006/relationships/hyperlink" Target="https://www.xbrl.org/Specification/calculation-1.1/REC-2023-02-22/calculation-1.1-REC-2023-02-22.html" TargetMode="External"/><Relationship Id="rId131" Type="http://schemas.openxmlformats.org/officeDocument/2006/relationships/hyperlink" Target="https://www.xbrl.org/Specification/oim/REC-2021-10-13/oim-REC-2021-10-13.html" TargetMode="External"/><Relationship Id="rId136" Type="http://schemas.openxmlformats.org/officeDocument/2006/relationships/hyperlink" Target="https://www.xbrl.org/Specification/calculation-1.1/REC-2023-02-22/calculation-1.1-REC-2023-02-22.html" TargetMode="External"/><Relationship Id="rId61" Type="http://schemas.openxmlformats.org/officeDocument/2006/relationships/hyperlink" Target="https://www.xbrl.org/Specification/calculation-1.1/REC-2023-02-22/calculation-1.1-REC-2023-02-22.html" TargetMode="External"/><Relationship Id="rId82" Type="http://schemas.openxmlformats.org/officeDocument/2006/relationships/hyperlink" Target="https://www.xbrl.org/Specification/oim/REC-2021-10-13/oim-REC-2021-10-13.html" TargetMode="External"/><Relationship Id="rId152" Type="http://schemas.openxmlformats.org/officeDocument/2006/relationships/image" Target="media/image19.png"/><Relationship Id="rId19" Type="http://schemas.openxmlformats.org/officeDocument/2006/relationships/hyperlink" Target="https://www.xbrl.org/guidance/adopting-calc1-1/" TargetMode="External"/><Relationship Id="rId14" Type="http://schemas.openxmlformats.org/officeDocument/2006/relationships/image" Target="media/image2.png"/><Relationship Id="rId30" Type="http://schemas.openxmlformats.org/officeDocument/2006/relationships/hyperlink" Target="https://www.xbrl.org/Specification/oim/REC-2021-10-13/oim-REC-2021-10-13.html" TargetMode="External"/><Relationship Id="rId35" Type="http://schemas.openxmlformats.org/officeDocument/2006/relationships/image" Target="media/image9.png"/><Relationship Id="rId56" Type="http://schemas.openxmlformats.org/officeDocument/2006/relationships/hyperlink" Target="https://www.xbrl.org/Specification/calculation-1.1/REC-2023-02-22/calculation-1.1-REC-2023-02-22.html" TargetMode="External"/><Relationship Id="rId77" Type="http://schemas.openxmlformats.org/officeDocument/2006/relationships/hyperlink" Target="https://www.xbrl.org/Specification/oim/REC-2021-10-13/oim-REC-2021-10-13.html" TargetMode="External"/><Relationship Id="rId100" Type="http://schemas.openxmlformats.org/officeDocument/2006/relationships/hyperlink" Target="https://www.xbrl.org/Specification/calculation-1.1/REC-2023-02-22/calculation-1.1-REC-2023-02-22.html" TargetMode="External"/><Relationship Id="rId105" Type="http://schemas.openxmlformats.org/officeDocument/2006/relationships/hyperlink" Target="https://www.xbrl.org/Specification/calculation-1.1/REC-2023-02-22/calculation-1.1-REC-2023-02-22.html" TargetMode="External"/><Relationship Id="rId126" Type="http://schemas.openxmlformats.org/officeDocument/2006/relationships/hyperlink" Target="https://www.xbrl.org/Specification/oim/REC-2021-10-13/oim-REC-2021-10-13.html" TargetMode="External"/><Relationship Id="rId147" Type="http://schemas.openxmlformats.org/officeDocument/2006/relationships/image" Target="media/image17.png"/><Relationship Id="rId8" Type="http://schemas.openxmlformats.org/officeDocument/2006/relationships/hyperlink" Target="https://xbrl.us3.list-manage.com/track/click?u=fbbc983fbc59adb89ff279b5b&amp;id=06cfcd312f&amp;e=45983b0199" TargetMode="External"/><Relationship Id="rId51" Type="http://schemas.openxmlformats.org/officeDocument/2006/relationships/hyperlink" Target="https://www.xbrl.org/Specification/calculation-1.1/REC-2023-02-22/calculation-1.1-REC-2023-02-22.html" TargetMode="External"/><Relationship Id="rId72" Type="http://schemas.openxmlformats.org/officeDocument/2006/relationships/hyperlink" Target="https://www.xbrl.org/Specification/oim/REC-2021-10-13/oim-REC-2021-10-13.html" TargetMode="External"/><Relationship Id="rId93" Type="http://schemas.openxmlformats.org/officeDocument/2006/relationships/hyperlink" Target="https://www.xbrl.org/Specification/calculation-1.1/REC-2023-02-22/calculation-1.1-REC-2023-02-22.html" TargetMode="External"/><Relationship Id="rId98" Type="http://schemas.openxmlformats.org/officeDocument/2006/relationships/hyperlink" Target="https://www.xbrl.org/Specification/calculation-1.1/REC-2023-02-22/calculation-1.1-REC-2023-02-22.html" TargetMode="External"/><Relationship Id="rId121" Type="http://schemas.openxmlformats.org/officeDocument/2006/relationships/hyperlink" Target="https://www.xbrl.org/Specification/calculation-1.1/REC-2023-02-22/calculation-1.1-REC-2023-02-22.html" TargetMode="External"/><Relationship Id="rId142" Type="http://schemas.openxmlformats.org/officeDocument/2006/relationships/hyperlink" Target="https://www.xbrl.org/Specification/calculation-1.1/REC-2023-02-22/calculation-1.1-REC-2023-02-22.html" TargetMode="External"/><Relationship Id="rId3" Type="http://schemas.openxmlformats.org/officeDocument/2006/relationships/settings" Target="settings.xml"/><Relationship Id="rId25" Type="http://schemas.openxmlformats.org/officeDocument/2006/relationships/image" Target="media/image8.png"/><Relationship Id="rId46" Type="http://schemas.openxmlformats.org/officeDocument/2006/relationships/hyperlink" Target="https://www.xbrl.org/Specification/calculation-1.1/REC-2023-02-22/calculation-1.1-REC-2023-02-22.html" TargetMode="External"/><Relationship Id="rId67" Type="http://schemas.openxmlformats.org/officeDocument/2006/relationships/hyperlink" Target="https://www.xbrl.org/Specification/calculation-1.1/REC-2023-02-22/calculation-1.1-REC-2023-02-22.html" TargetMode="External"/><Relationship Id="rId116" Type="http://schemas.openxmlformats.org/officeDocument/2006/relationships/hyperlink" Target="https://www.xbrl.org/Specification/oim/REC-2021-10-13/oim-REC-2021-10-13.html" TargetMode="External"/><Relationship Id="rId137" Type="http://schemas.openxmlformats.org/officeDocument/2006/relationships/hyperlink" Target="https://www.xbrl.org/Specification/oim/REC-2021-10-13/oim-REC-2021-10-13.html" TargetMode="External"/><Relationship Id="rId20" Type="http://schemas.openxmlformats.org/officeDocument/2006/relationships/image" Target="media/image4.png"/><Relationship Id="rId41" Type="http://schemas.openxmlformats.org/officeDocument/2006/relationships/hyperlink" Target="https://www.xbrl.org/Specification/calculation-1.1/REC-2023-02-22/calculation-1.1-REC-2023-02-22.html" TargetMode="External"/><Relationship Id="rId62" Type="http://schemas.openxmlformats.org/officeDocument/2006/relationships/hyperlink" Target="https://www.xbrl.org/Specification/calculation-1.1/REC-2023-02-22/calculation-1.1-REC-2023-02-22.html" TargetMode="External"/><Relationship Id="rId83" Type="http://schemas.openxmlformats.org/officeDocument/2006/relationships/hyperlink" Target="https://www.xbrl.org/Specification/calculation-1.1/REC-2023-02-22/calculation-1.1-REC-2023-02-22.html" TargetMode="External"/><Relationship Id="rId88" Type="http://schemas.openxmlformats.org/officeDocument/2006/relationships/hyperlink" Target="https://www.xbrl.org/Specification/calculation-1.1/REC-2023-02-22/calculation-1.1-REC-2023-02-22.html" TargetMode="External"/><Relationship Id="rId111" Type="http://schemas.openxmlformats.org/officeDocument/2006/relationships/hyperlink" Target="https://www.xbrl.org/Specification/calculation-1.1/REC-2023-02-22/calculation-1.1-REC-2023-02-22.html" TargetMode="External"/><Relationship Id="rId132" Type="http://schemas.openxmlformats.org/officeDocument/2006/relationships/hyperlink" Target="https://www.xbrl.org/Specification/oim/REC-2021-10-13/oim-REC-2021-10-13.html" TargetMode="External"/><Relationship Id="rId153" Type="http://schemas.openxmlformats.org/officeDocument/2006/relationships/hyperlink" Target="https://www.xbrl.org/legal" TargetMode="External"/><Relationship Id="rId15" Type="http://schemas.openxmlformats.org/officeDocument/2006/relationships/hyperlink" Target="https://www.xbrl.org/esef-errors-and-common-pitfalls-8-rounding-and-calculations/" TargetMode="External"/><Relationship Id="rId36" Type="http://schemas.openxmlformats.org/officeDocument/2006/relationships/hyperlink" Target="http://www.xbrl.org/2003/arcrole/summation-itemohttps://xbrl.org/2023/arcrole/summation-item" TargetMode="External"/><Relationship Id="rId57" Type="http://schemas.openxmlformats.org/officeDocument/2006/relationships/hyperlink" Target="https://www.xbrl.org/Specification/XBRL-2.1/REC-2003-12-31/XBRL-2.1-REC-2003-12-31+corrected-errata-2013-02-20.html" TargetMode="External"/><Relationship Id="rId106" Type="http://schemas.openxmlformats.org/officeDocument/2006/relationships/hyperlink" Target="https://www.xbrl.org/Specification/oim/REC-2021-10-13/oim-REC-2021-10-13.html" TargetMode="External"/><Relationship Id="rId127" Type="http://schemas.openxmlformats.org/officeDocument/2006/relationships/hyperlink" Target="https://www.xbrl.org/Specification/oim/REC-2021-10-13/oim-REC-2021-10-13.html" TargetMode="External"/><Relationship Id="rId10" Type="http://schemas.openxmlformats.org/officeDocument/2006/relationships/hyperlink" Target="https://www.xbrl.org/tag/calc-1-1/" TargetMode="External"/><Relationship Id="rId31" Type="http://schemas.openxmlformats.org/officeDocument/2006/relationships/hyperlink" Target="https://www.xbrl.org/Specification/xbrl-xml/REC-2021-10-13/xbrl-xml-REC-2021-10-13.html" TargetMode="External"/><Relationship Id="rId52" Type="http://schemas.openxmlformats.org/officeDocument/2006/relationships/hyperlink" Target="https://www.xbrl.org/Specification/calculation-1.1/REC-2023-02-22/calculation-1.1-REC-2023-02-22.html" TargetMode="External"/><Relationship Id="rId73" Type="http://schemas.openxmlformats.org/officeDocument/2006/relationships/hyperlink" Target="https://www.xbrl.org/Specification/oim/REC-2021-10-13/oim-REC-2021-10-13.html" TargetMode="External"/><Relationship Id="rId78" Type="http://schemas.openxmlformats.org/officeDocument/2006/relationships/hyperlink" Target="https://www.xbrl.org/Specification/calculation-1.1/REC-2023-02-22/calculation-1.1-REC-2023-02-22.html" TargetMode="External"/><Relationship Id="rId94" Type="http://schemas.openxmlformats.org/officeDocument/2006/relationships/hyperlink" Target="https://www.xbrl.org/Specification/calculation-1.1/REC-2023-02-22/calculation-1.1-REC-2023-02-22.html" TargetMode="External"/><Relationship Id="rId99" Type="http://schemas.openxmlformats.org/officeDocument/2006/relationships/hyperlink" Target="https://www.xbrl.org/Specification/calculation-1.1/REC-2023-02-22/calculation-1.1-REC-2023-02-22.html" TargetMode="External"/><Relationship Id="rId101" Type="http://schemas.openxmlformats.org/officeDocument/2006/relationships/hyperlink" Target="https://www.xbrl.org/Specification/calculation-1.1/REC-2023-02-22/calculation-1.1-REC-2023-02-22.html" TargetMode="External"/><Relationship Id="rId122" Type="http://schemas.openxmlformats.org/officeDocument/2006/relationships/hyperlink" Target="https://www.xbrl.org/Specification/calculation-1.1/REC-2023-02-22/calculation-1.1-REC-2023-02-22.html" TargetMode="External"/><Relationship Id="rId143" Type="http://schemas.openxmlformats.org/officeDocument/2006/relationships/hyperlink" Target="https://www.xbrl.org/Specification/calculation-1.1/REC-2023-02-22/calculation-1.1-REC-2023-02-22.html" TargetMode="External"/><Relationship Id="rId148" Type="http://schemas.openxmlformats.org/officeDocument/2006/relationships/hyperlink" Target="https://www.xbrl.org/Specification/calculation-1.1/REC-2023-02-22/calculation-1.1-REC-2023-02-22.html" TargetMode="External"/><Relationship Id="rId4" Type="http://schemas.openxmlformats.org/officeDocument/2006/relationships/webSettings" Target="webSettings.xml"/><Relationship Id="rId9" Type="http://schemas.openxmlformats.org/officeDocument/2006/relationships/hyperlink" Target="https://www.xbrl.org/tag/spec/" TargetMode="External"/><Relationship Id="rId26" Type="http://schemas.openxmlformats.org/officeDocument/2006/relationships/hyperlink" Target="https://www.xbrl.org/Specification/oim/REC-2021-10-13/oim-REC-2021-10-13.html" TargetMode="External"/><Relationship Id="rId47" Type="http://schemas.openxmlformats.org/officeDocument/2006/relationships/hyperlink" Target="https://www.xbrl.org/Specification/calculation-1.1/REC-2023-02-22/calculation-1.1-REC-2023-02-22.html" TargetMode="External"/><Relationship Id="rId68" Type="http://schemas.openxmlformats.org/officeDocument/2006/relationships/hyperlink" Target="https://www.xbrl.org/Specification/calculation-1.1/REC-2023-02-22/calculation-1.1-REC-2023-02-22.html" TargetMode="External"/><Relationship Id="rId89" Type="http://schemas.openxmlformats.org/officeDocument/2006/relationships/hyperlink" Target="https://www.xbrl.org/Specification/calculation-1.1/REC-2023-02-22/calculation-1.1-REC-2023-02-22.html" TargetMode="External"/><Relationship Id="rId112" Type="http://schemas.openxmlformats.org/officeDocument/2006/relationships/hyperlink" Target="https://www.xbrl.org/Specification/calculation-1.1/REC-2023-02-22/calculation-1.1-REC-2023-02-22.html" TargetMode="External"/><Relationship Id="rId133" Type="http://schemas.openxmlformats.org/officeDocument/2006/relationships/hyperlink" Target="https://www.xbrl.org/Specification/oim/REC-2021-10-13/oim-REC-2021-10-13.html" TargetMode="External"/><Relationship Id="rId154" Type="http://schemas.openxmlformats.org/officeDocument/2006/relationships/hyperlink" Target="https://www.xbrl.org/legal" TargetMode="External"/><Relationship Id="rId16" Type="http://schemas.openxmlformats.org/officeDocument/2006/relationships/hyperlink" Target="https://filings.xbrl.org/" TargetMode="External"/><Relationship Id="rId37" Type="http://schemas.openxmlformats.org/officeDocument/2006/relationships/hyperlink" Target="http://www.xbrl.org/2003/arcrole/summation-item" TargetMode="External"/><Relationship Id="rId58" Type="http://schemas.openxmlformats.org/officeDocument/2006/relationships/hyperlink" Target="https://www.xbrl.org/Specification/calculation-1.1/REC-2023-02-22/calculation-1.1-REC-2023-02-22.html" TargetMode="External"/><Relationship Id="rId79" Type="http://schemas.openxmlformats.org/officeDocument/2006/relationships/hyperlink" Target="https://www.xbrl.org/Specification/calculation-1.1/REC-2023-02-22/calculation-1.1-REC-2023-02-22.html" TargetMode="External"/><Relationship Id="rId102" Type="http://schemas.openxmlformats.org/officeDocument/2006/relationships/hyperlink" Target="https://www.xbrl.org/Specification/calculation-1.1/REC-2023-02-22/calculation-1.1-REC-2023-02-22.html" TargetMode="External"/><Relationship Id="rId123" Type="http://schemas.openxmlformats.org/officeDocument/2006/relationships/hyperlink" Target="https://www.xbrl.org/Specification/calculation-1.1/REC-2023-02-22/calculation-1.1-REC-2023-02-22.html" TargetMode="External"/><Relationship Id="rId144" Type="http://schemas.openxmlformats.org/officeDocument/2006/relationships/image" Target="media/image14.png"/><Relationship Id="rId90" Type="http://schemas.openxmlformats.org/officeDocument/2006/relationships/hyperlink" Target="https://www.xbrl.org/Specification/oim/REC-2021-10-13/oim-REC-2021-10-13.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16</Pages>
  <Words>6468</Words>
  <Characters>35576</Characters>
  <Application>Microsoft Office Word</Application>
  <DocSecurity>0</DocSecurity>
  <Lines>296</Lines>
  <Paragraphs>83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 RANGEL MENDEZ</dc:creator>
  <cp:keywords/>
  <dc:description/>
  <cp:lastModifiedBy>RAUL RANGEL MENDEZ</cp:lastModifiedBy>
  <cp:revision>5</cp:revision>
  <dcterms:created xsi:type="dcterms:W3CDTF">2024-01-16T04:45:00Z</dcterms:created>
  <dcterms:modified xsi:type="dcterms:W3CDTF">2024-02-05T19:43:00Z</dcterms:modified>
</cp:coreProperties>
</file>