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34577" w14:textId="77777777" w:rsidR="00C272DF" w:rsidRPr="00954E30" w:rsidRDefault="00C272DF" w:rsidP="00FF2069">
      <w:pPr>
        <w:rPr>
          <w:rFonts w:ascii="Arial Nova Cond" w:hAnsi="Arial Nova Cond"/>
          <w:sz w:val="28"/>
          <w:szCs w:val="28"/>
        </w:rPr>
      </w:pPr>
      <w:r w:rsidRPr="00954E30">
        <w:rPr>
          <w:rFonts w:ascii="Arial Nova Cond" w:hAnsi="Arial Nova Cond"/>
          <w:sz w:val="28"/>
          <w:szCs w:val="28"/>
        </w:rPr>
        <w:t>La EBA aprovecha los datos digitales para la evaluación del riesgo bancario</w:t>
      </w:r>
    </w:p>
    <w:p w14:paraId="61C38117" w14:textId="550887B8" w:rsidR="00C272DF" w:rsidRPr="00C272DF" w:rsidRDefault="00C272DF" w:rsidP="00C272DF">
      <w:r w:rsidRPr="00C272DF">
        <w:rPr>
          <w:noProof/>
        </w:rPr>
        <w:drawing>
          <wp:inline distT="0" distB="0" distL="0" distR="0" wp14:anchorId="09B56F80" wp14:editId="44ED0C95">
            <wp:extent cx="5612130" cy="3746500"/>
            <wp:effectExtent l="0" t="0" r="762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6500"/>
                    </a:xfrm>
                    <a:prstGeom prst="rect">
                      <a:avLst/>
                    </a:prstGeom>
                    <a:noFill/>
                    <a:ln>
                      <a:noFill/>
                    </a:ln>
                  </pic:spPr>
                </pic:pic>
              </a:graphicData>
            </a:graphic>
          </wp:inline>
        </w:drawing>
      </w:r>
    </w:p>
    <w:p w14:paraId="3BEC777F" w14:textId="13BEC5F2" w:rsidR="00954E30" w:rsidRPr="00C272DF" w:rsidRDefault="00954E30" w:rsidP="00954E30">
      <w:r w:rsidRPr="00C272DF">
        <w:t>Publicado el 16 de diciembre de 2023 por</w:t>
      </w:r>
      <w:r w:rsidR="00AB2817">
        <w:t xml:space="preserve"> </w:t>
      </w:r>
      <w:hyperlink r:id="rId6" w:history="1">
        <w:r w:rsidRPr="00C272DF">
          <w:rPr>
            <w:rStyle w:val="Hipervnculo"/>
            <w:b/>
            <w:bCs/>
          </w:rPr>
          <w:t>Editor</w:t>
        </w:r>
      </w:hyperlink>
    </w:p>
    <w:p w14:paraId="243C39FB" w14:textId="77777777" w:rsidR="00C272DF" w:rsidRPr="00C272DF" w:rsidRDefault="00C272DF" w:rsidP="00CF4BCD">
      <w:pPr>
        <w:jc w:val="both"/>
      </w:pPr>
      <w:r w:rsidRPr="00C272DF">
        <w:t>La Autoridad Bancaria Europea (EBA) realizó recientemente su prueba de resistencia para 2023, proporcionando una evaluación integral de la resiliencia y las vulnerabilidades del sistema bancario europeo. En particular, los datos que sustentan esta evaluación provienen de datos regulatorios digitales, lo que demuestra la utilidad de la tecnología digital en la supervisión.</w:t>
      </w:r>
    </w:p>
    <w:p w14:paraId="358917DE" w14:textId="77777777" w:rsidR="00C272DF" w:rsidRPr="00C272DF" w:rsidRDefault="00C272DF" w:rsidP="00CF4BCD">
      <w:pPr>
        <w:jc w:val="both"/>
      </w:pPr>
      <w:r w:rsidRPr="00C272DF">
        <w:t>La prueba de resistencia revela un panorama mixto moldeado por la incertidumbre macroeconómica, que enfatiza los riesgos operativos, incluidas las tensiones geopolíticas y las vulnerabilidades de la digitalización. Si bien los bancos demostraron resiliencia tras la agitación bancaria de marzo pasado, las elevadas tasas de interés plantean un desafío al afectar los préstamos. El informe también describe la creciente preocupación por los riesgos climáticos y ESG, que están influyendo en el enfoque y los esfuerzos de sostenibilidad de los bancos. A pesar de los desafíos, los signos de deterioro de la calidad de los activos son limitados, con el índice de morosidad en un mínimo histórico del 1,8%.</w:t>
      </w:r>
    </w:p>
    <w:p w14:paraId="676576A3" w14:textId="193F85EB" w:rsidR="00C272DF" w:rsidRPr="00C272DF" w:rsidRDefault="00C272DF" w:rsidP="00CF4BCD">
      <w:pPr>
        <w:jc w:val="both"/>
      </w:pPr>
      <w:r w:rsidRPr="00C272DF">
        <w:t>El informe de evaluación de riesgos va acompañado del ejercicio de transparencia de la ABE en toda la UE, que ofrece información detallada a través de un conjunto de datos que comprende más de 1,3 millones de puntos de datos comparables y accesibles. La utilización de datos regulatorios digitales por parte de la EBA demuestra la eficiencia de la recopilación y el análisis de datos digitales. A medida que las instituciones financieras sigan adoptando la digitalización, la integración de estos conocimientos basados en datos seguirá apuntalando un ecosistema bancario más resiliente.</w:t>
      </w:r>
    </w:p>
    <w:p w14:paraId="3A8546FF" w14:textId="13BDB685" w:rsidR="00C272DF" w:rsidRPr="00C272DF" w:rsidRDefault="00C272DF" w:rsidP="00C272DF">
      <w:r w:rsidRPr="00C272DF">
        <w:lastRenderedPageBreak/>
        <w:t>Para comprender mejor los resultados de las pruebas de resistencia, explore el</w:t>
      </w:r>
      <w:r w:rsidR="00AB2817">
        <w:t xml:space="preserve"> </w:t>
      </w:r>
      <w:hyperlink r:id="rId7" w:tgtFrame="_blank" w:history="1">
        <w:r w:rsidRPr="00C272DF">
          <w:rPr>
            <w:rStyle w:val="Hipervnculo"/>
          </w:rPr>
          <w:t>informe</w:t>
        </w:r>
      </w:hyperlink>
      <w:r w:rsidRPr="00C272DF">
        <w:t>.</w:t>
      </w:r>
    </w:p>
    <w:p w14:paraId="2601812D" w14:textId="2E6E9DF5" w:rsidR="00C272DF" w:rsidRPr="00C272DF" w:rsidRDefault="00FF2069" w:rsidP="00C272DF">
      <w:hyperlink r:id="rId8" w:history="1">
        <w:r w:rsidR="00C272DF" w:rsidRPr="00C272DF">
          <w:rPr>
            <w:rStyle w:val="Hipervnculo"/>
          </w:rPr>
          <w:t>BANCA</w:t>
        </w:r>
      </w:hyperlink>
      <w:r w:rsidR="00AB2817">
        <w:rPr>
          <w:rStyle w:val="Hipervnculo"/>
        </w:rPr>
        <w:t xml:space="preserve"> </w:t>
      </w:r>
      <w:hyperlink r:id="rId9" w:history="1">
        <w:r w:rsidR="00C272DF" w:rsidRPr="00C272DF">
          <w:rPr>
            <w:rStyle w:val="Hipervnculo"/>
          </w:rPr>
          <w:t>EBA</w:t>
        </w:r>
      </w:hyperlink>
      <w:r w:rsidR="00AB2817">
        <w:rPr>
          <w:rStyle w:val="Hipervnculo"/>
        </w:rPr>
        <w:t xml:space="preserve"> </w:t>
      </w:r>
      <w:hyperlink r:id="rId10" w:history="1">
        <w:r w:rsidR="00C272DF" w:rsidRPr="00C272DF">
          <w:rPr>
            <w:rStyle w:val="Hipervnculo"/>
          </w:rPr>
          <w:t>RIESGO</w:t>
        </w:r>
      </w:hyperlink>
    </w:p>
    <w:p w14:paraId="22C55B57" w14:textId="7A5AE9A0" w:rsidR="00C272DF" w:rsidRPr="00C272DF" w:rsidRDefault="00C272DF" w:rsidP="00C272DF"/>
    <w:p w14:paraId="680DA71C" w14:textId="10EF32D6" w:rsidR="00130F81" w:rsidRDefault="00130F81"/>
    <w:p w14:paraId="7C93C9A8" w14:textId="4CAC3F92" w:rsidR="00C272DF" w:rsidRDefault="00C272DF"/>
    <w:p w14:paraId="070FA287" w14:textId="7DDACA63" w:rsidR="00C272DF" w:rsidRDefault="00C272DF"/>
    <w:p w14:paraId="4D9344C1" w14:textId="25C185A5" w:rsidR="00C272DF" w:rsidRDefault="00C272DF"/>
    <w:p w14:paraId="0C30C324" w14:textId="75797336" w:rsidR="00C272DF" w:rsidRDefault="00C272DF">
      <w:r w:rsidRPr="00C272DF">
        <w:rPr>
          <w:noProof/>
        </w:rPr>
        <w:drawing>
          <wp:inline distT="0" distB="0" distL="0" distR="0" wp14:anchorId="4F45CB30" wp14:editId="22F59BAC">
            <wp:extent cx="5612130" cy="10928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092835"/>
                    </a:xfrm>
                    <a:prstGeom prst="rect">
                      <a:avLst/>
                    </a:prstGeom>
                  </pic:spPr>
                </pic:pic>
              </a:graphicData>
            </a:graphic>
          </wp:inline>
        </w:drawing>
      </w:r>
    </w:p>
    <w:p w14:paraId="489E44FA" w14:textId="77777777" w:rsidR="00C272DF" w:rsidRPr="00FF2069" w:rsidRDefault="00C272DF" w:rsidP="00C272DF">
      <w:pPr>
        <w:jc w:val="both"/>
        <w:rPr>
          <w:rFonts w:ascii="Arial Nova Cond" w:hAnsi="Arial Nova Cond"/>
        </w:rPr>
      </w:pPr>
      <w:r w:rsidRPr="00FF2069">
        <w:rPr>
          <w:rFonts w:ascii="Arial Nova Cond" w:hAnsi="Arial Nova Cond"/>
        </w:rPr>
        <w:t>El sector bancario de la UE sigue siendo resiliente a pesar de los focos de riesgo derivados del cambio de los tipos de interés</w:t>
      </w:r>
    </w:p>
    <w:p w14:paraId="7AC8F479" w14:textId="77777777" w:rsidR="00C272DF" w:rsidRPr="00C272DF" w:rsidRDefault="00C272DF" w:rsidP="00C272DF">
      <w:pPr>
        <w:jc w:val="both"/>
      </w:pPr>
      <w:r w:rsidRPr="00C272DF">
        <w:t>La Autoridad Bancaria Europea (EBA) ha publicado hoy su evaluación anual de riesgos del sistema bancario europeo. El Informe va acompañado de la publicación del ejercicio de transparencia en toda la UE de 2023, que proporciona información detallada, en un formato comparable y accesible, para 123 bancos de 26 países de la Unión Europea (UE) y el Espacio Económico Europeo (EEE).</w:t>
      </w:r>
    </w:p>
    <w:p w14:paraId="61C7A255" w14:textId="77777777" w:rsidR="00C272DF" w:rsidRPr="00FF2069" w:rsidRDefault="00C272DF" w:rsidP="00C272DF">
      <w:pPr>
        <w:numPr>
          <w:ilvl w:val="0"/>
          <w:numId w:val="1"/>
        </w:numPr>
        <w:jc w:val="both"/>
        <w:rPr>
          <w:rFonts w:ascii="Arial Nova Cond" w:hAnsi="Arial Nova Cond"/>
        </w:rPr>
      </w:pPr>
      <w:r w:rsidRPr="00FF2069">
        <w:rPr>
          <w:rFonts w:ascii="Arial Nova Cond" w:hAnsi="Arial Nova Cond"/>
        </w:rPr>
        <w:t>12 de diciembre de 2023</w:t>
      </w:r>
    </w:p>
    <w:p w14:paraId="42AB6ED8" w14:textId="77777777" w:rsidR="00C272DF" w:rsidRPr="00FF2069" w:rsidRDefault="00C272DF" w:rsidP="00C272DF">
      <w:pPr>
        <w:jc w:val="both"/>
        <w:rPr>
          <w:rFonts w:ascii="Arial Nova Cond" w:hAnsi="Arial Nova Cond"/>
        </w:rPr>
      </w:pPr>
      <w:r w:rsidRPr="00FF2069">
        <w:rPr>
          <w:rFonts w:ascii="Arial Nova Cond" w:hAnsi="Arial Nova Cond"/>
        </w:rPr>
        <w:t>La Autoridad Bancaria Europea (EBA) ha publicado hoy su evaluación anual de riesgos del sistema bancario europeo. El Informe va acompañado de la publicación del ejercicio de transparencia en toda la UE de 2023, que proporciona información detallada, en un formato comparable y accesible, para 123 bancos de 26 países de la Unión Europea (UE) y el Espacio Económico Europeo (EEE).</w:t>
      </w:r>
    </w:p>
    <w:p w14:paraId="45C837C0" w14:textId="77777777" w:rsidR="00C272DF" w:rsidRPr="00C272DF" w:rsidRDefault="00C272DF" w:rsidP="00C272DF">
      <w:pPr>
        <w:jc w:val="both"/>
      </w:pPr>
      <w:r w:rsidRPr="00C272DF">
        <w:t>Aspectos destacados de la evaluación de riesgos de la ABE:</w:t>
      </w:r>
    </w:p>
    <w:p w14:paraId="2D0F8E14" w14:textId="77777777" w:rsidR="00C272DF" w:rsidRPr="00C272DF" w:rsidRDefault="00C272DF" w:rsidP="00C272DF">
      <w:pPr>
        <w:numPr>
          <w:ilvl w:val="0"/>
          <w:numId w:val="2"/>
        </w:numPr>
        <w:jc w:val="both"/>
      </w:pPr>
      <w:r w:rsidRPr="00C272DF">
        <w:t>El sector bancario de la UE ha demostrado ser resistente tras la agitación bancaria de marzo.</w:t>
      </w:r>
    </w:p>
    <w:p w14:paraId="48CA5A20" w14:textId="0B15A7B9" w:rsidR="00C272DF" w:rsidRPr="00C272DF" w:rsidRDefault="00C272DF" w:rsidP="00C272DF">
      <w:pPr>
        <w:numPr>
          <w:ilvl w:val="0"/>
          <w:numId w:val="2"/>
        </w:numPr>
        <w:jc w:val="both"/>
      </w:pPr>
      <w:r w:rsidRPr="00C272DF">
        <w:t>La capitalización sigue siendo alta, con un</w:t>
      </w:r>
      <w:r w:rsidR="00954E30">
        <w:t>a</w:t>
      </w:r>
      <w:r w:rsidRPr="00C272DF">
        <w:t xml:space="preserve"> ratio promedio de capital ordinario de nivel 1 (CET1) en su punto más alto reportado (16%). La rentabilidad subyacente ha respaldado los pagos de los bancos.</w:t>
      </w:r>
    </w:p>
    <w:p w14:paraId="15F054B2" w14:textId="77777777" w:rsidR="00C272DF" w:rsidRPr="00C272DF" w:rsidRDefault="00C272DF" w:rsidP="00C272DF">
      <w:pPr>
        <w:numPr>
          <w:ilvl w:val="0"/>
          <w:numId w:val="2"/>
        </w:numPr>
        <w:jc w:val="both"/>
      </w:pPr>
      <w:r w:rsidRPr="00C272DF">
        <w:t>Los elevados niveles de las tasas de interés hasta ahora han respaldado la ampliación de los márgenes de interés, pero esto podría haber llegado a su punto de inflexión.</w:t>
      </w:r>
    </w:p>
    <w:p w14:paraId="3FEDE6B0" w14:textId="77777777" w:rsidR="00C272DF" w:rsidRPr="00C272DF" w:rsidRDefault="00C272DF" w:rsidP="00C272DF">
      <w:pPr>
        <w:numPr>
          <w:ilvl w:val="0"/>
          <w:numId w:val="2"/>
        </w:numPr>
        <w:jc w:val="both"/>
      </w:pPr>
      <w:r w:rsidRPr="00C272DF">
        <w:t>La calidad de los activos sigue siendo sólida, pero el crecimiento económico moderado y los niveles elevados de las tasas de interés crean focos de riesgos.</w:t>
      </w:r>
    </w:p>
    <w:p w14:paraId="24B7C65B" w14:textId="77777777" w:rsidR="00C272DF" w:rsidRPr="00C272DF" w:rsidRDefault="00C272DF" w:rsidP="00C272DF">
      <w:pPr>
        <w:numPr>
          <w:ilvl w:val="0"/>
          <w:numId w:val="2"/>
        </w:numPr>
        <w:jc w:val="both"/>
      </w:pPr>
      <w:r w:rsidRPr="00C272DF">
        <w:lastRenderedPageBreak/>
        <w:t>La liquidez sigue siendo alta, pero comenzó a normalizarse desde sus niveles más altos durante la pandemia.</w:t>
      </w:r>
    </w:p>
    <w:p w14:paraId="3941516C" w14:textId="77777777" w:rsidR="00C272DF" w:rsidRPr="00C272DF" w:rsidRDefault="00C272DF" w:rsidP="00C272DF">
      <w:pPr>
        <w:numPr>
          <w:ilvl w:val="0"/>
          <w:numId w:val="2"/>
        </w:numPr>
        <w:jc w:val="both"/>
      </w:pPr>
      <w:r w:rsidRPr="00C272DF">
        <w:t>Los costos de financiación del mercado han aumentado en consonancia con las tasas de interés, pero las tasas de los depósitos se han mantenido comparativamente bajas, pero podrían aumentar en el futuro.</w:t>
      </w:r>
    </w:p>
    <w:p w14:paraId="2549EF8D" w14:textId="77777777" w:rsidR="00C272DF" w:rsidRDefault="00C272DF" w:rsidP="00C272DF">
      <w:r>
        <w:t>Notas para los editores</w:t>
      </w:r>
    </w:p>
    <w:p w14:paraId="2AB9A092" w14:textId="11F101D3" w:rsidR="00C272DF" w:rsidRDefault="00C272DF" w:rsidP="00C272DF">
      <w:pPr>
        <w:jc w:val="both"/>
      </w:pPr>
      <w:r>
        <w:t>El ejercicio de transparencia es parte de los esfuerzos continuos de la EBA para fomentar la transparencia y la disciplina de mercado en el mercado financiero de la UE y complementa las iniciativas de los bancos. propia información sobre el Pilar 3, según lo establecido en la Directiva de Requisitos de Capital (CRD) de la UE. Junto con el conjunto de datos (más de 1,2 millones de puntos de datos, con un promedio de más de 10.000 puntos de datos por banco), la EBA también proporciona una amplia gama de herramientas interactivas que permiten a los usuarios comparar y visualizar datos a lo largo del tiempo y sobre un país y un banco. -a nivel bancario.</w:t>
      </w:r>
    </w:p>
    <w:p w14:paraId="30D81D00" w14:textId="2E51C4A0" w:rsidR="00C272DF" w:rsidRDefault="00C272DF" w:rsidP="00C272DF">
      <w:pPr>
        <w:jc w:val="both"/>
      </w:pPr>
      <w:r>
        <w:t>Los resultados del ejercicio se basan en los datos de supervisión presentados a la ABE a través de la plataforma de la Infraestructura Centralizada Europea de Datos (EUCLID). Esta plataforma ha sido desarrollada por la EBA para recopilar y analizar datos regulatorios de una amplia gama de instituciones financieras. Abarca datos de supervisión, resolución, remuneraciones y pagos. Gracias a EUCLID, el público podrá obtener un acceso más amplio a los datos bancarios y financieros de la UE.</w:t>
      </w:r>
    </w:p>
    <w:p w14:paraId="3DF131C2" w14:textId="690EC12E" w:rsidR="00C272DF" w:rsidRDefault="00C272DF"/>
    <w:p w14:paraId="7615FC84" w14:textId="448548FE" w:rsidR="00C272DF" w:rsidRDefault="00C272DF"/>
    <w:p w14:paraId="484E079F" w14:textId="7487464F" w:rsidR="00C272DF" w:rsidRDefault="00C272DF"/>
    <w:p w14:paraId="04A145F4" w14:textId="3A0561DB" w:rsidR="00C272DF" w:rsidRDefault="00C272DF"/>
    <w:p w14:paraId="036A5F63" w14:textId="49D7AFBA" w:rsidR="00954E30" w:rsidRDefault="00954E30"/>
    <w:p w14:paraId="727D4BBB" w14:textId="4BCF4AFB" w:rsidR="00AB2817" w:rsidRDefault="00AB2817"/>
    <w:p w14:paraId="6A7C575F" w14:textId="3F30CFB2" w:rsidR="00AB2817" w:rsidRDefault="00AB2817"/>
    <w:p w14:paraId="4E9CC6FD" w14:textId="35015420" w:rsidR="00AB2817" w:rsidRDefault="00AB2817"/>
    <w:p w14:paraId="0F051B9B" w14:textId="5200C3D4" w:rsidR="00AB2817" w:rsidRDefault="00AB2817"/>
    <w:p w14:paraId="0265708A" w14:textId="089B0D6B" w:rsidR="00AB2817" w:rsidRDefault="00AB2817"/>
    <w:p w14:paraId="3F5E6697" w14:textId="2392797A" w:rsidR="00AB2817" w:rsidRDefault="00AB2817"/>
    <w:p w14:paraId="454B0494" w14:textId="69FB71A3" w:rsidR="00AB2817" w:rsidRDefault="00AB2817"/>
    <w:p w14:paraId="6E436C2E" w14:textId="2B9A051E" w:rsidR="00AB2817" w:rsidRDefault="00AB2817"/>
    <w:p w14:paraId="4EC312A9" w14:textId="2CAFB12A" w:rsidR="00AB2817" w:rsidRDefault="00AB2817"/>
    <w:p w14:paraId="6B2C74F1" w14:textId="461D67F4" w:rsidR="00AB2817" w:rsidRDefault="00AB2817"/>
    <w:p w14:paraId="7129C2E5" w14:textId="77777777" w:rsidR="00FF2069" w:rsidRDefault="00FF2069"/>
    <w:p w14:paraId="579F223C" w14:textId="3824A05B" w:rsidR="00954E30" w:rsidRPr="00AB2817" w:rsidRDefault="00954E30" w:rsidP="00AB2817">
      <w:pPr>
        <w:jc w:val="both"/>
        <w:rPr>
          <w:rFonts w:ascii="Arial Nova Cond" w:hAnsi="Arial Nova Cond"/>
          <w:sz w:val="24"/>
          <w:szCs w:val="24"/>
        </w:rPr>
      </w:pPr>
      <w:r w:rsidRPr="00AB2817">
        <w:rPr>
          <w:rFonts w:ascii="Arial Nova Cond" w:hAnsi="Arial Nova Cond"/>
          <w:sz w:val="24"/>
          <w:szCs w:val="24"/>
          <w:lang w:val="es"/>
        </w:rPr>
        <w:lastRenderedPageBreak/>
        <w:t>INFORME DE EVALUACIÓN DE RIESGOS DE LA AUTORIDAD BANCARIA EUROPEA</w:t>
      </w:r>
    </w:p>
    <w:p w14:paraId="0EF12D85" w14:textId="77777777" w:rsidR="00954E30" w:rsidRPr="00AB2817" w:rsidRDefault="00954E30" w:rsidP="00AB2817">
      <w:pPr>
        <w:jc w:val="both"/>
        <w:rPr>
          <w:rFonts w:ascii="Arial Nova Cond" w:hAnsi="Arial Nova Cond"/>
          <w:sz w:val="28"/>
          <w:szCs w:val="28"/>
        </w:rPr>
      </w:pPr>
      <w:r w:rsidRPr="00AB2817">
        <w:rPr>
          <w:rFonts w:ascii="Arial Nova Cond" w:hAnsi="Arial Nova Cond"/>
          <w:sz w:val="28"/>
          <w:szCs w:val="28"/>
          <w:lang w:val="es"/>
        </w:rPr>
        <w:t>Resumen ejecutivo</w:t>
      </w:r>
    </w:p>
    <w:p w14:paraId="556BF300" w14:textId="77777777" w:rsidR="00954E30" w:rsidRPr="00954E30" w:rsidRDefault="00954E30" w:rsidP="004A3ED0">
      <w:pPr>
        <w:jc w:val="both"/>
      </w:pPr>
      <w:r w:rsidRPr="00954E30">
        <w:rPr>
          <w:lang w:val="es"/>
        </w:rPr>
        <w:t>La incertidumbre macroeconómica sigue siendo elevada. El crecimiento económico en la Unión Europea y en el Espacio Económico Europeo (UE/EEE) se ha estancado en 2023 y las perspectivas siguen siendo inciertas. Las presiones inflacionistas han demostrado ser persistentes a pesar de la bajada de los precios de la energía. Se espera que la inflación se mantenga por encima de los objetivos de los bancos centrales durante los próximos trimestres. Los riesgos geopolíticos han aumentado aún más en medio de la guerra en Ucrania y la crisis de Oriente Próximo, pero también de las tensiones, por ejemplo, en el Cáucaso y entre China y Taiwán. Las tensiones comerciales entre Estados Unidos, Europa y China se suman a la incertidumbre general.</w:t>
      </w:r>
    </w:p>
    <w:p w14:paraId="035AE285" w14:textId="77777777" w:rsidR="00954E30" w:rsidRPr="00954E30" w:rsidRDefault="00954E30" w:rsidP="00F35826">
      <w:pPr>
        <w:jc w:val="both"/>
      </w:pPr>
      <w:r w:rsidRPr="00954E30">
        <w:rPr>
          <w:lang w:val="es"/>
        </w:rPr>
        <w:t>Los riesgos ESG relacionados con el clima y los riesgos ESG más amplios están cada vez más en el punto de mira de los bancos. Las entidades no solo asumen el riesgo de un posible deterioro de la calidad de sus activos debido a la aparición de fenómenos de riesgo físico relacionados con el clima, sino que también están sujetas a riesgos de transición a través de sus actividades de préstamo e inversión, en particular los bancos con exposiciones a sectores que contribuyen en gran medida al cambio climático. Los factores ESG son posibles desencadenantes de riesgos financieros para los balances de los bancos, pero también una fuente de riesgo reputacional. Al mismo tiempo, la integración de las consideraciones ESG en las actividades de financiación y préstamo de los bancos está aumentando. Los bancos consideran que es una prioridad clave en el futuro ofrecer préstamos sostenibles a un amplio espectro de clientes, incluido el comercio minorista, a pesar de los obstáculos identificados por los bancos, como la falta de datos, la transparencia y la incertidumbre regulatoria.</w:t>
      </w:r>
    </w:p>
    <w:p w14:paraId="50B0B679" w14:textId="77777777" w:rsidR="00954E30" w:rsidRPr="00954E30" w:rsidRDefault="00954E30" w:rsidP="00F35826">
      <w:pPr>
        <w:jc w:val="both"/>
      </w:pPr>
      <w:r w:rsidRPr="00954E30">
        <w:rPr>
          <w:lang w:val="es"/>
        </w:rPr>
        <w:t>El impacto de la subida de los tipos de interés derivada del endurecimiento de la política monetaria sigue afectando a las economías de todo el mundo. Este impacto aún no se ha materializado plenamente, pero hasta ahora ha contribuido a la desaceleración de los mercados inmobiliarios residenciales (RRE), entre otras cosas, debido al aumento del coste de las hipotecas. El mercado inmobiliario comercial (CRE) también se ve desafiado por factores estructurales. Las turbulencias en los mercados financieros, como las de los bancos regionales de los Estados Unidos (EE.UU.) provocadas por las pérdidas sufridas en la cartera mantenida hasta el vencimiento (HTM) de los bancos estadounidenses, o en el sector de los seguros del Reino Unido, se debieron en gran medida al cambio brusco en el entorno de los tipos de interés.</w:t>
      </w:r>
    </w:p>
    <w:p w14:paraId="7C2DB9E6" w14:textId="77777777" w:rsidR="00954E30" w:rsidRPr="00954E30" w:rsidRDefault="00954E30" w:rsidP="0054292A">
      <w:pPr>
        <w:jc w:val="both"/>
      </w:pPr>
      <w:r w:rsidRPr="00954E30">
        <w:rPr>
          <w:lang w:val="es"/>
        </w:rPr>
        <w:t xml:space="preserve">Los beneficios de los bancos se benefician de tasas de interés más altas. El endurecimiento de la política monetaria ayudó a las entidades de crédito a aumentar sus ingresos netos por intereses gracias al aumento de los márgenes netos de intereses. La rentabilidad de los activos (RoA) y la rentabilidad de los fondos propios (RoE) de los bancos de la UE/EEE se situaron en sus niveles más altos desde la crisis financiera mundial, alcanzando el 0,7 % y el 11 %, respectivamente. Aunque esta recuperación ha sido generalizada, algunos bancos se han beneficiado más que otros en función de su modelo de negocio o de su estructura de activos y pasivos. La rentabilidad podría ralentizarse en medio de la baja demanda de préstamos y el crecimiento moderado de los activos, y a medida que la financiación se encarezca, lo que afectaría negativamente a los NIT. También se prevé que los </w:t>
      </w:r>
      <w:r w:rsidRPr="00954E30">
        <w:rPr>
          <w:lang w:val="es"/>
        </w:rPr>
        <w:lastRenderedPageBreak/>
        <w:t>altos gastos administrativos aumenten en medio de la presión sobre los salarios, y los deterioros podrían aumentar.</w:t>
      </w:r>
    </w:p>
    <w:p w14:paraId="48BBD5FF" w14:textId="77777777" w:rsidR="00954E30" w:rsidRPr="00954E30" w:rsidRDefault="00954E30" w:rsidP="00414FBA">
      <w:pPr>
        <w:jc w:val="both"/>
      </w:pPr>
      <w:r w:rsidRPr="00954E30">
        <w:rPr>
          <w:lang w:val="es"/>
        </w:rPr>
        <w:t>El crecimiento de los préstamos se desaceleró, ya que la demanda se vio afectada negativamente por el aumento de las tasas de interés. Al mismo tiempo, la incertidumbre macroeconómica afectó al apetito de riesgo de los bancos. Como resultado, los bancos han ralentizado notablemente su negocio de préstamos. Este efecto fue más pronunciado en los préstamos hipotecarios, ya que la demanda de compra de viviendas disminuyó y los bancos endurecieron sus estándares crediticios. Un número cada vez mayor de bancos parece reacio a aumentar los CRE y otros préstamos corporativos en el futuro. La desaceleración de los préstamos podría crear un bucle de retroalimentación negativa sobre la dinámica del crecimiento económico.</w:t>
      </w:r>
    </w:p>
    <w:p w14:paraId="690D76F1" w14:textId="77777777" w:rsidR="00954E30" w:rsidRPr="00954E30" w:rsidRDefault="00954E30" w:rsidP="00414FBA">
      <w:pPr>
        <w:jc w:val="both"/>
      </w:pPr>
      <w:r w:rsidRPr="00954E30">
        <w:rPr>
          <w:lang w:val="es"/>
        </w:rPr>
        <w:t>Los signos de deterioro de la calidad de los activos son limitados. A pesar del deterioro de los parámetros macroeconómicos durante el último año, la calidad de los activos de los bancos se ha mantenido relativamente estable. La tasa de morosidad se situó en junio de 2023 en su mínimo histórico del 1,8%. Sin embargo, durante el primer semestre de este año las entradas de préstamos dudosos fueron superiores a las salidas, y los bancos siguieron notificando una proporción relativamente elevada de sus préstamos en la fase 2 (9,1% de los préstamos). El impacto es más evidente en el caso de los préstamos a los hogares, incluidos los préstamos hipotecarios. Las preocupaciones en torno a los mercados inmobiliarios también se manifiestan en el aumento de las provisiones de los bancos frente a exposiciones inmobiliarias. La pandemia ha provocado un deterioro de la calidad de los activos de sus sectores más afectados, mientras que, por ejemplo, los sectores de gran consumo energético sufrieron el aumento de los costes de la energía tras el estallido de la guerra rusa. La presencia global del sector bancario de la UE lo hace vulnerable a los riesgos geopolíticos, así como a la evolución idiosincrásica de determinados mercados, como la exposición a los bienes inmuebles comerciales de EE. UU. Las vulnerabilidades de los bancos también pueden surgir a través de sus exposiciones soberanas, en particular debido a la caída de las valoraciones de los títulos de deuda, o a la preocupación por la sostenibilidad de la deuda de los países soberanos sobreendeudados.</w:t>
      </w:r>
    </w:p>
    <w:p w14:paraId="54C32F25" w14:textId="77777777" w:rsidR="00954E30" w:rsidRPr="00954E30" w:rsidRDefault="00954E30" w:rsidP="00983C43">
      <w:pPr>
        <w:jc w:val="both"/>
      </w:pPr>
      <w:r w:rsidRPr="00954E30">
        <w:rPr>
          <w:lang w:val="es"/>
        </w:rPr>
        <w:t>Los bancos han aumentado su dependencia de la financiación basada en el mercado. La emisión general de financiación basada en el mercado ha aumentado, al igual que los costes generales de financiación del mercado. De cara al futuro, el aumento de los costes de financiación basados en el mercado aumenta la presión para captar más depósitos, lo que puede obligar a los bancos a aumentar la remuneración de los depósitos, que hasta ahora ha estado bastante aislada de la subida de los tipos de interés de los bancos centrales (bajas «betas de depósitos»). También podría retar a algunos bancos a cumplir o refinanciar los requisitos mínimos de fondos propios y pasivos admisibles (MREL). Sobre esto último, la EBA estima que de los 236 grupos de resolución incluidos en su seguimiento del MREL, 57 bancos, que representan el 13% de la muestra en términos de activos totales, aún no han alcanzado sus objetivos de MREL a partir del 1T 2023. A pesar de que el déficit parece marginal, del 0,4% de los activos ponderados por riesgo (APR) del total de la muestra, en algunos países se sitúa entre el 4% y el 8%.</w:t>
      </w:r>
    </w:p>
    <w:p w14:paraId="5ED2A950" w14:textId="492492FC" w:rsidR="00954E30" w:rsidRPr="00954E30" w:rsidRDefault="00954E30" w:rsidP="00F36770">
      <w:pPr>
        <w:jc w:val="both"/>
      </w:pPr>
      <w:r w:rsidRPr="00954E30">
        <w:rPr>
          <w:lang w:val="es"/>
        </w:rPr>
        <w:t xml:space="preserve">Hasta ahora, dos tercios de los bancos han emitido bonos ESG. El volumen de emisión de bonos verdes y sostenibles aumentó en los primeros nueve meses de este año en comparación con los primeros nueve meses de 2022, lo que se atribuyó principalmente al fuerte aumento de los bonos </w:t>
      </w:r>
      <w:r w:rsidRPr="00954E30">
        <w:rPr>
          <w:lang w:val="es"/>
        </w:rPr>
        <w:lastRenderedPageBreak/>
        <w:t>verdes seniors no preferentes (SNP) y de los bonos emitidos por sociedades holding (HoldCos). Sin embargo, la relación entre los bonos verdes y el volumen total de emisión de deuda bancaria disminuyó en 2023, ya que el volumen total de emisión de instrumentos bancarios creció más rápido que el volumen de emisión de bonos verdes.</w:t>
      </w:r>
    </w:p>
    <w:p w14:paraId="52B6433E" w14:textId="77777777" w:rsidR="00954E30" w:rsidRPr="00954E30" w:rsidRDefault="00954E30" w:rsidP="00F36770">
      <w:pPr>
        <w:jc w:val="both"/>
      </w:pPr>
      <w:r w:rsidRPr="00954E30">
        <w:rPr>
          <w:lang w:val="es"/>
        </w:rPr>
        <w:t>La liquidez sigue siendo elevada, aunque con una tendencia decreciente. La ratio de cobertura de liquidez (LCR) del 160,9% se mantiene en niveles sólidos, pero ha comenzado a normalizarse desde los puntos más altos informados anteriormente. La caída del LCR se debió principalmente a una disminución de los activos líquidos de los bancos. Esto fue impulsado por una disminución en el efectivo y las reservas, que siguen siendo la parte más importante de los activos líquidos, con una participación del 60%. La proporción de activos públicos y valores de nivel 1 aumentó al 21 por ciento y al 11 por ciento de los activos líquidos totales, respectivamente. Los cambios en la composición de los activos líquidos se debieron en gran medida al endurecimiento cuantitativo (QT) de los bancos centrales y a la operación de financiación a largo plazo con objetivo específico 3 (TLTRO-3) del Banco Central Europeo (BCE).</w:t>
      </w:r>
    </w:p>
    <w:p w14:paraId="41D5FA8B" w14:textId="4D0B9E3D" w:rsidR="00954E30" w:rsidRPr="00954E30" w:rsidRDefault="00954E30" w:rsidP="00275935">
      <w:pPr>
        <w:jc w:val="both"/>
      </w:pPr>
      <w:r w:rsidRPr="00954E30">
        <w:rPr>
          <w:lang w:val="es"/>
        </w:rPr>
        <w:t xml:space="preserve">Los niveles de capital bancario alcanzan nuevos máximos. Las ratios de capital del sector bancario de la UE alcanzaron nuevos máximos históricos en junio de 2023, ya que los bancos registraron una ratio CET1 media del 16,0%. El margen de maniobra de los bancos por encima de los requisitos se mantuvo en niveles cómodos. </w:t>
      </w:r>
      <w:r>
        <w:rPr>
          <w:lang w:val="es"/>
        </w:rPr>
        <w:t>La</w:t>
      </w:r>
      <w:r w:rsidRPr="00954E30">
        <w:rPr>
          <w:lang w:val="es"/>
        </w:rPr>
        <w:t xml:space="preserve"> ratio de apalancamiento también ha aumentado en torno a 40 puntos básicos y se ha situado en el 5,7%. Las ganancias retenidas impulsaron el capital de los bancos, mientras que el estancamiento de los volúmenes de préstamos y el menor riesgo de mercado impidieron que los APR aumentaran. Los pagos de dividendos y las recompras de acciones alcanzaron niveles récord en 2022, y los bancos de la UE/EEE distribuyeron casi 63.000 millones de euros a los accionistas, lo que se compara con los 48.000 millones de euros que los bancos habían previsto a principios de 2022.</w:t>
      </w:r>
    </w:p>
    <w:p w14:paraId="48F97FF6" w14:textId="77777777" w:rsidR="00954E30" w:rsidRPr="00954E30" w:rsidRDefault="00954E30" w:rsidP="00275935">
      <w:pPr>
        <w:jc w:val="both"/>
      </w:pPr>
      <w:r w:rsidRPr="00954E30">
        <w:rPr>
          <w:lang w:val="es"/>
        </w:rPr>
        <w:t>El riesgo operacional ha aumentado en los últimos años, en parte impulsado por las tensiones geopolíticas. Los riesgos crecientes incluyen el riesgo de pérdida por fallas internas o eventos externos, mala conducta, problemas legales y riesgo de fraude. Además, en un contexto de digitalización y creciente importancia de las nuevas tecnologías financieras, los bancos se vuelven más vulnerables a los riesgos digitales y cibernéticos. Los bancos también se enfrentan a riesgos de delitos financieros, blanqueo de capitales y financiación del terrorismo.</w:t>
      </w:r>
    </w:p>
    <w:p w14:paraId="26AED590" w14:textId="77777777" w:rsidR="00954E30" w:rsidRPr="00954E30" w:rsidRDefault="00954E30" w:rsidP="00275935">
      <w:pPr>
        <w:jc w:val="both"/>
      </w:pPr>
    </w:p>
    <w:p w14:paraId="47468E42" w14:textId="77777777" w:rsidR="00954E30" w:rsidRPr="00954E30" w:rsidRDefault="00954E30" w:rsidP="00954E30">
      <w:pPr>
        <w:jc w:val="both"/>
      </w:pPr>
    </w:p>
    <w:sectPr w:rsidR="00954E30" w:rsidRPr="00954E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6704"/>
    <w:multiLevelType w:val="multilevel"/>
    <w:tmpl w:val="8A5E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353EA"/>
    <w:multiLevelType w:val="multilevel"/>
    <w:tmpl w:val="08E0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DF"/>
    <w:rsid w:val="00130F81"/>
    <w:rsid w:val="00954E30"/>
    <w:rsid w:val="00AB2817"/>
    <w:rsid w:val="00C272DF"/>
    <w:rsid w:val="00CF4BCD"/>
    <w:rsid w:val="00FF20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7F9D"/>
  <w15:chartTrackingRefBased/>
  <w15:docId w15:val="{1381E462-7E58-4BC2-B884-65771B86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272DF"/>
    <w:rPr>
      <w:color w:val="0563C1" w:themeColor="hyperlink"/>
      <w:u w:val="single"/>
    </w:rPr>
  </w:style>
  <w:style w:type="character" w:styleId="Mencinsinresolver">
    <w:name w:val="Unresolved Mention"/>
    <w:basedOn w:val="Fuentedeprrafopredeter"/>
    <w:uiPriority w:val="99"/>
    <w:semiHidden/>
    <w:unhideWhenUsed/>
    <w:rsid w:val="00C272DF"/>
    <w:rPr>
      <w:color w:val="605E5C"/>
      <w:shd w:val="clear" w:color="auto" w:fill="E1DFDD"/>
    </w:rPr>
  </w:style>
  <w:style w:type="character" w:styleId="Hipervnculovisitado">
    <w:name w:val="FollowedHyperlink"/>
    <w:basedOn w:val="Fuentedeprrafopredeter"/>
    <w:uiPriority w:val="99"/>
    <w:semiHidden/>
    <w:unhideWhenUsed/>
    <w:rsid w:val="00954E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410773">
      <w:bodyDiv w:val="1"/>
      <w:marLeft w:val="0"/>
      <w:marRight w:val="0"/>
      <w:marTop w:val="0"/>
      <w:marBottom w:val="0"/>
      <w:divBdr>
        <w:top w:val="none" w:sz="0" w:space="0" w:color="auto"/>
        <w:left w:val="none" w:sz="0" w:space="0" w:color="auto"/>
        <w:bottom w:val="none" w:sz="0" w:space="0" w:color="auto"/>
        <w:right w:val="none" w:sz="0" w:space="0" w:color="auto"/>
      </w:divBdr>
      <w:divsChild>
        <w:div w:id="511147515">
          <w:marLeft w:val="0"/>
          <w:marRight w:val="0"/>
          <w:marTop w:val="0"/>
          <w:marBottom w:val="0"/>
          <w:divBdr>
            <w:top w:val="none" w:sz="0" w:space="0" w:color="auto"/>
            <w:left w:val="none" w:sz="0" w:space="0" w:color="auto"/>
            <w:bottom w:val="none" w:sz="0" w:space="0" w:color="auto"/>
            <w:right w:val="none" w:sz="0" w:space="0" w:color="auto"/>
          </w:divBdr>
        </w:div>
        <w:div w:id="930620108">
          <w:marLeft w:val="0"/>
          <w:marRight w:val="0"/>
          <w:marTop w:val="300"/>
          <w:marBottom w:val="300"/>
          <w:divBdr>
            <w:top w:val="none" w:sz="0" w:space="0" w:color="auto"/>
            <w:left w:val="none" w:sz="0" w:space="0" w:color="auto"/>
            <w:bottom w:val="none" w:sz="0" w:space="0" w:color="auto"/>
            <w:right w:val="none" w:sz="0" w:space="0" w:color="auto"/>
          </w:divBdr>
        </w:div>
        <w:div w:id="486482018">
          <w:marLeft w:val="0"/>
          <w:marRight w:val="0"/>
          <w:marTop w:val="600"/>
          <w:marBottom w:val="0"/>
          <w:divBdr>
            <w:top w:val="none" w:sz="0" w:space="0" w:color="auto"/>
            <w:left w:val="none" w:sz="0" w:space="0" w:color="auto"/>
            <w:bottom w:val="none" w:sz="0" w:space="0" w:color="auto"/>
            <w:right w:val="none" w:sz="0" w:space="0" w:color="auto"/>
          </w:divBdr>
          <w:divsChild>
            <w:div w:id="2091340723">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540976590">
      <w:bodyDiv w:val="1"/>
      <w:marLeft w:val="0"/>
      <w:marRight w:val="0"/>
      <w:marTop w:val="0"/>
      <w:marBottom w:val="0"/>
      <w:divBdr>
        <w:top w:val="none" w:sz="0" w:space="0" w:color="auto"/>
        <w:left w:val="none" w:sz="0" w:space="0" w:color="auto"/>
        <w:bottom w:val="none" w:sz="0" w:space="0" w:color="auto"/>
        <w:right w:val="none" w:sz="0" w:space="0" w:color="auto"/>
      </w:divBdr>
      <w:divsChild>
        <w:div w:id="916600291">
          <w:marLeft w:val="0"/>
          <w:marRight w:val="0"/>
          <w:marTop w:val="0"/>
          <w:marBottom w:val="0"/>
          <w:divBdr>
            <w:top w:val="none" w:sz="0" w:space="0" w:color="auto"/>
            <w:left w:val="none" w:sz="0" w:space="0" w:color="auto"/>
            <w:bottom w:val="none" w:sz="0" w:space="0" w:color="auto"/>
            <w:right w:val="none" w:sz="0" w:space="0" w:color="auto"/>
          </w:divBdr>
          <w:divsChild>
            <w:div w:id="1530295044">
              <w:marLeft w:val="0"/>
              <w:marRight w:val="0"/>
              <w:marTop w:val="0"/>
              <w:marBottom w:val="0"/>
              <w:divBdr>
                <w:top w:val="none" w:sz="0" w:space="0" w:color="auto"/>
                <w:left w:val="none" w:sz="0" w:space="0" w:color="auto"/>
                <w:bottom w:val="none" w:sz="0" w:space="0" w:color="auto"/>
                <w:right w:val="none" w:sz="0" w:space="0" w:color="auto"/>
              </w:divBdr>
            </w:div>
            <w:div w:id="2119328343">
              <w:marLeft w:val="0"/>
              <w:marRight w:val="0"/>
              <w:marTop w:val="0"/>
              <w:marBottom w:val="0"/>
              <w:divBdr>
                <w:top w:val="none" w:sz="0" w:space="0" w:color="auto"/>
                <w:left w:val="none" w:sz="0" w:space="0" w:color="auto"/>
                <w:bottom w:val="none" w:sz="0" w:space="0" w:color="auto"/>
                <w:right w:val="none" w:sz="0" w:space="0" w:color="auto"/>
              </w:divBdr>
              <w:divsChild>
                <w:div w:id="870921730">
                  <w:marLeft w:val="0"/>
                  <w:marRight w:val="0"/>
                  <w:marTop w:val="0"/>
                  <w:marBottom w:val="0"/>
                  <w:divBdr>
                    <w:top w:val="none" w:sz="0" w:space="0" w:color="auto"/>
                    <w:left w:val="none" w:sz="0" w:space="0" w:color="auto"/>
                    <w:bottom w:val="none" w:sz="0" w:space="0" w:color="auto"/>
                    <w:right w:val="none" w:sz="0" w:space="0" w:color="auto"/>
                  </w:divBdr>
                  <w:divsChild>
                    <w:div w:id="185442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bank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ba.europa.eu/publications-and-media/press-releases/eu-banking-sector-remains-resilient-despite-pockets-ri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xbrl.org/news/eba-harnesses-digital-data-for-banking-risk-assessment/" TargetMode="External"/><Relationship Id="rId11"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hyperlink" Target="https://www.xbrl.org/tag/risk/" TargetMode="External"/><Relationship Id="rId4" Type="http://schemas.openxmlformats.org/officeDocument/2006/relationships/webSettings" Target="webSettings.xml"/><Relationship Id="rId9" Type="http://schemas.openxmlformats.org/officeDocument/2006/relationships/hyperlink" Target="https://www.xbrl.org/tag/eb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2382</Words>
  <Characters>13104</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4</cp:revision>
  <dcterms:created xsi:type="dcterms:W3CDTF">2023-12-18T02:29:00Z</dcterms:created>
  <dcterms:modified xsi:type="dcterms:W3CDTF">2024-05-28T01:46:00Z</dcterms:modified>
</cp:coreProperties>
</file>