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8B53" w14:textId="63718979" w:rsidR="004E75B5" w:rsidRPr="004E75B5" w:rsidRDefault="004E75B5" w:rsidP="004E75B5">
      <w:pPr>
        <w:jc w:val="both"/>
        <w:rPr>
          <w:rFonts w:ascii="Arial Nova Cond" w:hAnsi="Arial Nova Cond"/>
          <w:sz w:val="28"/>
          <w:szCs w:val="28"/>
        </w:rPr>
      </w:pPr>
      <w:r w:rsidRPr="004E75B5">
        <w:rPr>
          <w:rFonts w:ascii="Arial Nova Cond" w:hAnsi="Arial Nova Cond"/>
          <w:sz w:val="28"/>
          <w:szCs w:val="28"/>
        </w:rPr>
        <w:t>La hoja de ruta de las finanzas sostenibles de Australia se centra en el capital</w:t>
      </w:r>
    </w:p>
    <w:p w14:paraId="1B76CC71" w14:textId="7F5E06A4" w:rsidR="004E75B5" w:rsidRPr="004E75B5" w:rsidRDefault="004E75B5" w:rsidP="004E75B5">
      <w:pPr>
        <w:jc w:val="both"/>
      </w:pPr>
      <w:r w:rsidRPr="004E75B5">
        <w:rPr>
          <w:noProof/>
        </w:rPr>
        <w:drawing>
          <wp:inline distT="0" distB="0" distL="0" distR="0" wp14:anchorId="1992C85E" wp14:editId="56465681">
            <wp:extent cx="1356360" cy="1356360"/>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p>
    <w:p w14:paraId="378DC3FF" w14:textId="3640F612" w:rsidR="004E75B5" w:rsidRPr="004E75B5" w:rsidRDefault="004E75B5" w:rsidP="004E75B5">
      <w:pPr>
        <w:jc w:val="both"/>
      </w:pPr>
      <w:r w:rsidRPr="004E75B5">
        <w:t>Por</w:t>
      </w:r>
      <w:r w:rsidR="00594E13">
        <w:t xml:space="preserve">: </w:t>
      </w:r>
      <w:hyperlink r:id="rId5" w:tooltip="Posts by Jack Grogan-Fenn" w:history="1">
        <w:r w:rsidRPr="004E75B5">
          <w:rPr>
            <w:rStyle w:val="Hipervnculo"/>
          </w:rPr>
          <w:t>Jack Grogan-Fenn</w:t>
        </w:r>
      </w:hyperlink>
    </w:p>
    <w:p w14:paraId="559601E3" w14:textId="77777777" w:rsidR="004E75B5" w:rsidRPr="004E75B5" w:rsidRDefault="004E75B5" w:rsidP="004E75B5">
      <w:pPr>
        <w:jc w:val="both"/>
      </w:pPr>
      <w:r w:rsidRPr="004E75B5">
        <w:t>25 de junio de 2024</w:t>
      </w:r>
    </w:p>
    <w:p w14:paraId="76D34B09" w14:textId="31B61396" w:rsidR="004E75B5" w:rsidRPr="004E75B5" w:rsidRDefault="004E75B5" w:rsidP="004E75B5">
      <w:pPr>
        <w:jc w:val="both"/>
      </w:pPr>
      <w:r w:rsidRPr="004E75B5">
        <w:t>El Grupo de Inversores sobre el Cambio Climático (IGCC,</w:t>
      </w:r>
      <w:r w:rsidR="00744843">
        <w:t xml:space="preserve"> </w:t>
      </w:r>
      <w:r w:rsidRPr="004E75B5">
        <w:t>por sus siglas en inglés) ha</w:t>
      </w:r>
      <w:r w:rsidR="00744843">
        <w:t xml:space="preserve"> </w:t>
      </w:r>
      <w:hyperlink r:id="rId6" w:history="1">
        <w:r w:rsidRPr="004E75B5">
          <w:rPr>
            <w:rStyle w:val="Hipervnculo"/>
            <w:b/>
            <w:bCs/>
          </w:rPr>
          <w:t>destacado</w:t>
        </w:r>
      </w:hyperlink>
      <w:r w:rsidR="00744843">
        <w:t xml:space="preserve"> </w:t>
      </w:r>
      <w:r w:rsidRPr="004E75B5">
        <w:t>la publicación de la Hoja de</w:t>
      </w:r>
      <w:r w:rsidR="00A067E0">
        <w:t xml:space="preserve"> </w:t>
      </w:r>
      <w:hyperlink r:id="rId7" w:history="1">
        <w:r w:rsidRPr="004E75B5">
          <w:rPr>
            <w:rStyle w:val="Hipervnculo"/>
            <w:b/>
            <w:bCs/>
          </w:rPr>
          <w:t>Ruta de</w:t>
        </w:r>
        <w:r w:rsidR="00A067E0">
          <w:rPr>
            <w:rStyle w:val="Hipervnculo"/>
            <w:b/>
            <w:bCs/>
          </w:rPr>
          <w:t xml:space="preserve"> </w:t>
        </w:r>
        <w:r w:rsidRPr="004E75B5">
          <w:rPr>
            <w:rStyle w:val="Hipervnculo"/>
            <w:b/>
            <w:bCs/>
          </w:rPr>
          <w:t>Finanzas Sostenibles del Tesoro</w:t>
        </w:r>
        <w:r w:rsidR="00A067E0">
          <w:rPr>
            <w:rStyle w:val="Hipervnculo"/>
            <w:b/>
            <w:bCs/>
          </w:rPr>
          <w:t xml:space="preserve"> </w:t>
        </w:r>
        <w:r w:rsidRPr="004E75B5">
          <w:rPr>
            <w:rStyle w:val="Hipervnculo"/>
            <w:b/>
            <w:bCs/>
          </w:rPr>
          <w:t>australiano</w:t>
        </w:r>
      </w:hyperlink>
      <w:r w:rsidR="00A067E0">
        <w:t xml:space="preserve"> </w:t>
      </w:r>
      <w:r w:rsidRPr="004E75B5">
        <w:t>como un "paso crítico" para garantizar que el país atraiga inversiones que maximicen las oportunidades que ofrecen sus industrias limpias.</w:t>
      </w:r>
      <w:r w:rsidR="00744843">
        <w:t xml:space="preserve"> </w:t>
      </w:r>
      <w:r w:rsidRPr="004E75B5">
        <w:t>La hoja de ruta,</w:t>
      </w:r>
      <w:r w:rsidR="00A067E0">
        <w:t xml:space="preserve"> </w:t>
      </w:r>
      <w:hyperlink r:id="rId8" w:history="1">
        <w:r w:rsidRPr="004E75B5">
          <w:rPr>
            <w:rStyle w:val="Hipervnculo"/>
            <w:b/>
            <w:bCs/>
          </w:rPr>
          <w:t>publicada la semana pasada</w:t>
        </w:r>
      </w:hyperlink>
      <w:r w:rsidRPr="004E75B5">
        <w:t xml:space="preserve">, establece la visión del país para la implementación de reformas clave en materia de finanzas sostenibles y medidas relacionadas. El IGCC y sus miembros abogan por la divulgación obligatoria de información sobre el clima, taxonomías claras de finanzas sostenibles y normas para los planes de transición climática de las empresas a fin de garantizar que Australia siga siendo un destino de inversión "atractivo". El tesorero Jim Chalmers destacó que la hoja de ruta apoyará a los inversores, las empresas y la comunidad en general a capitalizar la transformación global de cero emisiones netas, así como ayudará a movilizar "el importante capital privado necesario para que Australia se convierta en una superpotencia de energía renovable, modernice los mercados financieros del país y maximice las oportunidades económicas asociadas con los objetivos de cero emisiones netas y sostenibilidad". "Se requiere una transición justa, rápida y bien planificada para proteger los ahorros de jubilación de millones de australianos de los daños del cambio climático y maximizar nuestras oportunidades económicas como superpotencia de energía renovable", dijo Erwin Jackson, </w:t>
      </w:r>
      <w:proofErr w:type="gramStart"/>
      <w:r w:rsidRPr="004E75B5">
        <w:t>Director</w:t>
      </w:r>
      <w:proofErr w:type="gramEnd"/>
      <w:r w:rsidRPr="004E75B5">
        <w:t xml:space="preserve"> Gerente de Políticas del IGCC. "La Hoja de Ruta de las Finanzas Sostenibles proporciona una base para que la información adecuada sobre sostenibilidad se informe en toda la economía, lo que ayudará a los inversores, reguladores y partes interesadas a formar una comprensión integral de ... riesgos y oportunidades climáticas, impulsando la inversión en industria limpia".</w:t>
      </w:r>
    </w:p>
    <w:p w14:paraId="603D1548" w14:textId="543D3F06" w:rsidR="00806F9F" w:rsidRDefault="004E75B5" w:rsidP="004E75B5">
      <w:pPr>
        <w:jc w:val="both"/>
      </w:pPr>
      <w:r w:rsidRPr="004E75B5">
        <w:rPr>
          <w:noProof/>
        </w:rPr>
        <w:drawing>
          <wp:inline distT="0" distB="0" distL="0" distR="0" wp14:anchorId="4CA79F32" wp14:editId="35BD9CD5">
            <wp:extent cx="1691640" cy="1667344"/>
            <wp:effectExtent l="0" t="0" r="381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0888" cy="1686315"/>
                    </a:xfrm>
                    <a:prstGeom prst="rect">
                      <a:avLst/>
                    </a:prstGeom>
                  </pic:spPr>
                </pic:pic>
              </a:graphicData>
            </a:graphic>
          </wp:inline>
        </w:drawing>
      </w:r>
    </w:p>
    <w:p w14:paraId="7A01AC88" w14:textId="64D27F93" w:rsidR="00594E13" w:rsidRDefault="00594E13" w:rsidP="004E75B5">
      <w:pPr>
        <w:jc w:val="both"/>
      </w:pPr>
      <w:r w:rsidRPr="00594E13">
        <w:rPr>
          <w:noProof/>
        </w:rPr>
        <w:lastRenderedPageBreak/>
        <w:drawing>
          <wp:inline distT="0" distB="0" distL="0" distR="0" wp14:anchorId="0EA890DA" wp14:editId="73C9B1F7">
            <wp:extent cx="4544059" cy="6496957"/>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4059" cy="6496957"/>
                    </a:xfrm>
                    <a:prstGeom prst="rect">
                      <a:avLst/>
                    </a:prstGeom>
                  </pic:spPr>
                </pic:pic>
              </a:graphicData>
            </a:graphic>
          </wp:inline>
        </w:drawing>
      </w:r>
    </w:p>
    <w:p w14:paraId="3978F349" w14:textId="77777777" w:rsidR="00D0213C" w:rsidRDefault="00D0213C" w:rsidP="008B663F">
      <w:pPr>
        <w:jc w:val="both"/>
      </w:pPr>
    </w:p>
    <w:p w14:paraId="701A1926" w14:textId="77777777" w:rsidR="00D0213C" w:rsidRPr="00744843" w:rsidRDefault="00D0213C" w:rsidP="008B663F">
      <w:pPr>
        <w:jc w:val="both"/>
        <w:rPr>
          <w:sz w:val="32"/>
          <w:szCs w:val="32"/>
        </w:rPr>
      </w:pPr>
      <w:r w:rsidRPr="00744843">
        <w:rPr>
          <w:sz w:val="32"/>
          <w:szCs w:val="32"/>
        </w:rPr>
        <w:t>Hoja de Ruta de Finanzas Sostenibles</w:t>
      </w:r>
    </w:p>
    <w:p w14:paraId="3443BAA5" w14:textId="77777777" w:rsidR="00D0213C" w:rsidRPr="00744843" w:rsidRDefault="00D0213C" w:rsidP="008B663F">
      <w:pPr>
        <w:jc w:val="both"/>
        <w:rPr>
          <w:sz w:val="32"/>
          <w:szCs w:val="32"/>
        </w:rPr>
      </w:pPr>
      <w:r w:rsidRPr="00744843">
        <w:rPr>
          <w:sz w:val="32"/>
          <w:szCs w:val="32"/>
        </w:rPr>
        <w:t>Junio 2024</w:t>
      </w:r>
    </w:p>
    <w:p w14:paraId="255C1EE4" w14:textId="311A211C" w:rsidR="00D0213C" w:rsidRDefault="00D0213C" w:rsidP="008B663F">
      <w:pPr>
        <w:jc w:val="both"/>
      </w:pPr>
    </w:p>
    <w:p w14:paraId="5274EAD0" w14:textId="77777777" w:rsidR="00744843" w:rsidRPr="003E5938" w:rsidRDefault="00744843" w:rsidP="008B663F">
      <w:pPr>
        <w:jc w:val="both"/>
      </w:pPr>
    </w:p>
    <w:p w14:paraId="0FAD6812" w14:textId="6A611DE1" w:rsidR="00D0213C" w:rsidRPr="00744843" w:rsidRDefault="00D0213C" w:rsidP="001929FC">
      <w:pPr>
        <w:jc w:val="both"/>
        <w:rPr>
          <w:sz w:val="32"/>
          <w:szCs w:val="32"/>
        </w:rPr>
      </w:pPr>
      <w:r w:rsidRPr="00744843">
        <w:rPr>
          <w:sz w:val="32"/>
          <w:szCs w:val="32"/>
        </w:rPr>
        <w:lastRenderedPageBreak/>
        <w:t>Prefacio</w:t>
      </w:r>
    </w:p>
    <w:p w14:paraId="0A7E4000" w14:textId="77777777" w:rsidR="00D0213C" w:rsidRPr="00D0213C" w:rsidRDefault="00D0213C" w:rsidP="001929FC">
      <w:pPr>
        <w:jc w:val="both"/>
      </w:pPr>
      <w:r w:rsidRPr="00594E13">
        <w:t>Construir una economía de cero emisiones netas de una manera que brinde prosperidad y seguridad a nuestro pueblo es una oportunidad definitoria para nuestro país y nuestra economía, y un enfoque importante del Gobierno de Albanese.</w:t>
      </w:r>
    </w:p>
    <w:p w14:paraId="286A0217" w14:textId="77777777" w:rsidR="00D0213C" w:rsidRPr="00D0213C" w:rsidRDefault="00D0213C" w:rsidP="001929FC">
      <w:pPr>
        <w:jc w:val="both"/>
      </w:pPr>
      <w:r w:rsidRPr="00594E13">
        <w:t>Queremos ayudar a las empresas, a los inversores y a la comunidad en general a aprovechar al máximo la transformación energética y de cero emisiones netas y ayudar a hacer realidad nuestra ambición de convertirnos en una superpotencia de las energías renovables.</w:t>
      </w:r>
    </w:p>
    <w:p w14:paraId="05DEE7C7" w14:textId="77777777" w:rsidR="00D0213C" w:rsidRPr="00D0213C" w:rsidRDefault="00D0213C" w:rsidP="001929FC">
      <w:pPr>
        <w:jc w:val="both"/>
      </w:pPr>
      <w:r w:rsidRPr="00594E13">
        <w:t>Es por eso que me complace publicar nuestra Hoja de Ruta de Finanzas Sostenibles.</w:t>
      </w:r>
    </w:p>
    <w:p w14:paraId="536E7257" w14:textId="77777777" w:rsidR="00D0213C" w:rsidRPr="00D0213C" w:rsidRDefault="00D0213C" w:rsidP="001929FC">
      <w:pPr>
        <w:jc w:val="both"/>
      </w:pPr>
      <w:r w:rsidRPr="00594E13">
        <w:t>La Hoja de Ruta consiste en movilizar el importante capital privado necesario para alcanzar las cero emisiones netas, modernizar nuestros mercados financieros y maximizar las oportunidades económicas asociadas a los objetivos energéticos, climáticos y de sostenibilidad.</w:t>
      </w:r>
    </w:p>
    <w:p w14:paraId="5EEA5A7C" w14:textId="77777777" w:rsidR="00D0213C" w:rsidRPr="00D0213C" w:rsidRDefault="00D0213C" w:rsidP="0024688D">
      <w:pPr>
        <w:jc w:val="both"/>
      </w:pPr>
      <w:r w:rsidRPr="00594E13">
        <w:t>Se trata de garantizar que los mercados tengan acceso a información de alta calidad, creíble y comparable en lo que respecta al clima y la sostenibilidad, y de ayudar a los inversores y a las empresas a tener la confianza y la certidumbre que necesitan para invertir y gestionar los riesgos relacionados con el clima y la sostenibilidad.</w:t>
      </w:r>
    </w:p>
    <w:p w14:paraId="5F9E308B" w14:textId="77777777" w:rsidR="00D0213C" w:rsidRPr="00D0213C" w:rsidRDefault="00D0213C" w:rsidP="0024688D">
      <w:pPr>
        <w:jc w:val="both"/>
      </w:pPr>
      <w:r w:rsidRPr="00594E13">
        <w:t>Hasta ahora, nos hemos centrado principalmente en la introducción de la divulgación obligatoria de los riesgos y oportunidades financieros relacionados con el clima, con una legislación que ahora se encuentra ante el Parlamento. Ahora, con esta Hoja de Ruta, pasaremos a implementar el próximo conjunto de reformas de finanzas sostenibles.</w:t>
      </w:r>
    </w:p>
    <w:p w14:paraId="52B93B1B" w14:textId="77777777" w:rsidR="00D0213C" w:rsidRPr="00D0213C" w:rsidRDefault="00D0213C" w:rsidP="0024688D">
      <w:pPr>
        <w:jc w:val="both"/>
      </w:pPr>
      <w:r w:rsidRPr="00594E13">
        <w:t>Esto incluye la financiación de la finalización de la taxonomía preliminar de finanzas sostenibles de Australia, el desarrollo de un régimen de etiquetado para los productos de inversión comercializados como sostenibles y el apoyo a una planificación creíble de la transición empresarial a través de la orientación de las mejores prácticas.</w:t>
      </w:r>
    </w:p>
    <w:p w14:paraId="4E5E08FB" w14:textId="77777777" w:rsidR="00D0213C" w:rsidRPr="00D0213C" w:rsidRDefault="00D0213C" w:rsidP="001D2E5B">
      <w:pPr>
        <w:jc w:val="both"/>
      </w:pPr>
      <w:r w:rsidRPr="00594E13">
        <w:t>Si bien facilitar la transformación de las cero emisiones netas es un objetivo clave, el Gobierno está adoptando un enfoque de "el clima primero, no sólo" para las finanzas sostenibles. Los mercados financieros se centran cada vez más en responder a los riesgos y oportunidades financieros relacionados con la naturaleza, y la integración de estas consideraciones también es una característica clave de nuestro enfoque.</w:t>
      </w:r>
    </w:p>
    <w:p w14:paraId="088B5E80" w14:textId="77777777" w:rsidR="00D0213C" w:rsidRPr="00D0213C" w:rsidRDefault="00D0213C" w:rsidP="001D2E5B">
      <w:pPr>
        <w:jc w:val="both"/>
      </w:pPr>
      <w:r w:rsidRPr="00594E13">
        <w:t xml:space="preserve">El Gobierno ha trabajado en estrecha colaboración con una amplia gama de partes interesadas para desarrollar esta Hoja de Ruta, y continuaremos participando ampliamente a través de la implementación. </w:t>
      </w:r>
    </w:p>
    <w:p w14:paraId="65B51BC1" w14:textId="77777777" w:rsidR="00D0213C" w:rsidRPr="00D0213C" w:rsidRDefault="00D0213C" w:rsidP="001D2E5B">
      <w:pPr>
        <w:jc w:val="both"/>
      </w:pPr>
      <w:r w:rsidRPr="00594E13">
        <w:t xml:space="preserve">Al trabajar juntos, el Gobierno de Albanese confía en que construiremos con éxito las estructuras y los marcos de mercado que pueden ayudar a lograr una economía sostenible, próspera e inclusiva, que trabaje en interés de los inversores, las comunidades y nuestra gente. </w:t>
      </w:r>
    </w:p>
    <w:p w14:paraId="6FF6B159" w14:textId="77777777" w:rsidR="00D0213C" w:rsidRPr="00D0213C" w:rsidRDefault="00D0213C" w:rsidP="001D2E5B">
      <w:pPr>
        <w:spacing w:after="0"/>
        <w:jc w:val="both"/>
      </w:pPr>
      <w:r w:rsidRPr="00594E13">
        <w:t>El Honorable Jim Chalmers MP</w:t>
      </w:r>
    </w:p>
    <w:p w14:paraId="65FE954C" w14:textId="77777777" w:rsidR="00D0213C" w:rsidRPr="00D0213C" w:rsidRDefault="00D0213C" w:rsidP="001D2E5B">
      <w:pPr>
        <w:jc w:val="both"/>
      </w:pPr>
      <w:r w:rsidRPr="00594E13">
        <w:t>Tesorero</w:t>
      </w:r>
    </w:p>
    <w:p w14:paraId="5678269F" w14:textId="6DC9FC20" w:rsidR="00594E13" w:rsidRDefault="00594E13" w:rsidP="004E75B5">
      <w:pPr>
        <w:jc w:val="both"/>
      </w:pPr>
    </w:p>
    <w:p w14:paraId="7DC65317" w14:textId="77777777" w:rsidR="00D0213C" w:rsidRPr="00D0213C" w:rsidRDefault="00D0213C" w:rsidP="00B14175">
      <w:pPr>
        <w:jc w:val="both"/>
        <w:rPr>
          <w:sz w:val="32"/>
          <w:szCs w:val="32"/>
        </w:rPr>
      </w:pPr>
      <w:r w:rsidRPr="00594E13">
        <w:rPr>
          <w:sz w:val="32"/>
          <w:szCs w:val="32"/>
        </w:rPr>
        <w:lastRenderedPageBreak/>
        <w:t xml:space="preserve">Pilar 1: Mejorar la transparencia en materia de clima y sostenibilidad </w:t>
      </w:r>
    </w:p>
    <w:p w14:paraId="3C6E8806" w14:textId="77777777" w:rsidR="00D0213C" w:rsidRPr="00D0213C" w:rsidRDefault="00D0213C" w:rsidP="00B14175">
      <w:pPr>
        <w:jc w:val="both"/>
        <w:rPr>
          <w:sz w:val="28"/>
          <w:szCs w:val="28"/>
        </w:rPr>
      </w:pPr>
      <w:r w:rsidRPr="00594E13">
        <w:rPr>
          <w:sz w:val="28"/>
          <w:szCs w:val="28"/>
        </w:rPr>
        <w:t xml:space="preserve">Prioridad 1: Implementar la divulgación de información financiera relacionada con el clima </w:t>
      </w:r>
    </w:p>
    <w:p w14:paraId="776532F5" w14:textId="77777777" w:rsidR="00D0213C" w:rsidRPr="00D0213C" w:rsidRDefault="00D0213C" w:rsidP="00B14175">
      <w:pPr>
        <w:jc w:val="both"/>
      </w:pPr>
      <w:r w:rsidRPr="00594E13">
        <w:t>El Gobierno está aplicando requisitos obligatorios de divulgación financiera relacionados con el clima para las grandes empresas y las instituciones financieras, con legislación que se encuentra actualmente ante el Parlamento. Esta información proporcionará a los inversores una mayor transparencia e información más comparable sobre las exposiciones de las entidades a los riesgos y oportunidades financieros relacionados con el clima y sus planes y estrategias relacionados con el clima.</w:t>
      </w:r>
    </w:p>
    <w:p w14:paraId="6757E7C7" w14:textId="77777777" w:rsidR="00D0213C" w:rsidRPr="00D0213C" w:rsidRDefault="00D0213C" w:rsidP="00601BAF">
      <w:pPr>
        <w:jc w:val="both"/>
      </w:pPr>
      <w:r w:rsidRPr="00594E13">
        <w:t>Sujeto a la aprobación de la legislación, los requisitos de información para las empresas e instituciones financieras más grandes de Australia, así como para las entidades que superan el umbral de publicación de los requisitos de divulgación del esquema Nacional de Informes de Energía y Efecto Invernadero (NGER), comenzarán a partir del 1 de enero de 2025.</w:t>
      </w:r>
    </w:p>
    <w:p w14:paraId="3263B7E0" w14:textId="77777777" w:rsidR="00D0213C" w:rsidRPr="00D0213C" w:rsidRDefault="00D0213C" w:rsidP="00601BAF">
      <w:pPr>
        <w:jc w:val="both"/>
      </w:pPr>
      <w:r w:rsidRPr="00594E13">
        <w:t>El Gobierno también se ha comprometido a introducir requisitos de divulgación de información sobre el clima para las entidades del Commonwealth, en consonancia con el compromiso del Gobierno con el sector privado. Esto mejorará la divulgación de información sobre oportunidades y riesgos climáticos en todo el sector público de la Commonwealth y garantizará que se mantenga la neutralidad del mercado entre el sector privado y el público de la Commonwealth.</w:t>
      </w:r>
    </w:p>
    <w:p w14:paraId="3691EC82" w14:textId="77777777" w:rsidR="00D0213C" w:rsidRPr="00D0213C" w:rsidRDefault="00D0213C" w:rsidP="00601BAF">
      <w:pPr>
        <w:jc w:val="both"/>
      </w:pPr>
      <w:r w:rsidRPr="00594E13">
        <w:t xml:space="preserve">Los requisitos de divulgación estarán respaldados por normas que publicará el Consejo Australiano de Normas de Contabilidad (AASB). La AASB tiene como objetivo agosto de 2024 para finalizar los estándares de divulgación climática, antes del comienzo de los requisitos de presentación de informes. Además, la Junta Australiana de Auditoría y Aseguramiento (AUASB) está elaborando normas de aseguramiento para su introducción por fases. </w:t>
      </w:r>
    </w:p>
    <w:p w14:paraId="0D356CF4" w14:textId="77777777" w:rsidR="00D0213C" w:rsidRPr="00D0213C" w:rsidRDefault="00D0213C" w:rsidP="002A6A7B">
      <w:pPr>
        <w:jc w:val="both"/>
      </w:pPr>
      <w:r w:rsidRPr="00594E13">
        <w:t>La Comisión Australiana de Valores e Inversiones (ASIC, por sus siglas en inglés) proporcionará orientación al mercado para ayudar a los preparadores a cumplir con las nuevas obligaciones de información. La ASIC consultará sobre esta guía, incluido el enfoque para la exención de las nuevas obligaciones de información y cómo las obligaciones pueden interactuar con los requisitos legales y reglamentarios existentes. La ASIC también comenzará a trabajar para considerar cómo el nuevo régimen afectará el alivio de los informes financieros individuales y de clase existentes.</w:t>
      </w:r>
    </w:p>
    <w:p w14:paraId="55A18C1B" w14:textId="77777777" w:rsidR="00D0213C" w:rsidRPr="00D0213C" w:rsidRDefault="00D0213C" w:rsidP="002A6A7B">
      <w:pPr>
        <w:jc w:val="both"/>
      </w:pPr>
      <w:r w:rsidRPr="00594E13">
        <w:t>El Gobierno ha anunciado que reformará los organismos de información financiera consolidándolos en un único organismo, que entrará en funcionamiento a partir del 1 de julio de 2026, sujeto a la aprobación de la legislación. Esta reforma apoyará, a largo plazo, la supervisión, el mantenimiento y el desarrollo de normas de información y aseguramiento financieros relacionadas con el clima y la sostenibilidad.</w:t>
      </w:r>
    </w:p>
    <w:p w14:paraId="3188BBE1" w14:textId="77777777" w:rsidR="00D0213C" w:rsidRPr="00D0213C" w:rsidRDefault="00D0213C" w:rsidP="002A6A7B">
      <w:pPr>
        <w:jc w:val="both"/>
      </w:pPr>
      <w:r w:rsidRPr="00594E13">
        <w:t>Este trabajo está respaldado por una financiación de 83,7 millones de dólares a lo largo de seis años para los reguladores financieros, los organismos de información financiera y el Tesoro, como parte del MYEFO 2023-24.</w:t>
      </w:r>
    </w:p>
    <w:p w14:paraId="0A205FE5" w14:textId="170B7DEE" w:rsidR="00594E13" w:rsidRPr="00D0213C" w:rsidRDefault="00594E13" w:rsidP="004E75B5">
      <w:pPr>
        <w:jc w:val="both"/>
      </w:pPr>
    </w:p>
    <w:p w14:paraId="0EDDC703" w14:textId="77777777" w:rsidR="00D0213C" w:rsidRPr="00D0213C" w:rsidRDefault="00D0213C" w:rsidP="009B3ED7">
      <w:pPr>
        <w:jc w:val="both"/>
        <w:rPr>
          <w:sz w:val="28"/>
          <w:szCs w:val="28"/>
        </w:rPr>
      </w:pPr>
      <w:r w:rsidRPr="00594E13">
        <w:rPr>
          <w:sz w:val="28"/>
          <w:szCs w:val="28"/>
        </w:rPr>
        <w:lastRenderedPageBreak/>
        <w:t>Prioridad 2: Desarrollo de la Taxonomía Australiana de Finanzas Sostenibles</w:t>
      </w:r>
    </w:p>
    <w:p w14:paraId="6D2865F3" w14:textId="77777777" w:rsidR="00D0213C" w:rsidRPr="00D0213C" w:rsidRDefault="00D0213C" w:rsidP="009B3ED7">
      <w:pPr>
        <w:jc w:val="both"/>
      </w:pPr>
      <w:r w:rsidRPr="00594E13">
        <w:t>El Gobierno se ha asociado con la industria, a través del Instituto Australiano de Finanzas Sostenibles (ASFI), para elaborar una taxonomía australiana de las finanzas sostenibles. La taxonomía apoyará la movilización de capital privado hacia actividades sostenibles y proporcionará una base para nuevas medidas para abordar el lavado verde y ayudar a facilitar la transición de Australia hacia las cero emisiones netas.</w:t>
      </w:r>
    </w:p>
    <w:p w14:paraId="41DC0D65" w14:textId="77777777" w:rsidR="00D0213C" w:rsidRPr="00D0213C" w:rsidRDefault="00D0213C" w:rsidP="009B3ED7">
      <w:pPr>
        <w:jc w:val="both"/>
      </w:pPr>
      <w:r w:rsidRPr="00594E13">
        <w:t>ASFI entregará criterios técnicos de selección para seis sectores prioritarios, en relación con el objetivo de mitigación climática. Estos sectores se alinean con la cobertura sectorial de los planes de descarbonización sectorial del Gobierno e incluyen la electricidad y la energía, la industria, el entorno construido, el transporte, los recursos, la agricultura y la tierra. La taxonomía inicial también incorporará los criterios de «no causar un daño significativo» y de «salvaguardia social mínima». Estos criterios son respaldados por un grupo de expertos técnicos e informados mediante consulta pública.</w:t>
      </w:r>
    </w:p>
    <w:p w14:paraId="175A5BE1" w14:textId="77777777" w:rsidR="00D0213C" w:rsidRPr="00D0213C" w:rsidRDefault="00D0213C" w:rsidP="00FA7801">
      <w:pPr>
        <w:jc w:val="both"/>
      </w:pPr>
      <w:r w:rsidRPr="00594E13">
        <w:t>Una vez finalizada, la taxonomía inicial estará disponible para su uso voluntario tanto en el sector privado como en el público. La taxonomía proporcionará una importante fuente de orientación y coherencia para las empresas, los inversores y los reguladores, mejorando la transparencia y apoyando el desarrollo de productos financieros sostenibles creíbles.</w:t>
      </w:r>
    </w:p>
    <w:p w14:paraId="00839378" w14:textId="77777777" w:rsidR="00D0213C" w:rsidRPr="00D0213C" w:rsidRDefault="00D0213C" w:rsidP="00FA7801">
      <w:pPr>
        <w:jc w:val="both"/>
      </w:pPr>
      <w:r w:rsidRPr="00594E13">
        <w:t>El Gobierno estudiará opciones para los acuerdos de gobernanza y los posibles casos de uso de la reglamentación en consulta con las principales partes interesadas. El Gobierno también considerará los próximos pasos para el desarrollo de la taxonomía, incluidas las posibles prioridades de expansión, lo que refleja el gran interés expresado en los comentarios de la consulta pública recibida sobre la Estrategia de Finanzas Sostenibles.</w:t>
      </w:r>
    </w:p>
    <w:p w14:paraId="52BD1612" w14:textId="77777777" w:rsidR="00D0213C" w:rsidRPr="00D0213C" w:rsidRDefault="00D0213C" w:rsidP="00FA7801">
      <w:pPr>
        <w:jc w:val="both"/>
      </w:pPr>
      <w:r w:rsidRPr="00594E13">
        <w:t>El Gobierno seguirá desempeñando un papel clave en el desarrollo continuo de la taxonomía, la gobernanza y el diseño y la aplicación de las políticas conexas. El Gobierno está trabajando para garantizar que la taxonomía complemente otras reformas, como el desarrollo de planes de descarbonización sectorial y el desarrollo e implementación del objetivo de reducción de emisiones de Australia para 2035.</w:t>
      </w:r>
    </w:p>
    <w:p w14:paraId="5387566F" w14:textId="0A0BB72B" w:rsidR="00594E13" w:rsidRPr="00D0213C" w:rsidRDefault="00594E13" w:rsidP="004E75B5">
      <w:pPr>
        <w:jc w:val="both"/>
      </w:pPr>
    </w:p>
    <w:p w14:paraId="7E7EB419" w14:textId="5DD02E39" w:rsidR="00594E13" w:rsidRPr="00D0213C" w:rsidRDefault="00594E13" w:rsidP="004E75B5">
      <w:pPr>
        <w:jc w:val="both"/>
      </w:pPr>
    </w:p>
    <w:p w14:paraId="168A2663" w14:textId="4CEF6A19" w:rsidR="00594E13" w:rsidRPr="00D0213C" w:rsidRDefault="00594E13" w:rsidP="004E75B5">
      <w:pPr>
        <w:jc w:val="both"/>
      </w:pPr>
    </w:p>
    <w:p w14:paraId="17C61B86" w14:textId="261AA060" w:rsidR="00594E13" w:rsidRPr="00D0213C" w:rsidRDefault="00594E13" w:rsidP="004E75B5">
      <w:pPr>
        <w:jc w:val="both"/>
      </w:pPr>
    </w:p>
    <w:p w14:paraId="66873B4B" w14:textId="6CFAA3D4" w:rsidR="00594E13" w:rsidRPr="00D0213C" w:rsidRDefault="00594E13" w:rsidP="004E75B5">
      <w:pPr>
        <w:jc w:val="both"/>
      </w:pPr>
    </w:p>
    <w:p w14:paraId="666BF852" w14:textId="572248D0" w:rsidR="00594E13" w:rsidRPr="00D0213C" w:rsidRDefault="00594E13" w:rsidP="004E75B5">
      <w:pPr>
        <w:jc w:val="both"/>
      </w:pPr>
    </w:p>
    <w:p w14:paraId="59504A66" w14:textId="7843080A" w:rsidR="00594E13" w:rsidRPr="00D0213C" w:rsidRDefault="00594E13" w:rsidP="004E75B5">
      <w:pPr>
        <w:jc w:val="both"/>
      </w:pPr>
    </w:p>
    <w:p w14:paraId="3E98516F" w14:textId="7478D514" w:rsidR="00594E13" w:rsidRPr="00D0213C" w:rsidRDefault="00594E13" w:rsidP="004E75B5">
      <w:pPr>
        <w:jc w:val="both"/>
      </w:pPr>
    </w:p>
    <w:p w14:paraId="5A936496" w14:textId="6386C64D" w:rsidR="00594E13" w:rsidRPr="00D0213C" w:rsidRDefault="00594E13" w:rsidP="004E75B5">
      <w:pPr>
        <w:jc w:val="both"/>
      </w:pPr>
    </w:p>
    <w:p w14:paraId="1EF54E90" w14:textId="77777777" w:rsidR="00D0213C" w:rsidRPr="00D0213C" w:rsidRDefault="00D0213C" w:rsidP="00043703">
      <w:pPr>
        <w:jc w:val="both"/>
        <w:rPr>
          <w:sz w:val="28"/>
          <w:szCs w:val="28"/>
        </w:rPr>
      </w:pPr>
      <w:r w:rsidRPr="00594E13">
        <w:rPr>
          <w:sz w:val="28"/>
          <w:szCs w:val="28"/>
        </w:rPr>
        <w:lastRenderedPageBreak/>
        <w:t xml:space="preserve">Prioridad 3: Apoyar una planificación creíble de la transición a las cero emisiones netas </w:t>
      </w:r>
    </w:p>
    <w:p w14:paraId="43D3B29E" w14:textId="77777777" w:rsidR="00D0213C" w:rsidRPr="00D0213C" w:rsidRDefault="00D0213C" w:rsidP="00043703">
      <w:pPr>
        <w:jc w:val="both"/>
      </w:pPr>
      <w:r w:rsidRPr="00594E13">
        <w:t>Los planes de transición relacionados con el clima son un aspecto de la estrategia de una entidad que establece los objetivos, acciones o recursos de la entidad para su transición hacia una economía de bajas emisiones, incluidas las acciones para reducir sus emisiones de gases de efecto invernadero o las actividades de adaptación para gestionar los riesgos climáticos físicos1. Unos planes de transición creíbles y sólidos respaldan una asignación eficaz de capital a corto y largo plazo.</w:t>
      </w:r>
    </w:p>
    <w:p w14:paraId="2B783C1B" w14:textId="77777777" w:rsidR="00D0213C" w:rsidRPr="00D0213C" w:rsidRDefault="00D0213C" w:rsidP="00043703">
      <w:pPr>
        <w:jc w:val="both"/>
      </w:pPr>
      <w:r w:rsidRPr="00594E13">
        <w:t>Los requisitos de divulgación del plan de transición corporativa de Australia estarán contenidos en el nuevo régimen de divulgación climática para grandes empresas e instituciones financieras. Estos requisitos se implementarán progresivamente a partir del 1 de enero de 2025, sujeto a la aprobación de la legislación (véase la prioridad 1).</w:t>
      </w:r>
    </w:p>
    <w:p w14:paraId="3EA69015" w14:textId="77777777" w:rsidR="00D0213C" w:rsidRPr="00D0213C" w:rsidRDefault="00D0213C" w:rsidP="00043703">
      <w:pPr>
        <w:jc w:val="both"/>
      </w:pPr>
      <w:r w:rsidRPr="00594E13">
        <w:t>El Gobierno reconoce la necesidad de contar con más orientación para apoyar las mejores prácticas de planificación de la transición. Además de la guía actualizada de la ASIC para respaldar el cumplimiento de las nuevas obligaciones de divulgación climática, el Tesoro desarrollará y publicará orientación sobre las divulgaciones de los planes de transición de mejores prácticas antes de finales de 2025. La orientación del Tesoro considerará:</w:t>
      </w:r>
    </w:p>
    <w:p w14:paraId="2DF5FB94" w14:textId="77777777" w:rsidR="00D0213C" w:rsidRPr="00D0213C" w:rsidRDefault="00D0213C" w:rsidP="00F2657D">
      <w:pPr>
        <w:jc w:val="both"/>
      </w:pPr>
      <w:r w:rsidRPr="00594E13">
        <w:t>• Prioridades de los preparadores de planes de transición (por ejemplo, empresas) y usuarios (por ejemplo, inversores).</w:t>
      </w:r>
    </w:p>
    <w:p w14:paraId="50C11E1A" w14:textId="77777777" w:rsidR="00D0213C" w:rsidRPr="00D0213C" w:rsidRDefault="00D0213C" w:rsidP="00F2657D">
      <w:pPr>
        <w:jc w:val="both"/>
      </w:pPr>
      <w:r w:rsidRPr="00594E13">
        <w:t>• Marcos y normas nacionales e internacionales emergentes, incluido el Marco de Divulgación del Grupo de Trabajo del Plan de Transición del Reino Unido, los resultados del flujo de trabajo del plan de transición del Grupo de Trabajo de Finanzas Sostenibles del G20; y el Grupo de Trabajo de Transición de la Plataforma Internacional de Finanzas Sostenibles.</w:t>
      </w:r>
    </w:p>
    <w:p w14:paraId="1BACB446" w14:textId="77777777" w:rsidR="00D0213C" w:rsidRPr="00D0213C" w:rsidRDefault="00D0213C" w:rsidP="00F2657D">
      <w:pPr>
        <w:jc w:val="both"/>
      </w:pPr>
      <w:r w:rsidRPr="00594E13">
        <w:t>• El próximo Plan Net Zero del Gobierno y las vías de descarbonización del sector, y cómo pueden apoyar o interactuar con la orientación de la planificación de la transición corporativa.</w:t>
      </w:r>
    </w:p>
    <w:p w14:paraId="4B8C9953" w14:textId="77777777" w:rsidR="00D0213C" w:rsidRPr="00D0213C" w:rsidRDefault="00D0213C" w:rsidP="00F2657D">
      <w:pPr>
        <w:jc w:val="both"/>
      </w:pPr>
      <w:r w:rsidRPr="00594E13">
        <w:t>• Observación de las prácticas de divulgación de los planes de transición por parte de las empresas australianas, tanto antes como después de la implementación de las reformas de divulgación climática del Gobierno.</w:t>
      </w:r>
    </w:p>
    <w:p w14:paraId="6BE2F252" w14:textId="77777777" w:rsidR="00D0213C" w:rsidRPr="00D0213C" w:rsidRDefault="00D0213C" w:rsidP="00F2657D">
      <w:pPr>
        <w:jc w:val="both"/>
      </w:pPr>
      <w:r w:rsidRPr="00594E13">
        <w:t>Al igual que con la taxonomía, el Gobierno considerará los vínculos apropiados entre la orientación del plan de transición, los planes de descarbonización del sector del Gobierno y el desarrollo del objetivo de reducción de emisiones de Australia para 2035.</w:t>
      </w:r>
    </w:p>
    <w:p w14:paraId="1AE44F0B" w14:textId="43B90654" w:rsidR="00594E13" w:rsidRPr="00D0213C" w:rsidRDefault="00594E13" w:rsidP="004E75B5">
      <w:pPr>
        <w:jc w:val="both"/>
      </w:pPr>
    </w:p>
    <w:p w14:paraId="2C349A3C" w14:textId="790DC1D7" w:rsidR="00594E13" w:rsidRPr="00D0213C" w:rsidRDefault="00594E13" w:rsidP="004E75B5">
      <w:pPr>
        <w:jc w:val="both"/>
      </w:pPr>
    </w:p>
    <w:p w14:paraId="1FD25157" w14:textId="62873060" w:rsidR="00594E13" w:rsidRPr="00D0213C" w:rsidRDefault="00594E13" w:rsidP="004E75B5">
      <w:pPr>
        <w:jc w:val="both"/>
      </w:pPr>
    </w:p>
    <w:p w14:paraId="7757AE6F" w14:textId="79CBD72D" w:rsidR="00594E13" w:rsidRPr="00D0213C" w:rsidRDefault="00594E13" w:rsidP="004E75B5">
      <w:pPr>
        <w:jc w:val="both"/>
      </w:pPr>
    </w:p>
    <w:p w14:paraId="1C0AC71F" w14:textId="6485A7C8" w:rsidR="00594E13" w:rsidRPr="00D0213C" w:rsidRDefault="00594E13" w:rsidP="004E75B5">
      <w:pPr>
        <w:jc w:val="both"/>
      </w:pPr>
    </w:p>
    <w:p w14:paraId="76829458" w14:textId="0A81FB5E" w:rsidR="00594E13" w:rsidRPr="00D0213C" w:rsidRDefault="00594E13" w:rsidP="004E75B5">
      <w:pPr>
        <w:jc w:val="both"/>
      </w:pPr>
    </w:p>
    <w:p w14:paraId="4A09D123" w14:textId="77777777" w:rsidR="00D0213C" w:rsidRPr="00D0213C" w:rsidRDefault="00D0213C" w:rsidP="0076020F">
      <w:pPr>
        <w:jc w:val="both"/>
        <w:rPr>
          <w:sz w:val="28"/>
          <w:szCs w:val="28"/>
        </w:rPr>
      </w:pPr>
      <w:r w:rsidRPr="00594E13">
        <w:rPr>
          <w:sz w:val="28"/>
          <w:szCs w:val="28"/>
        </w:rPr>
        <w:lastRenderedPageBreak/>
        <w:t>Prioridad 4: Desarrollo de etiquetas de productos de inversión sostenible</w:t>
      </w:r>
    </w:p>
    <w:p w14:paraId="75A8F824" w14:textId="77777777" w:rsidR="00D0213C" w:rsidRPr="00D0213C" w:rsidRDefault="00D0213C" w:rsidP="0076020F">
      <w:pPr>
        <w:jc w:val="both"/>
      </w:pPr>
      <w:r w:rsidRPr="00594E13">
        <w:t>Si bien los emisores de productos de inversión están sujetos a amplias obligaciones de divulgación, la diversidad del panorama de las finanzas sostenibles puede resultar confusa para los inversores. Sin un marco regulatorio más prescriptivo, es difícil para los inversores entender cómo se tienen en cuenta las consideraciones de sostenibilidad en los productos o estrategias de inversión.</w:t>
      </w:r>
    </w:p>
    <w:p w14:paraId="6E446168" w14:textId="77777777" w:rsidR="00D0213C" w:rsidRPr="00D0213C" w:rsidRDefault="00D0213C" w:rsidP="0076020F">
      <w:pPr>
        <w:jc w:val="both"/>
      </w:pPr>
      <w:r w:rsidRPr="00594E13">
        <w:t>El Gobierno se ha comprometido a establecer etiquetas y requisitos de divulgación coherentes para los productos de inversión comercializados como "sostenibles" o similares, incluidos los fondos gestionados y dentro del sistema de jubilación. Dicho régimen apoyará tanto a los emisores de productos como a los inversores, dada la creciente demanda de productos de inversión con objetivos específicos de sostenibilidad.</w:t>
      </w:r>
    </w:p>
    <w:p w14:paraId="718DAE53" w14:textId="77777777" w:rsidR="00D0213C" w:rsidRPr="00D0213C" w:rsidRDefault="00D0213C" w:rsidP="00591C81">
      <w:pPr>
        <w:jc w:val="both"/>
      </w:pPr>
      <w:r w:rsidRPr="00594E13">
        <w:t>El Departamento del Tesoro está comenzando a trabajar para desarrollar un nuevo régimen y considerará detenidamente:</w:t>
      </w:r>
    </w:p>
    <w:p w14:paraId="63658AC7" w14:textId="77777777" w:rsidR="00D0213C" w:rsidRPr="00D0213C" w:rsidRDefault="00D0213C" w:rsidP="00591C81">
      <w:pPr>
        <w:jc w:val="both"/>
      </w:pPr>
      <w:r w:rsidRPr="00594E13">
        <w:t>• Enfoques existentes de la industria para la comercialización de productos de inversión sostenible en Australia.</w:t>
      </w:r>
    </w:p>
    <w:p w14:paraId="4989F266" w14:textId="77777777" w:rsidR="00D0213C" w:rsidRPr="00D0213C" w:rsidRDefault="00D0213C" w:rsidP="00591C81">
      <w:pPr>
        <w:jc w:val="both"/>
      </w:pPr>
      <w:r w:rsidRPr="00594E13">
        <w:t>• Interacciones con los nuevos marcos financieros sostenibles, como la taxonomía, y actividades climáticas y de sostenibilidad más amplias, como los objetivos de reducción de emisiones.</w:t>
      </w:r>
    </w:p>
    <w:p w14:paraId="4C25016E" w14:textId="77777777" w:rsidR="00D0213C" w:rsidRPr="00D0213C" w:rsidRDefault="00D0213C" w:rsidP="00591C81">
      <w:pPr>
        <w:jc w:val="both"/>
      </w:pPr>
      <w:r w:rsidRPr="00594E13">
        <w:t>• Desarrollos clave de etiquetado en otros mercados, particularmente en los Estados Unidos, el Reino Unido y la Unión Europea.</w:t>
      </w:r>
    </w:p>
    <w:p w14:paraId="1727E908" w14:textId="7123865C" w:rsidR="00594E13" w:rsidRPr="00D0213C" w:rsidRDefault="00594E13" w:rsidP="004E75B5">
      <w:pPr>
        <w:jc w:val="both"/>
      </w:pPr>
    </w:p>
    <w:p w14:paraId="7AE668EF" w14:textId="7454A037" w:rsidR="00594E13" w:rsidRPr="00D0213C" w:rsidRDefault="00594E13" w:rsidP="004E75B5">
      <w:pPr>
        <w:jc w:val="both"/>
      </w:pPr>
    </w:p>
    <w:p w14:paraId="6D9366DF" w14:textId="4ADE73D2" w:rsidR="00594E13" w:rsidRPr="00D0213C" w:rsidRDefault="00594E13" w:rsidP="004E75B5">
      <w:pPr>
        <w:jc w:val="both"/>
      </w:pPr>
    </w:p>
    <w:p w14:paraId="530E0E0A" w14:textId="5D3D6BCD" w:rsidR="00594E13" w:rsidRPr="00D0213C" w:rsidRDefault="00594E13" w:rsidP="004E75B5">
      <w:pPr>
        <w:jc w:val="both"/>
      </w:pPr>
    </w:p>
    <w:p w14:paraId="185D6CF8" w14:textId="532A233C" w:rsidR="00594E13" w:rsidRPr="00D0213C" w:rsidRDefault="00594E13" w:rsidP="004E75B5">
      <w:pPr>
        <w:jc w:val="both"/>
      </w:pPr>
    </w:p>
    <w:p w14:paraId="12969708" w14:textId="362CC667" w:rsidR="00594E13" w:rsidRPr="00D0213C" w:rsidRDefault="00594E13" w:rsidP="004E75B5">
      <w:pPr>
        <w:jc w:val="both"/>
      </w:pPr>
    </w:p>
    <w:p w14:paraId="6EC4359B" w14:textId="7849737E" w:rsidR="00594E13" w:rsidRPr="00D0213C" w:rsidRDefault="00594E13" w:rsidP="004E75B5">
      <w:pPr>
        <w:jc w:val="both"/>
      </w:pPr>
    </w:p>
    <w:p w14:paraId="34E0901A" w14:textId="2604FB81" w:rsidR="00594E13" w:rsidRPr="00D0213C" w:rsidRDefault="00594E13" w:rsidP="004E75B5">
      <w:pPr>
        <w:jc w:val="both"/>
      </w:pPr>
    </w:p>
    <w:p w14:paraId="28315756" w14:textId="07F03F0F" w:rsidR="00594E13" w:rsidRPr="00D0213C" w:rsidRDefault="00594E13" w:rsidP="004E75B5">
      <w:pPr>
        <w:jc w:val="both"/>
      </w:pPr>
    </w:p>
    <w:p w14:paraId="26AFDA7F" w14:textId="435E0EE1" w:rsidR="00594E13" w:rsidRPr="00D0213C" w:rsidRDefault="00594E13" w:rsidP="004E75B5">
      <w:pPr>
        <w:jc w:val="both"/>
      </w:pPr>
    </w:p>
    <w:p w14:paraId="0A6DB84A" w14:textId="2E43AD99" w:rsidR="00594E13" w:rsidRPr="00D0213C" w:rsidRDefault="00594E13" w:rsidP="004E75B5">
      <w:pPr>
        <w:jc w:val="both"/>
      </w:pPr>
    </w:p>
    <w:p w14:paraId="7567A1B1" w14:textId="23B2FEB6" w:rsidR="00594E13" w:rsidRPr="00D0213C" w:rsidRDefault="00594E13" w:rsidP="004E75B5">
      <w:pPr>
        <w:jc w:val="both"/>
      </w:pPr>
    </w:p>
    <w:p w14:paraId="24E245E4" w14:textId="179FF108" w:rsidR="00594E13" w:rsidRPr="00D0213C" w:rsidRDefault="00594E13" w:rsidP="004E75B5">
      <w:pPr>
        <w:jc w:val="both"/>
      </w:pPr>
    </w:p>
    <w:p w14:paraId="6DEE7208" w14:textId="6F998A99" w:rsidR="00594E13" w:rsidRPr="00D0213C" w:rsidRDefault="00594E13" w:rsidP="004E75B5">
      <w:pPr>
        <w:jc w:val="both"/>
      </w:pPr>
    </w:p>
    <w:p w14:paraId="70670CC9" w14:textId="3C6268F1" w:rsidR="00594E13" w:rsidRPr="00D0213C" w:rsidRDefault="00594E13" w:rsidP="004E75B5">
      <w:pPr>
        <w:jc w:val="both"/>
      </w:pPr>
    </w:p>
    <w:p w14:paraId="24CA85E9" w14:textId="77777777" w:rsidR="00D0213C" w:rsidRPr="00D0213C" w:rsidRDefault="00D0213C" w:rsidP="00B42936">
      <w:pPr>
        <w:jc w:val="both"/>
        <w:rPr>
          <w:sz w:val="32"/>
          <w:szCs w:val="32"/>
        </w:rPr>
      </w:pPr>
      <w:r w:rsidRPr="00594E13">
        <w:rPr>
          <w:sz w:val="32"/>
          <w:szCs w:val="32"/>
        </w:rPr>
        <w:lastRenderedPageBreak/>
        <w:t xml:space="preserve">Pilar 2: Capacidades del sistema financiero Prioridad </w:t>
      </w:r>
    </w:p>
    <w:p w14:paraId="087FEF59" w14:textId="77777777" w:rsidR="00D0213C" w:rsidRPr="00D0213C" w:rsidRDefault="00D0213C" w:rsidP="00B42936">
      <w:pPr>
        <w:jc w:val="both"/>
        <w:rPr>
          <w:sz w:val="28"/>
          <w:szCs w:val="28"/>
        </w:rPr>
      </w:pPr>
      <w:r w:rsidRPr="00594E13">
        <w:rPr>
          <w:sz w:val="28"/>
          <w:szCs w:val="28"/>
        </w:rPr>
        <w:t xml:space="preserve">5: Mejorar la supervisión y el cumplimiento del mercado </w:t>
      </w:r>
    </w:p>
    <w:p w14:paraId="2F0DE98C" w14:textId="77777777" w:rsidR="00D0213C" w:rsidRPr="00D0213C" w:rsidRDefault="00D0213C" w:rsidP="00B42936">
      <w:pPr>
        <w:jc w:val="both"/>
      </w:pPr>
      <w:r w:rsidRPr="00594E13">
        <w:t>Garantizar la continuación de un enfoque regulatorio sólido y proactivo para el lavado verde y otras conductas indebidas relacionadas con las finanzas sostenibles fortalecerá la posición de Australia como un destino atractivo para el capital verde.</w:t>
      </w:r>
    </w:p>
    <w:p w14:paraId="43C56CE3" w14:textId="77777777" w:rsidR="00D0213C" w:rsidRPr="00D0213C" w:rsidRDefault="00D0213C" w:rsidP="00B42936">
      <w:pPr>
        <w:jc w:val="both"/>
      </w:pPr>
      <w:r w:rsidRPr="00594E13">
        <w:t>Las finanzas sostenibles son una de las cuatro prioridades estratégicas externas de ASIC para el período 2023-2027. Bajo esta prioridad, la ASIC apoyará la integridad y la eficiencia del mercado a través de la supervisión y el cumplimiento de los estándares actuales de gobernanza y divulgación para reducir los daños del lavado verde, al tiempo que se involucrará estrechamente en los requisitos de divulgación financiera relacionados con el clima. En línea con esta prioridad estratégica, la ASIC está llevando a cabo una vigilancia específica y supervisando las prácticas de divulgación y gobernanza relacionadas con la sostenibilidad en todas sus entidades reguladas.</w:t>
      </w:r>
    </w:p>
    <w:p w14:paraId="4A0FBEEB" w14:textId="77777777" w:rsidR="00D0213C" w:rsidRPr="00D0213C" w:rsidRDefault="00D0213C" w:rsidP="00EE793D">
      <w:pPr>
        <w:jc w:val="both"/>
      </w:pPr>
      <w:r w:rsidRPr="00594E13">
        <w:t>La mejora de las prácticas de supervisión y ejecución, junto con reformas como los requisitos obligatorios de divulgación climática, proporcionarán información transparente y comparable en todos los mercados financieros y respaldarán la capacidad de la ASIC para examinar las reclamaciones realizadas por las entidades reguladas. Otras reformas, como la taxonomía de las finanzas sostenibles y las etiquetas de los productos de inversión, fortalecerán la capacidad de la ASIC para promover la transparencia y responder a las conductas indebidas.</w:t>
      </w:r>
    </w:p>
    <w:p w14:paraId="591C0ED1" w14:textId="77777777" w:rsidR="00D0213C" w:rsidRPr="00D0213C" w:rsidRDefault="00D0213C" w:rsidP="00EE793D">
      <w:pPr>
        <w:jc w:val="both"/>
      </w:pPr>
      <w:r w:rsidRPr="00594E13">
        <w:t>La ASIC seguirá centrándose en la lucha contra las conductas indebidas de lavado verde en 2024-25 a través de una actividad de vigilancia continua y, cuando proceda, de medidas de cumplimiento. Se cubrirán las entidades de toda la población regulada de la ASIC, incluidas las empresas que cotizan en bolsa, las entidades responsables y los fideicomisarios de jubilación.</w:t>
      </w:r>
    </w:p>
    <w:p w14:paraId="3B6C3C9F" w14:textId="77777777" w:rsidR="00D0213C" w:rsidRPr="00D0213C" w:rsidRDefault="00D0213C" w:rsidP="00712A80">
      <w:pPr>
        <w:jc w:val="both"/>
      </w:pPr>
      <w:r w:rsidRPr="00594E13">
        <w:t>La ASIC también continuará compartiendo los hallazgos que surjan de su trabajo de supervisión y aplicación para mejorar y elevar las prácticas del mercado. Las próximas normas de divulgación climática y la orientación asociada también ayudarán a las empresas a comprender las expectativas regulatorias para la divulgación de información financiera relacionada con el clima y a gestionar el riesgo de mala conducta.</w:t>
      </w:r>
    </w:p>
    <w:p w14:paraId="552CA083" w14:textId="2C16AF10" w:rsidR="00594E13" w:rsidRPr="00D0213C" w:rsidRDefault="00594E13" w:rsidP="004E75B5">
      <w:pPr>
        <w:jc w:val="both"/>
      </w:pPr>
    </w:p>
    <w:p w14:paraId="7D46BABF" w14:textId="1D772B99" w:rsidR="00594E13" w:rsidRPr="00D0213C" w:rsidRDefault="00594E13" w:rsidP="004E75B5">
      <w:pPr>
        <w:jc w:val="both"/>
      </w:pPr>
    </w:p>
    <w:p w14:paraId="7FD049F2" w14:textId="74B1C00C" w:rsidR="00594E13" w:rsidRPr="00D0213C" w:rsidRDefault="00594E13" w:rsidP="004E75B5">
      <w:pPr>
        <w:jc w:val="both"/>
      </w:pPr>
    </w:p>
    <w:p w14:paraId="6221855E" w14:textId="3B064E7A" w:rsidR="00594E13" w:rsidRPr="00D0213C" w:rsidRDefault="00594E13" w:rsidP="004E75B5">
      <w:pPr>
        <w:jc w:val="both"/>
      </w:pPr>
    </w:p>
    <w:p w14:paraId="7BFD644D" w14:textId="42FDD0D6" w:rsidR="00594E13" w:rsidRPr="00D0213C" w:rsidRDefault="00594E13" w:rsidP="004E75B5">
      <w:pPr>
        <w:jc w:val="both"/>
      </w:pPr>
    </w:p>
    <w:p w14:paraId="1E418D1E" w14:textId="53CF768A" w:rsidR="00594E13" w:rsidRPr="00D0213C" w:rsidRDefault="00594E13" w:rsidP="004E75B5">
      <w:pPr>
        <w:jc w:val="both"/>
      </w:pPr>
    </w:p>
    <w:p w14:paraId="59036047" w14:textId="71915CF4" w:rsidR="00594E13" w:rsidRPr="00D0213C" w:rsidRDefault="00594E13" w:rsidP="004E75B5">
      <w:pPr>
        <w:jc w:val="both"/>
      </w:pPr>
    </w:p>
    <w:p w14:paraId="70A802AF" w14:textId="787BF220" w:rsidR="00594E13" w:rsidRPr="00D0213C" w:rsidRDefault="00594E13" w:rsidP="004E75B5">
      <w:pPr>
        <w:jc w:val="both"/>
      </w:pPr>
    </w:p>
    <w:p w14:paraId="631FC3E9" w14:textId="77777777" w:rsidR="00D0213C" w:rsidRPr="00D0213C" w:rsidRDefault="00D0213C" w:rsidP="005D3DBB">
      <w:pPr>
        <w:jc w:val="both"/>
        <w:rPr>
          <w:sz w:val="28"/>
          <w:szCs w:val="28"/>
        </w:rPr>
      </w:pPr>
      <w:r w:rsidRPr="00594E13">
        <w:rPr>
          <w:sz w:val="28"/>
          <w:szCs w:val="28"/>
        </w:rPr>
        <w:lastRenderedPageBreak/>
        <w:t xml:space="preserve">Prioridad 6: Identificar y responder a los riesgos financieros sistémicos </w:t>
      </w:r>
    </w:p>
    <w:p w14:paraId="54AB9F4E" w14:textId="77777777" w:rsidR="00D0213C" w:rsidRPr="00D0213C" w:rsidRDefault="00D0213C" w:rsidP="005D3DBB">
      <w:pPr>
        <w:jc w:val="both"/>
      </w:pPr>
      <w:r w:rsidRPr="00594E13">
        <w:t>El Grupo de Trabajo sobre el Clima del CFR se creó en 2017 para coordinar la respuesta de los reguladores a los riesgos financieros relacionados con el clima, incluso a nivel sistémico. APRA ha liderado los esfuerzos del CFR para comprender mejor cómo los riesgos financieros relacionados con el clima afectan a los bancos, las aseguradoras y los fondos de jubilación.</w:t>
      </w:r>
    </w:p>
    <w:p w14:paraId="570B4F1F" w14:textId="77777777" w:rsidR="00D0213C" w:rsidRPr="00D0213C" w:rsidRDefault="00D0213C" w:rsidP="005D3DBB">
      <w:pPr>
        <w:jc w:val="both"/>
      </w:pPr>
      <w:r w:rsidRPr="00594E13">
        <w:t>El CFR continuará ampliando su trabajo sobre los riesgos financieros relacionados con el clima y la sostenibilidad, profundizando las capacidades y prácticas de gestión de riesgos entre los reguladores financieros y los participantes del mercado.</w:t>
      </w:r>
    </w:p>
    <w:p w14:paraId="36E6E421" w14:textId="77777777" w:rsidR="00D0213C" w:rsidRPr="00D0213C" w:rsidRDefault="00D0213C" w:rsidP="00E62E67">
      <w:pPr>
        <w:jc w:val="both"/>
      </w:pPr>
      <w:r w:rsidRPr="00594E13">
        <w:t>APRA continúa trabajando en las Evaluaciones de Vulnerabilidad Climática (PTM). El PTM de Evaluación de la Vulnerabilidad Climática de los Seguros evaluará el impacto del riesgo climático en la asequibilidad de los seguros generales a mediano plazo (hasta 2050). La fase de diseño del CVA de seguros ya se ha completado, y las aseguradoras participantes la están utilizando para modelar el riesgo de peligro natural frente a dos posibles escenarios climáticos futuros. APRA tiene como objetivo publicar las perspectivas del CVA de seguros en el primer semestre de 2025. Este trabajo se basa en un PTM bancario inicial en el que se evaluaron determinados riesgos físicos y climáticos de transición a los que puede enfrentarse el sector bancario y se destacó el valor de la colaboración entre las instituciones financieras y los reguladores para identificar y comprender mejor estos riesgos.</w:t>
      </w:r>
    </w:p>
    <w:p w14:paraId="52CA9DBA" w14:textId="77777777" w:rsidR="00D0213C" w:rsidRPr="00D0213C" w:rsidRDefault="00D0213C" w:rsidP="00E62E67">
      <w:pPr>
        <w:jc w:val="both"/>
      </w:pPr>
      <w:r w:rsidRPr="00A93992">
        <w:t>El Banco de la Reserva también continuará examinando la forma en que el cambio climático afecta a la economía y al sistema financiero como parte de sus responsabilidades en materia de política monetaria y estabilidad financiera. El Banco está fortaleciendo su capacidad para llevar a cabo análisis e investigaciones sobre la forma en que el cambio climático afectará la estructura y el funcionamiento de la economía, las implicaciones para la política monetaria y la forma en que los riesgos climáticos podrían traducirse en riesgos para la estabilidad financiera.</w:t>
      </w:r>
    </w:p>
    <w:p w14:paraId="65A6DD2E" w14:textId="4D8007B3" w:rsidR="00A93992" w:rsidRPr="00D0213C" w:rsidRDefault="00A93992" w:rsidP="004E75B5">
      <w:pPr>
        <w:jc w:val="both"/>
      </w:pPr>
    </w:p>
    <w:p w14:paraId="43B43DA3" w14:textId="74AD675C" w:rsidR="00A93992" w:rsidRPr="00D0213C" w:rsidRDefault="00A93992" w:rsidP="004E75B5">
      <w:pPr>
        <w:jc w:val="both"/>
      </w:pPr>
    </w:p>
    <w:p w14:paraId="3B6329C3" w14:textId="6645E2B2" w:rsidR="00A93992" w:rsidRPr="00D0213C" w:rsidRDefault="00A93992" w:rsidP="004E75B5">
      <w:pPr>
        <w:jc w:val="both"/>
      </w:pPr>
    </w:p>
    <w:p w14:paraId="2216C419" w14:textId="5E6DA91B" w:rsidR="00A93992" w:rsidRPr="00D0213C" w:rsidRDefault="00A93992" w:rsidP="004E75B5">
      <w:pPr>
        <w:jc w:val="both"/>
      </w:pPr>
    </w:p>
    <w:p w14:paraId="2FFD493A" w14:textId="22EEF670" w:rsidR="00A93992" w:rsidRPr="00D0213C" w:rsidRDefault="00A93992" w:rsidP="004E75B5">
      <w:pPr>
        <w:jc w:val="both"/>
      </w:pPr>
    </w:p>
    <w:p w14:paraId="4470DB4A" w14:textId="38996CFE" w:rsidR="00A93992" w:rsidRPr="00D0213C" w:rsidRDefault="00A93992" w:rsidP="004E75B5">
      <w:pPr>
        <w:jc w:val="both"/>
      </w:pPr>
    </w:p>
    <w:p w14:paraId="70F70E35" w14:textId="50E90176" w:rsidR="00A93992" w:rsidRPr="00D0213C" w:rsidRDefault="00A93992" w:rsidP="004E75B5">
      <w:pPr>
        <w:jc w:val="both"/>
      </w:pPr>
    </w:p>
    <w:p w14:paraId="15E9EF9A" w14:textId="4A99915B" w:rsidR="00A93992" w:rsidRPr="00D0213C" w:rsidRDefault="00A93992" w:rsidP="004E75B5">
      <w:pPr>
        <w:jc w:val="both"/>
      </w:pPr>
    </w:p>
    <w:p w14:paraId="006A228F" w14:textId="02BC7AE8" w:rsidR="00A93992" w:rsidRPr="00D0213C" w:rsidRDefault="00A93992" w:rsidP="004E75B5">
      <w:pPr>
        <w:jc w:val="both"/>
      </w:pPr>
    </w:p>
    <w:p w14:paraId="13C3B72E" w14:textId="565714B8" w:rsidR="00A93992" w:rsidRPr="00D0213C" w:rsidRDefault="00A93992" w:rsidP="004E75B5">
      <w:pPr>
        <w:jc w:val="both"/>
      </w:pPr>
    </w:p>
    <w:p w14:paraId="65C2C074" w14:textId="7B5E0FFB" w:rsidR="00A93992" w:rsidRPr="00D0213C" w:rsidRDefault="00A93992" w:rsidP="004E75B5">
      <w:pPr>
        <w:jc w:val="both"/>
      </w:pPr>
    </w:p>
    <w:p w14:paraId="47CF842F" w14:textId="77777777" w:rsidR="00D0213C" w:rsidRPr="00D0213C" w:rsidRDefault="00D0213C" w:rsidP="00114263">
      <w:pPr>
        <w:jc w:val="both"/>
        <w:rPr>
          <w:sz w:val="28"/>
          <w:szCs w:val="28"/>
        </w:rPr>
      </w:pPr>
      <w:r w:rsidRPr="00A93992">
        <w:rPr>
          <w:sz w:val="28"/>
          <w:szCs w:val="28"/>
        </w:rPr>
        <w:lastRenderedPageBreak/>
        <w:t xml:space="preserve">Prioridad 7: Abordar los desafíos analíticos y de datos </w:t>
      </w:r>
    </w:p>
    <w:p w14:paraId="7F0ED04B" w14:textId="77777777" w:rsidR="00D0213C" w:rsidRPr="00D0213C" w:rsidRDefault="00D0213C" w:rsidP="00114263">
      <w:pPr>
        <w:jc w:val="both"/>
      </w:pPr>
      <w:r w:rsidRPr="00A93992">
        <w:t>Los datos de sostenibilidad son un insumo cada vez más importante para la toma de decisiones financieras. Los datos disponibles y precisos permiten a los inversores y a las instituciones financieras evaluar los riesgos y las oportunidades, realizar divulgaciones efectivas y demostrar un progreso creíble hacia los objetivos de sostenibilidad.</w:t>
      </w:r>
    </w:p>
    <w:p w14:paraId="7659C98D" w14:textId="77777777" w:rsidR="00D0213C" w:rsidRPr="00D0213C" w:rsidRDefault="00D0213C" w:rsidP="00114263">
      <w:pPr>
        <w:jc w:val="both"/>
      </w:pPr>
      <w:r w:rsidRPr="00A93992">
        <w:t>En noviembre de 2023, el Tesorero escribió al presidente del CFR solicitando opciones para abordar los principales desafíos de datos relacionados con la sostenibilidad que enfrentan los participantes del sistema financiero. El CFR se centra en cuatro temas clave:</w:t>
      </w:r>
    </w:p>
    <w:p w14:paraId="6D960D3F" w14:textId="77777777" w:rsidR="00D0213C" w:rsidRPr="00D0213C" w:rsidRDefault="00D0213C" w:rsidP="00114263">
      <w:pPr>
        <w:jc w:val="both"/>
      </w:pPr>
      <w:r w:rsidRPr="00A93992">
        <w:t xml:space="preserve">1. Accesibilidad de los datos climáticos corporativos por parte de los participantes del mercado. </w:t>
      </w:r>
    </w:p>
    <w:p w14:paraId="308720CD" w14:textId="77777777" w:rsidR="00D0213C" w:rsidRPr="00D0213C" w:rsidRDefault="00D0213C" w:rsidP="00114263">
      <w:pPr>
        <w:jc w:val="both"/>
      </w:pPr>
      <w:r w:rsidRPr="00A93992">
        <w:t xml:space="preserve">2. Estimación y uso de emisiones de alcance 3 por parte de empresas e instituciones financieras. </w:t>
      </w:r>
    </w:p>
    <w:p w14:paraId="4B021623" w14:textId="77777777" w:rsidR="00D0213C" w:rsidRPr="00D0213C" w:rsidRDefault="00D0213C" w:rsidP="00114263">
      <w:pPr>
        <w:jc w:val="both"/>
      </w:pPr>
      <w:r w:rsidRPr="00A93992">
        <w:t xml:space="preserve">3. Datos para informar las evaluaciones de las empresas sobre los riesgos climáticos físicos y relacionados con la transición. </w:t>
      </w:r>
    </w:p>
    <w:p w14:paraId="2A18295D" w14:textId="77777777" w:rsidR="00D0213C" w:rsidRPr="00D0213C" w:rsidRDefault="00D0213C" w:rsidP="00114263">
      <w:pPr>
        <w:jc w:val="both"/>
      </w:pPr>
      <w:r w:rsidRPr="00A93992">
        <w:t>4. Datos relacionados con la naturaleza relevantes para comprender los riesgos financieros.</w:t>
      </w:r>
    </w:p>
    <w:p w14:paraId="235CBAD2" w14:textId="77777777" w:rsidR="00D0213C" w:rsidRPr="00D0213C" w:rsidRDefault="00D0213C" w:rsidP="00F66460">
      <w:pPr>
        <w:jc w:val="both"/>
      </w:pPr>
      <w:r w:rsidRPr="00A93992">
        <w:t>El proceso implicará estrechas consultas, en particular con los participantes de los mercados financieros y otros organismos gubernamentales. El CFR presentará los hallazgos y recomendaciones clave al Tesorero a principios de 2025.</w:t>
      </w:r>
    </w:p>
    <w:p w14:paraId="3777C76E" w14:textId="77777777" w:rsidR="00D0213C" w:rsidRPr="00D0213C" w:rsidRDefault="00D0213C" w:rsidP="00F66460">
      <w:pPr>
        <w:jc w:val="both"/>
      </w:pPr>
      <w:r w:rsidRPr="00A93992">
        <w:t>Además del trabajo del CFR, otras agencias del Gobierno también están trabajando para abordar los desafíos de datos relacionados con el clima. Algunos ejemplos son:</w:t>
      </w:r>
    </w:p>
    <w:p w14:paraId="092AA932" w14:textId="77777777" w:rsidR="00D0213C" w:rsidRPr="00D0213C" w:rsidRDefault="00D0213C" w:rsidP="00F66460">
      <w:pPr>
        <w:jc w:val="both"/>
      </w:pPr>
      <w:r w:rsidRPr="00A93992">
        <w:t>• DCCEEW está mejorando la transparencia de los datos sobre las emisiones de gases de efecto invernadero mediante reformas al esquema NGER y al esquema de Unidades Australianas de Crédito al Carbono (ACCU).</w:t>
      </w:r>
    </w:p>
    <w:p w14:paraId="44A99BA9" w14:textId="77777777" w:rsidR="00D0213C" w:rsidRPr="00D0213C" w:rsidRDefault="00D0213C" w:rsidP="00F66460">
      <w:pPr>
        <w:jc w:val="both"/>
      </w:pPr>
      <w:r w:rsidRPr="00A93992">
        <w:t>• El Gobierno modificó el esquema NGER como parte de las reformas del Mecanismo de Salvaguardia en 2023 para publicar información adicional sobre las emisiones a nivel de las instalaciones y continúa avanzando en nuevas reformas para mejorar la transparencia y el acceso a los datos de emisiones de gases de efecto invernadero.</w:t>
      </w:r>
    </w:p>
    <w:p w14:paraId="39C57A96" w14:textId="77777777" w:rsidR="00D0213C" w:rsidRPr="00D0213C" w:rsidRDefault="00D0213C" w:rsidP="00F66460">
      <w:pPr>
        <w:jc w:val="both"/>
      </w:pPr>
      <w:r w:rsidRPr="00A93992">
        <w:t>• En el presupuesto 2024-25, el Gobierno comprometió 28,7 millones de dólares a lo largo de diez años (incluidos los 0,9 millones de dólares anuales en curso desde 2028-29) para mejorar la contabilidad de las emisiones de gases de efecto invernadero en el sector de la agricultura y la tierra.</w:t>
      </w:r>
    </w:p>
    <w:p w14:paraId="6C75F239" w14:textId="03DA687A" w:rsidR="00A93992" w:rsidRPr="00D0213C" w:rsidRDefault="00A93992" w:rsidP="004E75B5">
      <w:pPr>
        <w:jc w:val="both"/>
      </w:pPr>
    </w:p>
    <w:p w14:paraId="6CE6B5DB" w14:textId="69DB92D5" w:rsidR="00A93992" w:rsidRPr="00D0213C" w:rsidRDefault="00A93992" w:rsidP="004E75B5">
      <w:pPr>
        <w:jc w:val="both"/>
      </w:pPr>
    </w:p>
    <w:p w14:paraId="279CF462" w14:textId="4B5828DF" w:rsidR="00A93992" w:rsidRPr="00D0213C" w:rsidRDefault="00A93992" w:rsidP="004E75B5">
      <w:pPr>
        <w:jc w:val="both"/>
      </w:pPr>
    </w:p>
    <w:p w14:paraId="1024C19D" w14:textId="6D246C43" w:rsidR="00A93992" w:rsidRPr="00D0213C" w:rsidRDefault="00A93992" w:rsidP="004E75B5">
      <w:pPr>
        <w:jc w:val="both"/>
      </w:pPr>
    </w:p>
    <w:p w14:paraId="295A4A71" w14:textId="07E68D86" w:rsidR="00A93992" w:rsidRPr="00D0213C" w:rsidRDefault="00A93992" w:rsidP="004E75B5">
      <w:pPr>
        <w:jc w:val="both"/>
      </w:pPr>
    </w:p>
    <w:p w14:paraId="32CFF132" w14:textId="6E64E8BF" w:rsidR="00A93992" w:rsidRPr="00D0213C" w:rsidRDefault="00A93992" w:rsidP="004E75B5">
      <w:pPr>
        <w:jc w:val="both"/>
      </w:pPr>
    </w:p>
    <w:p w14:paraId="7827FF1D" w14:textId="77777777" w:rsidR="00D0213C" w:rsidRPr="00D0213C" w:rsidRDefault="00D0213C" w:rsidP="00FB6151">
      <w:pPr>
        <w:jc w:val="both"/>
        <w:rPr>
          <w:sz w:val="28"/>
          <w:szCs w:val="28"/>
        </w:rPr>
      </w:pPr>
      <w:r w:rsidRPr="00A93992">
        <w:rPr>
          <w:sz w:val="28"/>
          <w:szCs w:val="28"/>
        </w:rPr>
        <w:lastRenderedPageBreak/>
        <w:t>Prioridad 8: Garantizar la adecuación de los marcos normativos a su finalidad</w:t>
      </w:r>
    </w:p>
    <w:p w14:paraId="3172FF8F" w14:textId="77777777" w:rsidR="00D0213C" w:rsidRPr="00D0213C" w:rsidRDefault="00D0213C" w:rsidP="00FB6151">
      <w:pPr>
        <w:jc w:val="both"/>
      </w:pPr>
      <w:r w:rsidRPr="00A93992">
        <w:t>El enfoque basado en principios de Australia con respecto a las obligaciones de gobierno corporativo y la regulación financiera se ha adaptado de manera efectiva para incorporar la evolución de la comprensión de los riesgos materiales de sostenibilidad. Tanto la ASIC como la APRA han establecido fuertes expectativas en torno a la divulgación y gestión de los riesgos financieros asociados con el cambio climático dentro de sus mandatos existentes.</w:t>
      </w:r>
    </w:p>
    <w:p w14:paraId="23C2ECE3" w14:textId="77777777" w:rsidR="00D0213C" w:rsidRPr="00D0213C" w:rsidRDefault="00D0213C" w:rsidP="00FB6151">
      <w:pPr>
        <w:jc w:val="both"/>
      </w:pPr>
      <w:r w:rsidRPr="00A93992">
        <w:t>Los comentarios de las partes interesadas sobre la Estrategia de Finanzas Sostenibles coincidieron en general en que los marcos regulatorios financieros son adecuados para su propósito, sin embargo, algunas partes interesadas identificaron preocupaciones con la prueba anual de rendimiento de la jubilación. Algunas presentaciones de las partes interesadas, incluidas las de fondos de jubilación y administradores de inversiones, sugirieron que el diseño actual de la prueba es una barrera para integrar el clima y otras consideraciones de sostenibilidad en la toma de decisiones de inversión en pensiones.</w:t>
      </w:r>
    </w:p>
    <w:p w14:paraId="58170581" w14:textId="77777777" w:rsidR="00D0213C" w:rsidRPr="00D0213C" w:rsidRDefault="00D0213C" w:rsidP="00067F9E">
      <w:pPr>
        <w:jc w:val="both"/>
      </w:pPr>
      <w:r w:rsidRPr="00A93992">
        <w:t>En marzo de 2024, el Gobierno publicó un documento de consulta en el que se solicitaba información sobre cómo perfeccionar la prueba para asegurarse de que los superfondos puedan invertir de forma que se obtengan los mejores rendimientos posibles para los australianos. En el documento de consulta se señalaba la preocupación de las partes interesadas por el hecho de que las estrategias de inversión que difieren sustancialmente de los índices de referencia prescritos se enfrentan a un riesgo adicional de no superar la prueba. Esto podría disuadir a los fondos de jubilación de responder a los riesgos y oportunidades relacionados con la sostenibilidad, que de otro modo podrían ser en el mejor interés financiero de sus miembros, cuando no se alinean estrechamente con los índices de referencia.</w:t>
      </w:r>
    </w:p>
    <w:p w14:paraId="48142169" w14:textId="4752A245" w:rsidR="00A93992" w:rsidRPr="00D0213C" w:rsidRDefault="00A93992" w:rsidP="004E75B5">
      <w:pPr>
        <w:jc w:val="both"/>
      </w:pPr>
    </w:p>
    <w:p w14:paraId="482804D6" w14:textId="424E626E" w:rsidR="00A93992" w:rsidRPr="00D0213C" w:rsidRDefault="00A93992" w:rsidP="004E75B5">
      <w:pPr>
        <w:jc w:val="both"/>
      </w:pPr>
    </w:p>
    <w:p w14:paraId="5422E3E3" w14:textId="598D51B5" w:rsidR="00A93992" w:rsidRPr="00D0213C" w:rsidRDefault="00A93992" w:rsidP="004E75B5">
      <w:pPr>
        <w:jc w:val="both"/>
      </w:pPr>
    </w:p>
    <w:p w14:paraId="1D846938" w14:textId="7BC5425C" w:rsidR="00A93992" w:rsidRPr="00D0213C" w:rsidRDefault="00A93992" w:rsidP="004E75B5">
      <w:pPr>
        <w:jc w:val="both"/>
      </w:pPr>
    </w:p>
    <w:p w14:paraId="598FCC64" w14:textId="7CA0F3AA" w:rsidR="00A93992" w:rsidRPr="00D0213C" w:rsidRDefault="00A93992" w:rsidP="004E75B5">
      <w:pPr>
        <w:jc w:val="both"/>
      </w:pPr>
    </w:p>
    <w:p w14:paraId="45B0AAB5" w14:textId="2591B59A" w:rsidR="00A93992" w:rsidRPr="00D0213C" w:rsidRDefault="00A93992" w:rsidP="004E75B5">
      <w:pPr>
        <w:jc w:val="both"/>
      </w:pPr>
    </w:p>
    <w:p w14:paraId="61F0923C" w14:textId="6526F7F6" w:rsidR="00A93992" w:rsidRPr="00D0213C" w:rsidRDefault="00A93992" w:rsidP="004E75B5">
      <w:pPr>
        <w:jc w:val="both"/>
      </w:pPr>
    </w:p>
    <w:p w14:paraId="2303955A" w14:textId="5B855045" w:rsidR="00A93992" w:rsidRPr="00D0213C" w:rsidRDefault="00A93992" w:rsidP="004E75B5">
      <w:pPr>
        <w:jc w:val="both"/>
      </w:pPr>
    </w:p>
    <w:p w14:paraId="24655836" w14:textId="5EF5CDBB" w:rsidR="00A93992" w:rsidRPr="00D0213C" w:rsidRDefault="00A93992" w:rsidP="004E75B5">
      <w:pPr>
        <w:jc w:val="both"/>
      </w:pPr>
    </w:p>
    <w:p w14:paraId="16E26F07" w14:textId="07CA2F32" w:rsidR="00A93992" w:rsidRPr="00D0213C" w:rsidRDefault="00A93992" w:rsidP="004E75B5">
      <w:pPr>
        <w:jc w:val="both"/>
      </w:pPr>
    </w:p>
    <w:p w14:paraId="728147DC" w14:textId="64AEB3B0" w:rsidR="00A93992" w:rsidRPr="00D0213C" w:rsidRDefault="00A93992" w:rsidP="004E75B5">
      <w:pPr>
        <w:jc w:val="both"/>
      </w:pPr>
    </w:p>
    <w:p w14:paraId="1D304F04" w14:textId="61540B64" w:rsidR="00A93992" w:rsidRPr="00D0213C" w:rsidRDefault="00A93992" w:rsidP="004E75B5">
      <w:pPr>
        <w:jc w:val="both"/>
      </w:pPr>
    </w:p>
    <w:p w14:paraId="7045EB58" w14:textId="45627E03" w:rsidR="00A93992" w:rsidRPr="00D0213C" w:rsidRDefault="00A93992" w:rsidP="004E75B5">
      <w:pPr>
        <w:jc w:val="both"/>
      </w:pPr>
    </w:p>
    <w:p w14:paraId="0537EC68" w14:textId="77777777" w:rsidR="00D0213C" w:rsidRPr="00D0213C" w:rsidRDefault="00D0213C" w:rsidP="003A2136">
      <w:pPr>
        <w:jc w:val="both"/>
        <w:rPr>
          <w:sz w:val="32"/>
          <w:szCs w:val="32"/>
        </w:rPr>
      </w:pPr>
      <w:r w:rsidRPr="00A93992">
        <w:rPr>
          <w:sz w:val="32"/>
          <w:szCs w:val="32"/>
        </w:rPr>
        <w:lastRenderedPageBreak/>
        <w:t xml:space="preserve">Pilar 3: Liderazgo y participación del Gobierno australiano </w:t>
      </w:r>
    </w:p>
    <w:p w14:paraId="4D74FD50" w14:textId="77777777" w:rsidR="00D0213C" w:rsidRPr="00D0213C" w:rsidRDefault="00D0213C" w:rsidP="003A2136">
      <w:pPr>
        <w:jc w:val="both"/>
        <w:rPr>
          <w:sz w:val="28"/>
          <w:szCs w:val="28"/>
        </w:rPr>
      </w:pPr>
      <w:r w:rsidRPr="00A93992">
        <w:rPr>
          <w:sz w:val="28"/>
          <w:szCs w:val="28"/>
        </w:rPr>
        <w:t>Prioridad 9: Emisión de bonos verdes soberanos australianos</w:t>
      </w:r>
    </w:p>
    <w:p w14:paraId="1C26D45C" w14:textId="77777777" w:rsidR="00D0213C" w:rsidRPr="00D0213C" w:rsidRDefault="00D0213C" w:rsidP="003A2136">
      <w:pPr>
        <w:jc w:val="both"/>
      </w:pPr>
      <w:r w:rsidRPr="00A93992">
        <w:t>El Gobierno está emitiendo bonos verdes. Un programa de bonos verdes bien diseñado y creíble ayudará a movilizar capital adicional alineado con el clima, apoyará el desarrollo de los mercados financieros sostenibles más amplios de Australia y señalará el compromiso del Gobierno con los objetivos climáticos, ambientales y otros objetivos relacionados con la sostenibilidad.</w:t>
      </w:r>
    </w:p>
    <w:p w14:paraId="09868C8F" w14:textId="77777777" w:rsidR="00D0213C" w:rsidRPr="00D0213C" w:rsidRDefault="00D0213C" w:rsidP="00AD555E">
      <w:pPr>
        <w:jc w:val="both"/>
      </w:pPr>
      <w:r w:rsidRPr="00A93992">
        <w:t>En diciembre de 2023, la Oficina Australiana de Gestión Financiera (AOFM, por sus siglas en inglés) publicó el Marco de Bonos Verdes del Gobierno Australiano, que ofrece una visión completa de las prioridades climáticas y medioambientales del Gobierno y describe cómo se utilizarán los bonos verdes para financiar los gastos verdes elegibles. Se ha establecido un Comité Interdepartamental de Bonos Verdes, copresidido por el Tesoro y DCCEEW, para apoyar un sólido proceso de gobernanza para la evaluación, selección y presentación de informes continuos de proyectos.</w:t>
      </w:r>
    </w:p>
    <w:p w14:paraId="09CAFB08" w14:textId="77777777" w:rsidR="00D0213C" w:rsidRPr="00D0213C" w:rsidRDefault="00D0213C" w:rsidP="00AD555E">
      <w:pPr>
        <w:jc w:val="both"/>
      </w:pPr>
      <w:r w:rsidRPr="00A93992">
        <w:t>El primer bono verde se emitió el 4 de junio de 2024. La línea de bonos tiene un tamaño de 7.000 millones de dólares y vencerá en junio de 2034. El Gobierno proporcionará a los inversores en bonos verdes informes periódicos y transparentes sobre la asignación y el impacto. Los informes anuales comenzarán en 2025 y se publicarán en el sitio web de la AOFM.</w:t>
      </w:r>
    </w:p>
    <w:p w14:paraId="60201DBD" w14:textId="4B21C66F" w:rsidR="00A93992" w:rsidRPr="00D0213C" w:rsidRDefault="00A93992" w:rsidP="004E75B5">
      <w:pPr>
        <w:jc w:val="both"/>
      </w:pPr>
    </w:p>
    <w:p w14:paraId="69C67194" w14:textId="7D00321F" w:rsidR="00A93992" w:rsidRPr="00D0213C" w:rsidRDefault="00A93992" w:rsidP="004E75B5">
      <w:pPr>
        <w:jc w:val="both"/>
      </w:pPr>
    </w:p>
    <w:p w14:paraId="0B8FDD08" w14:textId="291F227F" w:rsidR="00A93992" w:rsidRPr="00D0213C" w:rsidRDefault="00A93992" w:rsidP="004E75B5">
      <w:pPr>
        <w:jc w:val="both"/>
      </w:pPr>
    </w:p>
    <w:p w14:paraId="2A7B2A85" w14:textId="521AF5A0" w:rsidR="00A93992" w:rsidRPr="00D0213C" w:rsidRDefault="00A93992" w:rsidP="004E75B5">
      <w:pPr>
        <w:jc w:val="both"/>
      </w:pPr>
    </w:p>
    <w:p w14:paraId="6F4DD5A3" w14:textId="1809B83E" w:rsidR="00A93992" w:rsidRPr="00D0213C" w:rsidRDefault="00A93992" w:rsidP="004E75B5">
      <w:pPr>
        <w:jc w:val="both"/>
      </w:pPr>
    </w:p>
    <w:p w14:paraId="47EDD6E6" w14:textId="0A5A0E20" w:rsidR="00A93992" w:rsidRPr="00D0213C" w:rsidRDefault="00A93992" w:rsidP="004E75B5">
      <w:pPr>
        <w:jc w:val="both"/>
      </w:pPr>
    </w:p>
    <w:p w14:paraId="3BDC8990" w14:textId="16962C09" w:rsidR="00A93992" w:rsidRPr="00D0213C" w:rsidRDefault="00A93992" w:rsidP="004E75B5">
      <w:pPr>
        <w:jc w:val="both"/>
      </w:pPr>
    </w:p>
    <w:p w14:paraId="1A241D21" w14:textId="767E35E1" w:rsidR="00A93992" w:rsidRPr="00D0213C" w:rsidRDefault="00A93992" w:rsidP="004E75B5">
      <w:pPr>
        <w:jc w:val="both"/>
      </w:pPr>
    </w:p>
    <w:p w14:paraId="62E5F019" w14:textId="2A38D68F" w:rsidR="00A93992" w:rsidRPr="00D0213C" w:rsidRDefault="00A93992" w:rsidP="004E75B5">
      <w:pPr>
        <w:jc w:val="both"/>
      </w:pPr>
    </w:p>
    <w:p w14:paraId="618BFFDE" w14:textId="52E3D245" w:rsidR="00A93992" w:rsidRPr="00D0213C" w:rsidRDefault="00A93992" w:rsidP="004E75B5">
      <w:pPr>
        <w:jc w:val="both"/>
      </w:pPr>
    </w:p>
    <w:p w14:paraId="09068D1E" w14:textId="5B606887" w:rsidR="00A93992" w:rsidRPr="00D0213C" w:rsidRDefault="00A93992" w:rsidP="004E75B5">
      <w:pPr>
        <w:jc w:val="both"/>
      </w:pPr>
    </w:p>
    <w:p w14:paraId="1C96D877" w14:textId="61FB0367" w:rsidR="00A93992" w:rsidRPr="00D0213C" w:rsidRDefault="00A93992" w:rsidP="004E75B5">
      <w:pPr>
        <w:jc w:val="both"/>
      </w:pPr>
    </w:p>
    <w:p w14:paraId="75BE6CC4" w14:textId="255FA00E" w:rsidR="00A93992" w:rsidRPr="00D0213C" w:rsidRDefault="00A93992" w:rsidP="004E75B5">
      <w:pPr>
        <w:jc w:val="both"/>
      </w:pPr>
    </w:p>
    <w:p w14:paraId="608BEE82" w14:textId="7349DE9E" w:rsidR="00A93992" w:rsidRPr="00D0213C" w:rsidRDefault="00A93992" w:rsidP="004E75B5">
      <w:pPr>
        <w:jc w:val="both"/>
      </w:pPr>
    </w:p>
    <w:p w14:paraId="73EE5B17" w14:textId="1A297FC3" w:rsidR="00A93992" w:rsidRPr="00D0213C" w:rsidRDefault="00A93992" w:rsidP="004E75B5">
      <w:pPr>
        <w:jc w:val="both"/>
      </w:pPr>
    </w:p>
    <w:p w14:paraId="45171FCD" w14:textId="232BCBA6" w:rsidR="00A93992" w:rsidRPr="00D0213C" w:rsidRDefault="00A93992" w:rsidP="004E75B5">
      <w:pPr>
        <w:jc w:val="both"/>
      </w:pPr>
    </w:p>
    <w:p w14:paraId="52E190F4" w14:textId="77777777" w:rsidR="00D0213C" w:rsidRPr="00D0213C" w:rsidRDefault="00D0213C" w:rsidP="000C4FD4">
      <w:pPr>
        <w:jc w:val="both"/>
        <w:rPr>
          <w:sz w:val="28"/>
          <w:szCs w:val="28"/>
        </w:rPr>
      </w:pPr>
      <w:r w:rsidRPr="00A93992">
        <w:rPr>
          <w:sz w:val="28"/>
          <w:szCs w:val="28"/>
        </w:rPr>
        <w:lastRenderedPageBreak/>
        <w:t xml:space="preserve">Prioridad 10: Intensificar el compromiso internacional de Australia </w:t>
      </w:r>
    </w:p>
    <w:p w14:paraId="3282AF64" w14:textId="77777777" w:rsidR="00D0213C" w:rsidRPr="00D0213C" w:rsidRDefault="00D0213C" w:rsidP="000C4FD4">
      <w:pPr>
        <w:jc w:val="both"/>
      </w:pPr>
      <w:r w:rsidRPr="00A93992">
        <w:t>El Gobierno se ha comprometido a intensificar la participación internacional de Australia en materia de finanzas sostenibles para promover el desarrollo de normas mundiales coherentes y marcos interoperables de alta calidad. Estos esfuerzos facilitarán la alineación de los marcos en las diferentes jurisdicciones y garantizarán que los marcos y estándares globales atiendan los problemas que son relevantes para la economía de Australia y nuestra región circundante, y no creen nuevas barreras para la inversión transfronteriza.</w:t>
      </w:r>
    </w:p>
    <w:p w14:paraId="5A8F657F" w14:textId="77777777" w:rsidR="00D0213C" w:rsidRPr="00D0213C" w:rsidRDefault="00D0213C" w:rsidP="000C4FD4">
      <w:pPr>
        <w:jc w:val="both"/>
      </w:pPr>
      <w:r w:rsidRPr="00A93992">
        <w:t>Australia intensificará su participación en la política de finanzas sostenibles en foros multilaterales y regionales, y profundizará nuestras relaciones bilaterales para promover la alta ambición, el intercambio de conocimientos, el desarrollo de capacidades y la interoperabilidad.</w:t>
      </w:r>
    </w:p>
    <w:p w14:paraId="3FF096E4" w14:textId="77777777" w:rsidR="00D0213C" w:rsidRPr="00D0213C" w:rsidRDefault="00D0213C" w:rsidP="003403AD">
      <w:pPr>
        <w:jc w:val="both"/>
      </w:pPr>
      <w:r w:rsidRPr="00A93992">
        <w:t>La participación internacional se centrará en las siguientes áreas prioritarias:</w:t>
      </w:r>
    </w:p>
    <w:p w14:paraId="0BD97CFA" w14:textId="77777777" w:rsidR="00D0213C" w:rsidRPr="00D0213C" w:rsidRDefault="00D0213C" w:rsidP="003403AD">
      <w:pPr>
        <w:jc w:val="both"/>
      </w:pPr>
      <w:r w:rsidRPr="00A93992">
        <w:t>• Compromiso de la ASEAN, para implementar las recomendaciones de la Estrategia Económica de Australia para el Sudeste Asiático hasta 2040.</w:t>
      </w:r>
    </w:p>
    <w:p w14:paraId="319C359F" w14:textId="77777777" w:rsidR="00D0213C" w:rsidRPr="00D0213C" w:rsidRDefault="00D0213C" w:rsidP="003403AD">
      <w:pPr>
        <w:jc w:val="both"/>
      </w:pPr>
      <w:r w:rsidRPr="00A93992">
        <w:t>• Compromiso bilateral, sobre la base de agendas o compromisos de cooperación, incluidos el Diálogo sobre Clima y Finanzas 2+2 entre Australia y Nueva Zelanda, el Acuerdo de Economía Verde entre Singapur y Australia, la Asociación para el Clima y la Infraestructura entre Australia e Indonesia y el Acuerdo de Libre Comercio entre Australia y el Reino Unido.</w:t>
      </w:r>
    </w:p>
    <w:p w14:paraId="50C1F472" w14:textId="77777777" w:rsidR="00D0213C" w:rsidRPr="00D0213C" w:rsidRDefault="00D0213C" w:rsidP="003403AD">
      <w:pPr>
        <w:jc w:val="both"/>
      </w:pPr>
      <w:r w:rsidRPr="00A93992">
        <w:t xml:space="preserve">• Compromiso multilateral y regional para apoyar las agendas en foros clave como el Grupo de Trabajo de Finanzas Sostenibles (SFWG) del G20, la Coalición de </w:t>
      </w:r>
      <w:proofErr w:type="gramStart"/>
      <w:r w:rsidRPr="00A93992">
        <w:t>Ministros</w:t>
      </w:r>
      <w:proofErr w:type="gramEnd"/>
      <w:r w:rsidRPr="00A93992">
        <w:t xml:space="preserve"> de Finanzas para la Acción Climática (CFMCA), la Plataforma Internacional para las Finanzas Sostenibles (IPSF), la Convención Marco de las Naciones Unidas sobre el Cambio Climático (CMNUCC) y el Acuerdo de París.</w:t>
      </w:r>
    </w:p>
    <w:p w14:paraId="7FE4645A" w14:textId="77777777" w:rsidR="00D0213C" w:rsidRPr="00D0213C" w:rsidRDefault="00D0213C" w:rsidP="00CB0B9A">
      <w:pPr>
        <w:jc w:val="both"/>
      </w:pPr>
      <w:r w:rsidRPr="00A93992">
        <w:t xml:space="preserve">Australia acogerá la Cumbre Mundial Positiva de la Naturaleza en 2024, para ayudar a crear un consenso sobre los principios y la configuración de políticas para generar inversiones en la naturaleza, tanto en Australia como a nivel mundial. </w:t>
      </w:r>
    </w:p>
    <w:p w14:paraId="77EAD072" w14:textId="77777777" w:rsidR="00D0213C" w:rsidRPr="00D0213C" w:rsidRDefault="00D0213C" w:rsidP="00CB0B9A">
      <w:pPr>
        <w:jc w:val="both"/>
      </w:pPr>
      <w:r w:rsidRPr="00A93992">
        <w:t xml:space="preserve">Australia también seguirá apoyando modelos y enfoques de financiación innovadores para apoyar la inversión sostenible en nuestra región. Ello complementará la ampliación de los esfuerzos de financiación directa dirigidos por el Gobierno en la región. </w:t>
      </w:r>
    </w:p>
    <w:p w14:paraId="064B9A15" w14:textId="77777777" w:rsidR="00D0213C" w:rsidRPr="00D0213C" w:rsidRDefault="00D0213C" w:rsidP="00CB0B9A">
      <w:pPr>
        <w:jc w:val="both"/>
      </w:pPr>
      <w:r w:rsidRPr="00A93992">
        <w:t>Australia seguirá esforzándose en los foros internacionales, incluido el G20, para abogar por el desarrollo de estructuras de mercado que recompensen a los productores de recursos mundiales que mejoren su huella ambiental y social.</w:t>
      </w:r>
    </w:p>
    <w:p w14:paraId="1D62C410" w14:textId="77777777" w:rsidR="00D0213C" w:rsidRPr="00D0213C" w:rsidRDefault="00D0213C" w:rsidP="00CB0B9A">
      <w:pPr>
        <w:jc w:val="both"/>
      </w:pPr>
    </w:p>
    <w:p w14:paraId="2F57739E" w14:textId="48FB49D1" w:rsidR="00A93992" w:rsidRPr="00D0213C" w:rsidRDefault="00A93992" w:rsidP="004E75B5">
      <w:pPr>
        <w:jc w:val="both"/>
      </w:pPr>
    </w:p>
    <w:p w14:paraId="6B4BB376" w14:textId="52309C38" w:rsidR="00A93992" w:rsidRPr="00D0213C" w:rsidRDefault="00A93992" w:rsidP="004E75B5">
      <w:pPr>
        <w:jc w:val="both"/>
      </w:pPr>
    </w:p>
    <w:p w14:paraId="2DE5EEFB" w14:textId="690DD678" w:rsidR="00A93992" w:rsidRPr="00D0213C" w:rsidRDefault="00A93992" w:rsidP="004E75B5">
      <w:pPr>
        <w:jc w:val="both"/>
      </w:pPr>
    </w:p>
    <w:p w14:paraId="52E997C7" w14:textId="6670937E" w:rsidR="00A93992" w:rsidRPr="00D0213C" w:rsidRDefault="00A93992" w:rsidP="004E75B5">
      <w:pPr>
        <w:jc w:val="both"/>
      </w:pPr>
    </w:p>
    <w:p w14:paraId="07D73FB0" w14:textId="67B30087" w:rsidR="00A93992" w:rsidRPr="00D0213C" w:rsidRDefault="00A93992" w:rsidP="004E75B5">
      <w:pPr>
        <w:jc w:val="both"/>
      </w:pPr>
    </w:p>
    <w:p w14:paraId="592820B8" w14:textId="737C1F56" w:rsidR="00A93992" w:rsidRPr="00D0213C" w:rsidRDefault="00A93992" w:rsidP="004E75B5">
      <w:pPr>
        <w:jc w:val="both"/>
      </w:pPr>
    </w:p>
    <w:p w14:paraId="7BCB270A" w14:textId="1FD4C0DE" w:rsidR="00A93992" w:rsidRPr="00A93992" w:rsidRDefault="00A93992" w:rsidP="004E75B5">
      <w:pPr>
        <w:jc w:val="both"/>
        <w:rPr>
          <w:lang w:val="en-US"/>
        </w:rPr>
      </w:pPr>
      <w:r w:rsidRPr="00A93992">
        <w:rPr>
          <w:noProof/>
          <w:lang w:val="en-US"/>
        </w:rPr>
        <w:drawing>
          <wp:inline distT="0" distB="0" distL="0" distR="0" wp14:anchorId="3FF7BFEB" wp14:editId="49FDFF33">
            <wp:extent cx="5612130" cy="37211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21100"/>
                    </a:xfrm>
                    <a:prstGeom prst="rect">
                      <a:avLst/>
                    </a:prstGeom>
                  </pic:spPr>
                </pic:pic>
              </a:graphicData>
            </a:graphic>
          </wp:inline>
        </w:drawing>
      </w:r>
    </w:p>
    <w:p w14:paraId="2C2A7C02" w14:textId="74E41E7B" w:rsidR="00A93992" w:rsidRDefault="00A93992" w:rsidP="004E75B5">
      <w:pPr>
        <w:jc w:val="both"/>
        <w:rPr>
          <w:lang w:val="en-US"/>
        </w:rPr>
      </w:pPr>
    </w:p>
    <w:sectPr w:rsidR="00A939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5"/>
    <w:rsid w:val="003E5938"/>
    <w:rsid w:val="004E75B5"/>
    <w:rsid w:val="00594E13"/>
    <w:rsid w:val="00744843"/>
    <w:rsid w:val="00806F9F"/>
    <w:rsid w:val="00A067E0"/>
    <w:rsid w:val="00A93992"/>
    <w:rsid w:val="00D02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C08F"/>
  <w15:chartTrackingRefBased/>
  <w15:docId w15:val="{5B30E444-CB60-4A29-BEAF-640DCECF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5B5"/>
    <w:rPr>
      <w:color w:val="0563C1" w:themeColor="hyperlink"/>
      <w:u w:val="single"/>
    </w:rPr>
  </w:style>
  <w:style w:type="character" w:styleId="Mencinsinresolver">
    <w:name w:val="Unresolved Mention"/>
    <w:basedOn w:val="Fuentedeprrafopredeter"/>
    <w:uiPriority w:val="99"/>
    <w:semiHidden/>
    <w:unhideWhenUsed/>
    <w:rsid w:val="004E75B5"/>
    <w:rPr>
      <w:color w:val="605E5C"/>
      <w:shd w:val="clear" w:color="auto" w:fill="E1DFDD"/>
    </w:rPr>
  </w:style>
  <w:style w:type="character" w:styleId="Hipervnculovisitado">
    <w:name w:val="FollowedHyperlink"/>
    <w:basedOn w:val="Fuentedeprrafopredeter"/>
    <w:uiPriority w:val="99"/>
    <w:semiHidden/>
    <w:unhideWhenUsed/>
    <w:rsid w:val="00594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69530">
      <w:bodyDiv w:val="1"/>
      <w:marLeft w:val="0"/>
      <w:marRight w:val="0"/>
      <w:marTop w:val="0"/>
      <w:marBottom w:val="0"/>
      <w:divBdr>
        <w:top w:val="none" w:sz="0" w:space="0" w:color="auto"/>
        <w:left w:val="none" w:sz="0" w:space="0" w:color="auto"/>
        <w:bottom w:val="none" w:sz="0" w:space="0" w:color="auto"/>
        <w:right w:val="none" w:sz="0" w:space="0" w:color="auto"/>
      </w:divBdr>
      <w:divsChild>
        <w:div w:id="1226793034">
          <w:marLeft w:val="0"/>
          <w:marRight w:val="0"/>
          <w:marTop w:val="150"/>
          <w:marBottom w:val="0"/>
          <w:divBdr>
            <w:top w:val="none" w:sz="0" w:space="0" w:color="auto"/>
            <w:left w:val="none" w:sz="0" w:space="0" w:color="auto"/>
            <w:bottom w:val="none" w:sz="0" w:space="0" w:color="auto"/>
            <w:right w:val="none" w:sz="0" w:space="0" w:color="auto"/>
          </w:divBdr>
          <w:divsChild>
            <w:div w:id="1610621009">
              <w:marLeft w:val="-1050"/>
              <w:marRight w:val="0"/>
              <w:marTop w:val="0"/>
              <w:marBottom w:val="0"/>
              <w:divBdr>
                <w:top w:val="none" w:sz="0" w:space="0" w:color="auto"/>
                <w:left w:val="none" w:sz="0" w:space="0" w:color="auto"/>
                <w:bottom w:val="none" w:sz="0" w:space="0" w:color="auto"/>
                <w:right w:val="none" w:sz="0" w:space="0" w:color="auto"/>
              </w:divBdr>
              <w:divsChild>
                <w:div w:id="371612246">
                  <w:marLeft w:val="0"/>
                  <w:marRight w:val="300"/>
                  <w:marTop w:val="0"/>
                  <w:marBottom w:val="0"/>
                  <w:divBdr>
                    <w:top w:val="none" w:sz="0" w:space="0" w:color="auto"/>
                    <w:left w:val="none" w:sz="0" w:space="0" w:color="auto"/>
                    <w:bottom w:val="none" w:sz="0" w:space="0" w:color="auto"/>
                    <w:right w:val="none" w:sz="0" w:space="0" w:color="auto"/>
                  </w:divBdr>
                </w:div>
                <w:div w:id="98570110">
                  <w:marLeft w:val="1050"/>
                  <w:marRight w:val="0"/>
                  <w:marTop w:val="0"/>
                  <w:marBottom w:val="0"/>
                  <w:divBdr>
                    <w:top w:val="none" w:sz="0" w:space="0" w:color="auto"/>
                    <w:left w:val="none" w:sz="0" w:space="0" w:color="auto"/>
                    <w:bottom w:val="none" w:sz="0" w:space="0" w:color="auto"/>
                    <w:right w:val="none" w:sz="0" w:space="0" w:color="auto"/>
                  </w:divBdr>
                  <w:divsChild>
                    <w:div w:id="725488571">
                      <w:marLeft w:val="0"/>
                      <w:marRight w:val="0"/>
                      <w:marTop w:val="75"/>
                      <w:marBottom w:val="0"/>
                      <w:divBdr>
                        <w:top w:val="none" w:sz="0" w:space="0" w:color="auto"/>
                        <w:left w:val="none" w:sz="0" w:space="0" w:color="auto"/>
                        <w:bottom w:val="none" w:sz="0" w:space="0" w:color="auto"/>
                        <w:right w:val="none" w:sz="0" w:space="0" w:color="auto"/>
                      </w:divBdr>
                      <w:divsChild>
                        <w:div w:id="916793748">
                          <w:marLeft w:val="0"/>
                          <w:marRight w:val="0"/>
                          <w:marTop w:val="0"/>
                          <w:marBottom w:val="75"/>
                          <w:divBdr>
                            <w:top w:val="none" w:sz="0" w:space="0" w:color="auto"/>
                            <w:left w:val="none" w:sz="0" w:space="0" w:color="auto"/>
                            <w:bottom w:val="single" w:sz="6" w:space="4" w:color="DDDDDD"/>
                            <w:right w:val="none" w:sz="0" w:space="0" w:color="auto"/>
                          </w:divBdr>
                          <w:divsChild>
                            <w:div w:id="1093940996">
                              <w:marLeft w:val="0"/>
                              <w:marRight w:val="0"/>
                              <w:marTop w:val="0"/>
                              <w:marBottom w:val="0"/>
                              <w:divBdr>
                                <w:top w:val="none" w:sz="0" w:space="0" w:color="auto"/>
                                <w:left w:val="none" w:sz="0" w:space="0" w:color="auto"/>
                                <w:bottom w:val="none" w:sz="0" w:space="0" w:color="auto"/>
                                <w:right w:val="none" w:sz="0" w:space="0" w:color="auto"/>
                              </w:divBdr>
                            </w:div>
                          </w:divsChild>
                        </w:div>
                        <w:div w:id="4710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6942">
          <w:marLeft w:val="0"/>
          <w:marRight w:val="0"/>
          <w:marTop w:val="0"/>
          <w:marBottom w:val="0"/>
          <w:divBdr>
            <w:top w:val="none" w:sz="0" w:space="0" w:color="auto"/>
            <w:left w:val="none" w:sz="0" w:space="0" w:color="auto"/>
            <w:bottom w:val="none" w:sz="0" w:space="0" w:color="auto"/>
            <w:right w:val="none" w:sz="0" w:space="0" w:color="auto"/>
          </w:divBdr>
          <w:divsChild>
            <w:div w:id="1225986301">
              <w:marLeft w:val="0"/>
              <w:marRight w:val="0"/>
              <w:marTop w:val="0"/>
              <w:marBottom w:val="0"/>
              <w:divBdr>
                <w:top w:val="none" w:sz="0" w:space="0" w:color="auto"/>
                <w:left w:val="none" w:sz="0" w:space="0" w:color="auto"/>
                <w:bottom w:val="none" w:sz="0" w:space="0" w:color="auto"/>
                <w:right w:val="none" w:sz="0" w:space="0" w:color="auto"/>
              </w:divBdr>
              <w:divsChild>
                <w:div w:id="694188286">
                  <w:marLeft w:val="0"/>
                  <w:marRight w:val="0"/>
                  <w:marTop w:val="0"/>
                  <w:marBottom w:val="0"/>
                  <w:divBdr>
                    <w:top w:val="none" w:sz="0" w:space="0" w:color="auto"/>
                    <w:left w:val="none" w:sz="0" w:space="0" w:color="auto"/>
                    <w:bottom w:val="none" w:sz="0" w:space="0" w:color="auto"/>
                    <w:right w:val="none" w:sz="0" w:space="0" w:color="auto"/>
                  </w:divBdr>
                  <w:divsChild>
                    <w:div w:id="729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asia.com/australia-publishes-new-sustainable-finance-roadma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pkyz04.na1.hubspotlinks.com/Ctc/LV+113/cpkYZ04/VVxJwk6Gkc-3W2kNN2J3TNmHHW4125np5gwYflN7dHCvY3qn9gW8wLKSR6lZ3mcW2VPvn-2HTMdkN5GF3lYKXFBBVj98tc1cv5dyN3xG1Nggfg5wW97xShY3bQqy3W4ZTgLP5D6_9dW9c8kP453hBpSW3Z1CZJ6vxrXDW89894P1WX-stW56zShV1CQhShW2XK8sd3hJzVNW6FfJ1T2DtjjcW2Cp6Xp7Ltw_KW4XSl2-4-hwFPVSFxfS5p2L6gW6ZZ_Fc4cNDMrW4Tm8sT8ND9hmW4LdHTB1MQ9hpW1dSkyZ5QrnM2W3LGPTf54XvTLW8Mj3l-67JB-2W675B-l8Q2_L8W1vDZLM3SPhybW73w3V86Y1zjWW8tzdCN3RPG7fW6pGLh53pvs35W24Hc5b4tds_hN6Wh_c1Wn3jPf2qsTkl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gcc.org.au/sustainable-finance-roadmap-is-a-critical-step-towards-australia-being-a-magnet-for-capital/" TargetMode="External"/><Relationship Id="rId11" Type="http://schemas.openxmlformats.org/officeDocument/2006/relationships/image" Target="media/image4.png"/><Relationship Id="rId5" Type="http://schemas.openxmlformats.org/officeDocument/2006/relationships/hyperlink" Target="https://www.esginvestor.net/author/jack-grogan-fenn/" TargetMode="Externa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4294</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2024-07-04T21:27:00Z</dcterms:created>
  <dcterms:modified xsi:type="dcterms:W3CDTF">2024-08-20T03:17:00Z</dcterms:modified>
</cp:coreProperties>
</file>