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D3D8" w14:textId="77777777" w:rsidR="002A1A42" w:rsidRPr="002A1A42" w:rsidRDefault="002A1A42" w:rsidP="002A1A42">
      <w:pPr>
        <w:jc w:val="both"/>
        <w:rPr>
          <w:rFonts w:ascii="Abadi" w:hAnsi="Abadi"/>
          <w:sz w:val="28"/>
          <w:szCs w:val="28"/>
        </w:rPr>
      </w:pPr>
      <w:r w:rsidRPr="002A1A42">
        <w:rPr>
          <w:rFonts w:ascii="Abadi" w:hAnsi="Abadi"/>
          <w:sz w:val="28"/>
          <w:szCs w:val="28"/>
        </w:rPr>
        <w:t>Exploración de valores booleanos y enumeraciones en nuevas taxonomías ESG</w:t>
      </w:r>
    </w:p>
    <w:p w14:paraId="6498C528" w14:textId="4FB2C6E4" w:rsidR="002A1A42" w:rsidRPr="002A1A42" w:rsidRDefault="002A1A42" w:rsidP="002A1A42">
      <w:pPr>
        <w:jc w:val="both"/>
      </w:pPr>
      <w:r w:rsidRPr="002A1A42">
        <w:rPr>
          <w:noProof/>
        </w:rPr>
        <w:drawing>
          <wp:inline distT="0" distB="0" distL="0" distR="0" wp14:anchorId="726D3C22" wp14:editId="5700AB26">
            <wp:extent cx="5612130" cy="3747770"/>
            <wp:effectExtent l="0" t="0" r="7620" b="5080"/>
            <wp:docPr id="4" name="Imagen 4" descr="Explorando booleanos y enumeraciones en nuevas taxonomías E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orando booleanos y enumeraciones en nuevas taxonomías ES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7CDB0CA3" w14:textId="77777777" w:rsidR="002A1A42" w:rsidRPr="002A1A42" w:rsidRDefault="002A1A42" w:rsidP="002A1A42">
      <w:pPr>
        <w:jc w:val="both"/>
      </w:pPr>
      <w:r w:rsidRPr="002A1A42">
        <w:t>Publicado el 29 de septiembre de 2024 por</w:t>
      </w:r>
      <w:r>
        <w:t xml:space="preserve"> </w:t>
      </w:r>
      <w:hyperlink r:id="rId6" w:history="1">
        <w:r w:rsidRPr="002A1A42">
          <w:rPr>
            <w:rStyle w:val="Hipervnculo"/>
            <w:b/>
            <w:bCs/>
          </w:rPr>
          <w:t>Editor</w:t>
        </w:r>
      </w:hyperlink>
    </w:p>
    <w:p w14:paraId="53D06D58" w14:textId="77777777" w:rsidR="002A1A42" w:rsidRPr="002A1A42" w:rsidRDefault="002A1A42" w:rsidP="002A1A42">
      <w:pPr>
        <w:jc w:val="both"/>
      </w:pPr>
      <w:r w:rsidRPr="002A1A42">
        <w:t>La creación de informes digitales a menudo requiere la captura de información que va más allá de los números puros. Dado que la divulgación financiera y de sostenibilidad se está trasladando cada vez más a formatos digitales estructurados, comprender cómo transmitir datos narrativos con claridad es cada vez más importante.</w:t>
      </w:r>
    </w:p>
    <w:p w14:paraId="7DFFA354" w14:textId="77777777" w:rsidR="002A1A42" w:rsidRPr="002A1A42" w:rsidRDefault="002A1A42" w:rsidP="002A1A42">
      <w:pPr>
        <w:jc w:val="both"/>
      </w:pPr>
      <w:r w:rsidRPr="002A1A42">
        <w:t>En esta nueva publicación invitada en nuestro blog, Catalina Ibáñez Gutiérrez y Carina Tepper de Lucanet Amana, miembros de nuestro Grupo de Trabajo de Diseño de Taxonomía, exploran el papel de los valores booleanos y las enumeraciones en la simplificación de estas revelaciones.</w:t>
      </w:r>
    </w:p>
    <w:p w14:paraId="5329CFF7" w14:textId="77777777" w:rsidR="002A1A42" w:rsidRPr="002A1A42" w:rsidRDefault="002A1A42" w:rsidP="002A1A42">
      <w:pPr>
        <w:jc w:val="both"/>
      </w:pPr>
      <w:r w:rsidRPr="002A1A42">
        <w:t>Los valores booleanos (puntos de datos simples verdaderos o falsos) ayudan a aclarar preguntas clave de tipo sí o no en los informes, como por ejemplo si se han implementado ciertas políticas o métricas de desempeño. Las enumeraciones van un paso más allá y ofrecen listas predefinidas de respuestas a preguntas más complejas, lo que permite a los usuarios seleccionar opciones como “corto plazo”, “mediano plazo” o “largo plazo”. Estos elementos se han utilizado durante años en la taxonomía de los PCGA de EE. UU. y ahora son fundamentales para la Taxonomía de divulgación de sustentabilidad de las NIIF, la Taxonomía de divulgación de sustentabilidad de EFRAG y la Taxonomía de sustentabilidad de GRI, lo que ayuda a que los datos narrativos fluyan sin problemas hacia formatos digitales como iXBRL.</w:t>
      </w:r>
    </w:p>
    <w:p w14:paraId="061C19B7" w14:textId="77777777" w:rsidR="002A1A42" w:rsidRPr="002A1A42" w:rsidRDefault="002A1A42" w:rsidP="002A1A42">
      <w:pPr>
        <w:jc w:val="both"/>
      </w:pPr>
      <w:r w:rsidRPr="002A1A42">
        <w:lastRenderedPageBreak/>
        <w:t>Al incorporar operaciones booleanas y enumeraciones, los preparadores pueden transmitir información cualitativa con precisión, lo que garantiza que las divulgaciones críticas no solo sean precisas, sino también fáciles de interpretar. Este enfoque mejora la comparabilidad entre informes, lo que permite a las partes interesadas profundizar en los datos narrativos y extraer información valiosa, todo ello al tiempo que reduce la ambigüedad.</w:t>
      </w:r>
    </w:p>
    <w:p w14:paraId="7F1332EE" w14:textId="1A2C8654" w:rsidR="002A1A42" w:rsidRPr="002A1A42" w:rsidRDefault="002A1A42" w:rsidP="002A1A42">
      <w:pPr>
        <w:jc w:val="both"/>
      </w:pPr>
      <w:r w:rsidRPr="002A1A42">
        <w:t>Para conocer más en profundidad cómo estos elementos están transformando los informes financieros y de sostenibilidad digitales, lea la publicación completa en nuestro blog</w:t>
      </w:r>
      <w:r w:rsidR="00130CE6">
        <w:t xml:space="preserve"> </w:t>
      </w:r>
      <w:hyperlink r:id="rId7" w:tgtFrame="_blank" w:history="1">
        <w:r w:rsidRPr="002A1A42">
          <w:rPr>
            <w:rStyle w:val="Hipervnculo"/>
          </w:rPr>
          <w:t>aquí</w:t>
        </w:r>
      </w:hyperlink>
      <w:r w:rsidRPr="002A1A42">
        <w:t>.</w:t>
      </w:r>
    </w:p>
    <w:p w14:paraId="1E95D02B" w14:textId="5FCE3ACD" w:rsidR="002A1A42" w:rsidRPr="002A1A42" w:rsidRDefault="00D90E32" w:rsidP="002A1A42">
      <w:pPr>
        <w:jc w:val="both"/>
      </w:pPr>
      <w:hyperlink r:id="rId8" w:history="1">
        <w:r w:rsidR="002A1A42" w:rsidRPr="002A1A42">
          <w:rPr>
            <w:rStyle w:val="Hipervnculo"/>
          </w:rPr>
          <w:t>Divulgación financiera</w:t>
        </w:r>
        <w:r w:rsidR="005E56D8">
          <w:rPr>
            <w:rStyle w:val="Hipervnculo"/>
          </w:rPr>
          <w:t xml:space="preserve"> </w:t>
        </w:r>
      </w:hyperlink>
      <w:hyperlink r:id="rId9" w:history="1">
        <w:r w:rsidR="002A1A42" w:rsidRPr="002A1A42">
          <w:rPr>
            <w:rStyle w:val="Hipervnculo"/>
          </w:rPr>
          <w:t>ESG</w:t>
        </w:r>
        <w:r w:rsidR="00130CE6">
          <w:rPr>
            <w:rStyle w:val="Hipervnculo"/>
          </w:rPr>
          <w:t xml:space="preserve"> </w:t>
        </w:r>
      </w:hyperlink>
      <w:hyperlink r:id="rId10" w:history="1">
        <w:r w:rsidR="002A1A42" w:rsidRPr="002A1A42">
          <w:rPr>
            <w:rStyle w:val="Hipervnculo"/>
          </w:rPr>
          <w:t>de Booleans</w:t>
        </w:r>
        <w:r w:rsidR="00130CE6">
          <w:rPr>
            <w:rStyle w:val="Hipervnculo"/>
          </w:rPr>
          <w:t xml:space="preserve"> </w:t>
        </w:r>
      </w:hyperlink>
      <w:hyperlink r:id="rId11" w:history="1">
        <w:r w:rsidR="002A1A42" w:rsidRPr="002A1A42">
          <w:rPr>
            <w:rStyle w:val="Hipervnculo"/>
          </w:rPr>
          <w:t>Divulgación de sostenibilidad</w:t>
        </w:r>
      </w:hyperlink>
    </w:p>
    <w:p w14:paraId="7D6FF05F" w14:textId="49314BE4" w:rsidR="00264D64" w:rsidRDefault="00264D64" w:rsidP="002A1A42">
      <w:pPr>
        <w:jc w:val="both"/>
      </w:pPr>
    </w:p>
    <w:p w14:paraId="0339585A" w14:textId="49FF2519" w:rsidR="002A1A42" w:rsidRDefault="002A1A42" w:rsidP="002A1A42">
      <w:pPr>
        <w:jc w:val="both"/>
      </w:pPr>
    </w:p>
    <w:p w14:paraId="5C3F16F6" w14:textId="7B60B4E7" w:rsidR="002A1A42" w:rsidRDefault="002A1A42" w:rsidP="002A1A42">
      <w:pPr>
        <w:jc w:val="both"/>
      </w:pPr>
    </w:p>
    <w:p w14:paraId="48090471" w14:textId="1CFC4D14" w:rsidR="002A1A42" w:rsidRDefault="002A1A42" w:rsidP="002A1A42">
      <w:pPr>
        <w:jc w:val="both"/>
      </w:pPr>
    </w:p>
    <w:p w14:paraId="1625AC92" w14:textId="3E5A0846" w:rsidR="002A1A42" w:rsidRDefault="002A1A42" w:rsidP="002A1A42">
      <w:pPr>
        <w:jc w:val="both"/>
      </w:pPr>
    </w:p>
    <w:p w14:paraId="1EFC37DA" w14:textId="4CF7788B" w:rsidR="002A1A42" w:rsidRDefault="002A1A42" w:rsidP="002A1A42">
      <w:pPr>
        <w:jc w:val="both"/>
      </w:pPr>
    </w:p>
    <w:p w14:paraId="4CD837E0" w14:textId="1DE45BE0" w:rsidR="002A1A42" w:rsidRDefault="002A1A42" w:rsidP="002A1A42">
      <w:pPr>
        <w:jc w:val="both"/>
      </w:pPr>
    </w:p>
    <w:p w14:paraId="5CA56F7F" w14:textId="51B35425" w:rsidR="002A1A42" w:rsidRDefault="002A1A42" w:rsidP="002A1A42">
      <w:pPr>
        <w:jc w:val="both"/>
      </w:pPr>
    </w:p>
    <w:p w14:paraId="67AFF6B1" w14:textId="6497C9AD" w:rsidR="002A1A42" w:rsidRDefault="002A1A42" w:rsidP="002A1A42">
      <w:pPr>
        <w:jc w:val="both"/>
      </w:pPr>
    </w:p>
    <w:p w14:paraId="2E20E8D6" w14:textId="3B658B46" w:rsidR="002A1A42" w:rsidRDefault="002A1A42" w:rsidP="002A1A42">
      <w:pPr>
        <w:jc w:val="both"/>
      </w:pPr>
    </w:p>
    <w:p w14:paraId="419CCD0E" w14:textId="377356A5" w:rsidR="002A1A42" w:rsidRDefault="002A1A42" w:rsidP="002A1A42">
      <w:pPr>
        <w:jc w:val="both"/>
      </w:pPr>
    </w:p>
    <w:p w14:paraId="5ECFD97F" w14:textId="66D7CA01" w:rsidR="002A1A42" w:rsidRDefault="002A1A42" w:rsidP="002A1A42">
      <w:pPr>
        <w:jc w:val="both"/>
      </w:pPr>
    </w:p>
    <w:p w14:paraId="7F6D85A4" w14:textId="27ACD965" w:rsidR="002A1A42" w:rsidRDefault="002A1A42" w:rsidP="002A1A42">
      <w:pPr>
        <w:jc w:val="both"/>
      </w:pPr>
    </w:p>
    <w:p w14:paraId="2D1CB210" w14:textId="40E7D665" w:rsidR="002A1A42" w:rsidRDefault="002A1A42" w:rsidP="002A1A42">
      <w:pPr>
        <w:jc w:val="both"/>
      </w:pPr>
    </w:p>
    <w:p w14:paraId="1918BE94" w14:textId="6553FE18" w:rsidR="002A1A42" w:rsidRDefault="002A1A42" w:rsidP="002A1A42">
      <w:pPr>
        <w:jc w:val="both"/>
      </w:pPr>
    </w:p>
    <w:p w14:paraId="6247BFC0" w14:textId="75940B34" w:rsidR="002A1A42" w:rsidRDefault="002A1A42" w:rsidP="002A1A42">
      <w:pPr>
        <w:jc w:val="both"/>
      </w:pPr>
    </w:p>
    <w:p w14:paraId="4B7EBDA8" w14:textId="583EA1EF" w:rsidR="002A1A42" w:rsidRDefault="002A1A42" w:rsidP="002A1A42">
      <w:pPr>
        <w:jc w:val="both"/>
      </w:pPr>
    </w:p>
    <w:p w14:paraId="75D727BC" w14:textId="5A1C564D" w:rsidR="002A1A42" w:rsidRDefault="002A1A42" w:rsidP="002A1A42">
      <w:pPr>
        <w:jc w:val="both"/>
      </w:pPr>
    </w:p>
    <w:p w14:paraId="0C279D52" w14:textId="66CB01FE" w:rsidR="002A1A42" w:rsidRDefault="002A1A42" w:rsidP="002A1A42">
      <w:pPr>
        <w:jc w:val="both"/>
      </w:pPr>
    </w:p>
    <w:p w14:paraId="151857C0" w14:textId="61EB187F" w:rsidR="002A1A42" w:rsidRDefault="002A1A42" w:rsidP="002A1A42">
      <w:pPr>
        <w:jc w:val="both"/>
      </w:pPr>
    </w:p>
    <w:p w14:paraId="13179F60" w14:textId="0C49D42F" w:rsidR="002A1A42" w:rsidRDefault="002A1A42" w:rsidP="002A1A42">
      <w:pPr>
        <w:jc w:val="both"/>
      </w:pPr>
    </w:p>
    <w:p w14:paraId="07E97BCE" w14:textId="233F41C3" w:rsidR="002A1A42" w:rsidRDefault="002A1A42" w:rsidP="002A1A42">
      <w:pPr>
        <w:jc w:val="both"/>
      </w:pPr>
    </w:p>
    <w:p w14:paraId="4CCAAAF5" w14:textId="77777777" w:rsidR="002A1A42" w:rsidRDefault="002A1A42" w:rsidP="002A1A42">
      <w:pPr>
        <w:jc w:val="both"/>
      </w:pPr>
    </w:p>
    <w:p w14:paraId="064BF2E0" w14:textId="77777777" w:rsidR="002A1A42" w:rsidRPr="002A1A42" w:rsidRDefault="002A1A42" w:rsidP="002A1A42">
      <w:pPr>
        <w:jc w:val="both"/>
        <w:rPr>
          <w:rFonts w:ascii="Abadi" w:hAnsi="Abadi"/>
          <w:sz w:val="24"/>
          <w:szCs w:val="24"/>
        </w:rPr>
      </w:pPr>
      <w:r w:rsidRPr="002A1A42">
        <w:rPr>
          <w:rFonts w:ascii="Abadi" w:hAnsi="Abadi"/>
          <w:sz w:val="24"/>
          <w:szCs w:val="24"/>
        </w:rPr>
        <w:lastRenderedPageBreak/>
        <w:t>Comprensión de las etiquetas booleanas y de enumeración en los informes digitales</w:t>
      </w:r>
    </w:p>
    <w:p w14:paraId="2AB128C8" w14:textId="1A8E97C6" w:rsidR="002A1A42" w:rsidRPr="002A1A42" w:rsidRDefault="002A1A42" w:rsidP="002A1A42">
      <w:pPr>
        <w:jc w:val="both"/>
      </w:pPr>
      <w:r w:rsidRPr="002A1A42">
        <w:t>Publicado el 27 de septiembre de 2024 por</w:t>
      </w:r>
      <w:r w:rsidR="00130CE6">
        <w:t xml:space="preserve"> </w:t>
      </w:r>
      <w:hyperlink r:id="rId12" w:history="1">
        <w:r w:rsidRPr="002A1A42">
          <w:rPr>
            <w:rStyle w:val="Hipervnculo"/>
            <w:b/>
            <w:bCs/>
          </w:rPr>
          <w:t>Editor</w:t>
        </w:r>
      </w:hyperlink>
    </w:p>
    <w:p w14:paraId="7CE7C6E4" w14:textId="6ACECE66" w:rsidR="002A1A42" w:rsidRPr="002A1A42" w:rsidRDefault="002A1A42" w:rsidP="00130CE6">
      <w:pPr>
        <w:spacing w:after="0"/>
        <w:jc w:val="both"/>
      </w:pPr>
      <w:r w:rsidRPr="002A1A42">
        <w:rPr>
          <w:noProof/>
        </w:rPr>
        <w:drawing>
          <wp:inline distT="0" distB="0" distL="0" distR="0" wp14:anchorId="0E22E408" wp14:editId="26F39CB0">
            <wp:extent cx="5612130" cy="42113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211320"/>
                    </a:xfrm>
                    <a:prstGeom prst="rect">
                      <a:avLst/>
                    </a:prstGeom>
                    <a:noFill/>
                    <a:ln>
                      <a:noFill/>
                    </a:ln>
                  </pic:spPr>
                </pic:pic>
              </a:graphicData>
            </a:graphic>
          </wp:inline>
        </w:drawing>
      </w:r>
    </w:p>
    <w:p w14:paraId="58DBF4FD" w14:textId="77777777" w:rsidR="002A1A42" w:rsidRDefault="002A1A42" w:rsidP="002A1A42">
      <w:pPr>
        <w:jc w:val="both"/>
        <w:rPr>
          <w:i/>
          <w:iCs/>
        </w:rPr>
      </w:pPr>
      <w:r w:rsidRPr="002A1A42">
        <w:rPr>
          <w:i/>
          <w:iCs/>
        </w:rPr>
        <w:t>Este artículo invitado está escrito por Catalina Ibáñez Gutiérrez y Carina Tepper de Lucanet Amana. Ambas son miembros de nuestro Grupo de Trabajo de Diseño de Taxonomía.</w:t>
      </w:r>
    </w:p>
    <w:p w14:paraId="62C6156F" w14:textId="0952752A" w:rsidR="002A1A42" w:rsidRPr="002A1A42" w:rsidRDefault="002A1A42" w:rsidP="002A1A42">
      <w:pPr>
        <w:jc w:val="both"/>
      </w:pPr>
      <w:r w:rsidRPr="002A1A42">
        <w:rPr>
          <w:noProof/>
        </w:rPr>
        <w:drawing>
          <wp:inline distT="0" distB="0" distL="0" distR="0" wp14:anchorId="6B92C76B" wp14:editId="0341F30C">
            <wp:extent cx="1431925" cy="1431925"/>
            <wp:effectExtent l="0" t="0" r="0" b="0"/>
            <wp:docPr id="2" name="Imagen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r w:rsidRPr="002A1A42">
        <w:rPr>
          <w:noProof/>
        </w:rPr>
        <w:drawing>
          <wp:inline distT="0" distB="0" distL="0" distR="0" wp14:anchorId="78F93CC4" wp14:editId="152A4B95">
            <wp:extent cx="1431925" cy="1431925"/>
            <wp:effectExtent l="0" t="0" r="0" b="0"/>
            <wp:docPr id="1" name="Imagen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p>
    <w:p w14:paraId="64311FDC" w14:textId="77777777" w:rsidR="002A1A42" w:rsidRPr="00D90E32" w:rsidRDefault="002A1A42" w:rsidP="002A1A42">
      <w:pPr>
        <w:jc w:val="both"/>
        <w:rPr>
          <w:sz w:val="24"/>
          <w:szCs w:val="24"/>
        </w:rPr>
      </w:pPr>
      <w:r w:rsidRPr="00D90E32">
        <w:rPr>
          <w:sz w:val="24"/>
          <w:szCs w:val="24"/>
        </w:rPr>
        <w:t>Introducción:</w:t>
      </w:r>
    </w:p>
    <w:p w14:paraId="4BA02146" w14:textId="0FA7E31E" w:rsidR="002A1A42" w:rsidRPr="002A1A42" w:rsidRDefault="002A1A42" w:rsidP="002A1A42">
      <w:pPr>
        <w:jc w:val="both"/>
      </w:pPr>
      <w:r w:rsidRPr="002A1A42">
        <w:t>La</w:t>
      </w:r>
      <w:r w:rsidR="00130CE6">
        <w:t xml:space="preserve"> </w:t>
      </w:r>
      <w:r w:rsidRPr="002A1A42">
        <w:t>Fundación IFRS publicó recientemente su</w:t>
      </w:r>
      <w:r w:rsidR="00130CE6">
        <w:t xml:space="preserve"> </w:t>
      </w:r>
      <w:hyperlink r:id="rId18" w:history="1">
        <w:r w:rsidRPr="002A1A42">
          <w:rPr>
            <w:rStyle w:val="Hipervnculo"/>
          </w:rPr>
          <w:t>Taxonomía contable IFRS 2024</w:t>
        </w:r>
      </w:hyperlink>
      <w:r w:rsidR="00130CE6">
        <w:t xml:space="preserve"> </w:t>
      </w:r>
      <w:r w:rsidRPr="002A1A42">
        <w:t>actualizada y la nueva</w:t>
      </w:r>
      <w:r w:rsidR="00130CE6">
        <w:t xml:space="preserve"> </w:t>
      </w:r>
      <w:hyperlink r:id="rId19" w:anchor="about" w:history="1">
        <w:r w:rsidRPr="002A1A42">
          <w:rPr>
            <w:rStyle w:val="Hipervnculo"/>
          </w:rPr>
          <w:t>Taxonomía de divulgación de sostenibilidad de IFRS</w:t>
        </w:r>
      </w:hyperlink>
      <w:r w:rsidRPr="002A1A42">
        <w:t>. A principios de 2023,</w:t>
      </w:r>
      <w:r w:rsidR="00130CE6">
        <w:t xml:space="preserve"> </w:t>
      </w:r>
      <w:r w:rsidRPr="002A1A42">
        <w:t>EFRAG</w:t>
      </w:r>
      <w:r w:rsidR="00130CE6">
        <w:t xml:space="preserve"> </w:t>
      </w:r>
      <w:r w:rsidRPr="002A1A42">
        <w:t>publicó el primer borrador de la Taxonomía XBRL ESRS Set 1 y el borrador de la Taxonomía XBRL del Artículo 8 y la</w:t>
      </w:r>
      <w:r w:rsidR="00130CE6">
        <w:t xml:space="preserve"> </w:t>
      </w:r>
      <w:hyperlink r:id="rId20" w:history="1">
        <w:r w:rsidRPr="002A1A42">
          <w:rPr>
            <w:rStyle w:val="Hipervnculo"/>
          </w:rPr>
          <w:t>versión final se publicó en agosto de 2024.</w:t>
        </w:r>
      </w:hyperlink>
      <w:r w:rsidR="00130CE6">
        <w:t xml:space="preserve"> </w:t>
      </w:r>
      <w:r w:rsidRPr="002A1A42">
        <w:t>En julio de 2024,</w:t>
      </w:r>
      <w:r w:rsidR="00130CE6">
        <w:t xml:space="preserve"> </w:t>
      </w:r>
      <w:r w:rsidRPr="002A1A42">
        <w:t>GRI</w:t>
      </w:r>
      <w:r w:rsidR="00130CE6">
        <w:t xml:space="preserve"> </w:t>
      </w:r>
      <w:r w:rsidRPr="002A1A42">
        <w:t>publicó el</w:t>
      </w:r>
      <w:r w:rsidR="00130CE6">
        <w:t xml:space="preserve"> </w:t>
      </w:r>
      <w:hyperlink r:id="rId21" w:history="1">
        <w:r w:rsidRPr="002A1A42">
          <w:rPr>
            <w:rStyle w:val="Hipervnculo"/>
          </w:rPr>
          <w:t>borrador de la Taxonomía de sostenibilidad de GRI</w:t>
        </w:r>
      </w:hyperlink>
      <w:r w:rsidRPr="002A1A42">
        <w:t>.</w:t>
      </w:r>
    </w:p>
    <w:p w14:paraId="592958EA" w14:textId="77777777" w:rsidR="002A1A42" w:rsidRPr="002A1A42" w:rsidRDefault="002A1A42" w:rsidP="002A1A42">
      <w:pPr>
        <w:jc w:val="both"/>
      </w:pPr>
      <w:r w:rsidRPr="002A1A42">
        <w:lastRenderedPageBreak/>
        <w:t>Estas cinco nuevas taxonomías comparten una característica común: el modelado de conceptos seminariales (o categóricos), utilizando booleanos y enumeraciones.</w:t>
      </w:r>
    </w:p>
    <w:p w14:paraId="2244E4B9" w14:textId="77777777" w:rsidR="002A1A42" w:rsidRPr="002A1A42" w:rsidRDefault="002A1A42" w:rsidP="002A1A42">
      <w:pPr>
        <w:jc w:val="both"/>
      </w:pPr>
      <w:r w:rsidRPr="002A1A42">
        <w:t>Tanto el ISSB como el EFRAG utilizan modelos de seminarios (o de categorías) para agilizar la interpretación de la información descriptiva en los informes financieros y de sostenibilidad digitales, con el objetivo de mejorar la usabilidad y comparabilidad de la información descriptiva. Estos elementos permiten a los usuarios extraer y analizar de manera eficiente los datos descriptivos presentados en un formato estructurado.</w:t>
      </w:r>
    </w:p>
    <w:p w14:paraId="48074D45" w14:textId="7FC70C20" w:rsidR="002A1A42" w:rsidRPr="002A1A42" w:rsidRDefault="002A1A42" w:rsidP="002A1A42">
      <w:pPr>
        <w:jc w:val="both"/>
      </w:pPr>
      <w:r w:rsidRPr="002A1A42">
        <w:t>Tenga en cuenta que los valores booleanos y los elementos enumerados se han utilizado de esta manera durante varios años en la</w:t>
      </w:r>
      <w:r w:rsidR="00130CE6">
        <w:t xml:space="preserve"> </w:t>
      </w:r>
      <w:hyperlink r:id="rId22" w:history="1">
        <w:r w:rsidRPr="002A1A42">
          <w:rPr>
            <w:rStyle w:val="Hipervnculo"/>
          </w:rPr>
          <w:t>taxonomía US GAAP</w:t>
        </w:r>
      </w:hyperlink>
      <w:r w:rsidRPr="002A1A42">
        <w:t>.</w:t>
      </w:r>
    </w:p>
    <w:p w14:paraId="5B2C3585" w14:textId="77777777" w:rsidR="002A1A42" w:rsidRPr="00D90E32" w:rsidRDefault="002A1A42" w:rsidP="002A1A42">
      <w:pPr>
        <w:jc w:val="both"/>
        <w:rPr>
          <w:sz w:val="24"/>
          <w:szCs w:val="24"/>
        </w:rPr>
      </w:pPr>
      <w:r w:rsidRPr="00D90E32">
        <w:rPr>
          <w:sz w:val="24"/>
          <w:szCs w:val="24"/>
        </w:rPr>
        <w:t>Tipo booleano:</w:t>
      </w:r>
    </w:p>
    <w:p w14:paraId="4A0E06E8" w14:textId="794A9FA6" w:rsidR="002A1A42" w:rsidRPr="002A1A42" w:rsidRDefault="002A1A42" w:rsidP="002A1A42">
      <w:pPr>
        <w:jc w:val="both"/>
      </w:pPr>
      <w:r w:rsidRPr="002A1A42">
        <w:t xml:space="preserve">Los booleanos se utilizan para modelar las divulgaciones de tipo seminario. Como ya sugiere el término “seminarrativo”, se aplican al texto para proporcionar más información sobre el contenido. Como se explica en la guía de características de las características de etiquetado iXBRL, los conceptos booleanos se pueden utilizar para indicar que se han incluido en el informe declaraciones específicas requeridas por ley. </w:t>
      </w:r>
      <w:r w:rsidR="00130CE6" w:rsidRPr="002A1A42">
        <w:t>O,</w:t>
      </w:r>
      <w:r w:rsidRPr="002A1A42">
        <w:t xml:space="preserve"> en otras palabras: corresponde a una respuesta de “sí” o “no” (verdadero o falso).</w:t>
      </w:r>
    </w:p>
    <w:p w14:paraId="172BD916" w14:textId="77777777" w:rsidR="002A1A42" w:rsidRPr="002A1A42" w:rsidRDefault="002A1A42" w:rsidP="002A1A42">
      <w:pPr>
        <w:jc w:val="both"/>
      </w:pPr>
      <w:r w:rsidRPr="002A1A42">
        <w:t>Los elementos booleanos dentro de las taxonomías XBRL pueden, por ejemplo, servir como indicadores, señalando si se han incluido determinadas declaraciones o divulgaciones en un informe financiero o de sostenibilidad. Este simple valor verdadero/falso agiliza los procesos de elaboración de informes, garantizando claridad y precisión en cumplimiento de los requisitos normativos.</w:t>
      </w:r>
    </w:p>
    <w:p w14:paraId="0833DC90" w14:textId="0B5BC122" w:rsidR="002A1A42" w:rsidRPr="002A1A42" w:rsidRDefault="002A1A42" w:rsidP="002A1A42">
      <w:pPr>
        <w:jc w:val="both"/>
      </w:pPr>
      <w:r w:rsidRPr="002A1A42">
        <w:t>Por ejemplo, las empresas deben revelar si </w:t>
      </w:r>
      <w:r w:rsidRPr="002A1A42">
        <w:rPr>
          <w:i/>
          <w:iCs/>
        </w:rPr>
        <w:t>las métricas de desempeño están incluidas en las políticas de remuneración</w:t>
      </w:r>
      <w:r w:rsidRPr="002A1A42">
        <w:t>, ya sea como verdadero o falso. En este ejemplo, se etiqueta el área del informe donde se menciona el requisito de divulgación y, como está etiquetada con un valor booleano, también se agrega la información de si esto es verdadero o falso.</w:t>
      </w:r>
    </w:p>
    <w:p w14:paraId="48A1434C" w14:textId="77777777" w:rsidR="002A1A42" w:rsidRPr="002A1A42" w:rsidRDefault="002A1A42" w:rsidP="002A1A42">
      <w:pPr>
        <w:jc w:val="both"/>
      </w:pPr>
      <w:r w:rsidRPr="002A1A42">
        <w:t>Los valores booleanos no requieren la inclusión de la frase "sí" o "no" en el informe legible por humanos.</w:t>
      </w:r>
    </w:p>
    <w:p w14:paraId="6D9FA348" w14:textId="77777777" w:rsidR="002A1A42" w:rsidRPr="00D90E32" w:rsidRDefault="002A1A42" w:rsidP="002A1A42">
      <w:pPr>
        <w:jc w:val="both"/>
        <w:rPr>
          <w:sz w:val="24"/>
          <w:szCs w:val="24"/>
        </w:rPr>
      </w:pPr>
      <w:r w:rsidRPr="00D90E32">
        <w:rPr>
          <w:sz w:val="24"/>
          <w:szCs w:val="24"/>
        </w:rPr>
        <w:t>Uso de la taxonomía IFRS</w:t>
      </w:r>
    </w:p>
    <w:p w14:paraId="2047F7D8" w14:textId="3B304B7E" w:rsidR="002A1A42" w:rsidRPr="002A1A42" w:rsidRDefault="002A1A42" w:rsidP="002A1A42">
      <w:pPr>
        <w:jc w:val="both"/>
      </w:pPr>
      <w:r w:rsidRPr="002A1A42">
        <w:t>La Fundación IFRS introdujo elementos categóricos (valores booleanos) además de los elementos narrativos existentes, en lugar de reemplazarlos. Este enfoque tiene por objeto ayudar a los preparadores a capturar tanto los datos categóricos como cualquier información contextual relacionada</w:t>
      </w:r>
      <w:bookmarkStart w:id="0" w:name="_ftnref1"/>
      <w:r w:rsidRPr="002A1A42">
        <w:fldChar w:fldCharType="begin"/>
      </w:r>
      <w:r w:rsidRPr="002A1A42">
        <w:instrText xml:space="preserve"> HYPERLINK "https://www.xbrl.org/understanding-boolean-and-enumeration-tags-in-digital-reporting/" \l "_ftn1" </w:instrText>
      </w:r>
      <w:r w:rsidRPr="002A1A42">
        <w:fldChar w:fldCharType="separate"/>
      </w:r>
      <w:r w:rsidRPr="002A1A42">
        <w:rPr>
          <w:rStyle w:val="Hipervnculo"/>
        </w:rPr>
        <w:t>[1]</w:t>
      </w:r>
      <w:r w:rsidRPr="002A1A42">
        <w:fldChar w:fldCharType="end"/>
      </w:r>
      <w:bookmarkEnd w:id="0"/>
      <w:r w:rsidRPr="002A1A42">
        <w:t>.</w:t>
      </w:r>
    </w:p>
    <w:p w14:paraId="03FBE886" w14:textId="77777777" w:rsidR="002A1A42" w:rsidRPr="00D90E32" w:rsidRDefault="002A1A42" w:rsidP="002A1A42">
      <w:pPr>
        <w:jc w:val="both"/>
        <w:rPr>
          <w:sz w:val="24"/>
          <w:szCs w:val="24"/>
        </w:rPr>
      </w:pPr>
      <w:r w:rsidRPr="00D90E32">
        <w:rPr>
          <w:sz w:val="24"/>
          <w:szCs w:val="24"/>
        </w:rPr>
        <w:t>Uso de EFRAG</w:t>
      </w:r>
    </w:p>
    <w:p w14:paraId="721401FE" w14:textId="3E8C63AB" w:rsidR="002A1A42" w:rsidRPr="002A1A42" w:rsidRDefault="002A1A42" w:rsidP="002A1A42">
      <w:pPr>
        <w:jc w:val="both"/>
      </w:pPr>
      <w:r w:rsidRPr="002A1A42">
        <w:t>EFRAG profundiza más en la importancia de los elementos booleanos dentro de las taxonomías XBRL. EFRAG clasifica los tipos booleanos en tres categorías distintas siguiendo los estándares ESRS</w:t>
      </w:r>
      <w:bookmarkStart w:id="1" w:name="_ftnref2"/>
      <w:r w:rsidRPr="002A1A42">
        <w:fldChar w:fldCharType="begin"/>
      </w:r>
      <w:r w:rsidRPr="002A1A42">
        <w:instrText xml:space="preserve"> HYPERLINK "https://www.xbrl.org/understanding-boolean-and-enumeration-tags-in-digital-reporting/" \l "_ftn2" </w:instrText>
      </w:r>
      <w:r w:rsidRPr="002A1A42">
        <w:fldChar w:fldCharType="separate"/>
      </w:r>
      <w:r w:rsidRPr="002A1A42">
        <w:rPr>
          <w:rStyle w:val="Hipervnculo"/>
        </w:rPr>
        <w:t>[2]</w:t>
      </w:r>
      <w:r w:rsidRPr="002A1A42">
        <w:fldChar w:fldCharType="end"/>
      </w:r>
      <w:bookmarkEnd w:id="1"/>
      <w:r w:rsidRPr="002A1A42">
        <w:t>:</w:t>
      </w:r>
    </w:p>
    <w:p w14:paraId="049D58A6" w14:textId="5B276A14" w:rsidR="002A1A42" w:rsidRPr="002A1A42" w:rsidRDefault="002A1A42" w:rsidP="002A1A42">
      <w:pPr>
        <w:jc w:val="both"/>
      </w:pPr>
      <w:r w:rsidRPr="002A1A42">
        <w:t>a)</w:t>
      </w:r>
      <w:r w:rsidR="00130CE6">
        <w:t xml:space="preserve"> </w:t>
      </w:r>
      <w:r w:rsidRPr="002A1A42">
        <w:t>Booleano simple:</w:t>
      </w:r>
      <w:r w:rsidR="00D90E32">
        <w:t xml:space="preserve"> </w:t>
      </w:r>
      <w:r w:rsidRPr="002A1A42">
        <w:t>En la taxonomía XBRL de ESRS, todos los requisitos de divulgación que incluyen “</w:t>
      </w:r>
      <w:r w:rsidRPr="002A1A42">
        <w:rPr>
          <w:i/>
          <w:iCs/>
        </w:rPr>
        <w:t>s</w:t>
      </w:r>
      <w:r w:rsidRPr="002A1A42">
        <w:t>” en el estándar ESRS se tradujeron a un booleano simple. Las empresas pueden indicar claramente si han hecho/aplicado algo o no.</w:t>
      </w:r>
    </w:p>
    <w:p w14:paraId="235E9706" w14:textId="46C5D120" w:rsidR="002A1A42" w:rsidRPr="002A1A42" w:rsidRDefault="002A1A42" w:rsidP="002A1A42">
      <w:pPr>
        <w:jc w:val="both"/>
      </w:pPr>
      <w:r w:rsidRPr="002A1A42">
        <w:lastRenderedPageBreak/>
        <w:t>Ahora veamos cómo EFRAG ha convertido un requisito ESRS en un simple booleano: Por ejemplo, ESRS E4, E4-2 párrafo 24 b): “</w:t>
      </w:r>
      <w:r w:rsidRPr="002A1A42">
        <w:rPr>
          <w:i/>
          <w:iCs/>
        </w:rPr>
        <w:t>La empresa deberá revelar específicamente si ha adoptado… b) Prácticas o políticas agrícolas o de tierras sostenibles</w:t>
      </w:r>
      <w:r w:rsidRPr="002A1A42">
        <w:t>”</w:t>
      </w:r>
    </w:p>
    <w:p w14:paraId="7ED475ED" w14:textId="77777777" w:rsidR="002A1A42" w:rsidRPr="002A1A42" w:rsidRDefault="002A1A42" w:rsidP="002A1A42">
      <w:pPr>
        <w:jc w:val="both"/>
      </w:pPr>
      <w:r w:rsidRPr="002A1A42">
        <w:t>Booleano correspondiente: Se han adoptado prácticas o políticas agrícolas o de tierras sostenibles.</w:t>
      </w:r>
    </w:p>
    <w:p w14:paraId="37BD0081" w14:textId="6DC62556" w:rsidR="002A1A42" w:rsidRPr="002A1A42" w:rsidRDefault="002A1A42" w:rsidP="002A1A42">
      <w:pPr>
        <w:jc w:val="both"/>
      </w:pPr>
      <w:r w:rsidRPr="002A1A42">
        <w:t>También existe un caso especial de booleano simple: un booleano simple con un elemento narrativo como su hijo, en este caso los estándares ESRS usan “</w:t>
      </w:r>
      <w:r w:rsidRPr="002A1A42">
        <w:rPr>
          <w:i/>
          <w:iCs/>
        </w:rPr>
        <w:t>si</w:t>
      </w:r>
      <w:r w:rsidRPr="002A1A42">
        <w:t xml:space="preserve">” y </w:t>
      </w:r>
      <w:r w:rsidRPr="002A1A42">
        <w:rPr>
          <w:i/>
          <w:iCs/>
        </w:rPr>
        <w:t>cómo</w:t>
      </w:r>
      <w:r w:rsidRPr="002A1A42">
        <w:t>”. EFRAG implementó un booleano para cubrir el “</w:t>
      </w:r>
      <w:r w:rsidRPr="002A1A42">
        <w:rPr>
          <w:i/>
          <w:iCs/>
        </w:rPr>
        <w:t>s</w:t>
      </w:r>
      <w:r w:rsidR="00130CE6">
        <w:rPr>
          <w:i/>
          <w:iCs/>
        </w:rPr>
        <w:t>i</w:t>
      </w:r>
      <w:r w:rsidRPr="002A1A42">
        <w:t>” y un bloque de texto cubre el “</w:t>
      </w:r>
      <w:r w:rsidRPr="002A1A42">
        <w:rPr>
          <w:i/>
          <w:iCs/>
        </w:rPr>
        <w:t>cómo</w:t>
      </w:r>
      <w:r w:rsidRPr="002A1A42">
        <w:t>”, por ejemplo:</w:t>
      </w:r>
    </w:p>
    <w:p w14:paraId="68C934FE" w14:textId="121D6958" w:rsidR="002A1A42" w:rsidRPr="002A1A42" w:rsidRDefault="002A1A42" w:rsidP="002A1A42">
      <w:pPr>
        <w:jc w:val="both"/>
      </w:pPr>
      <w:r w:rsidRPr="002A1A42">
        <w:t>En ESRS E4-2: párrafo 23 b)</w:t>
      </w:r>
      <w:r w:rsidR="00D90E32">
        <w:t xml:space="preserve"> </w:t>
      </w:r>
      <w:r w:rsidRPr="002A1A42">
        <w:rPr>
          <w:i/>
          <w:iCs/>
        </w:rPr>
        <w:t>“Además de las disposiciones de ESRS 2 MDR-P, la empresa deberá describir si sus políticas relacionadas con la biodiversidad y los ecosistemas: b) se relacionan con sus impactos materiales relacionados con la biodiversidad y los ecosistemas y de qué manera”.</w:t>
      </w:r>
    </w:p>
    <w:p w14:paraId="0A02F634" w14:textId="77777777" w:rsidR="002A1A42" w:rsidRPr="002A1A42" w:rsidRDefault="002A1A42" w:rsidP="002A1A42">
      <w:pPr>
        <w:jc w:val="both"/>
      </w:pPr>
      <w:r w:rsidRPr="002A1A42">
        <w:t>Booleano correspondiente: Políticas relacionadas con la biodiversidad y los ecosistemas a impactos materiales relacionados con la biodiversidad y los ecosistemas.</w:t>
      </w:r>
    </w:p>
    <w:p w14:paraId="2EABDB05" w14:textId="77777777" w:rsidR="002A1A42" w:rsidRPr="002A1A42" w:rsidRDefault="002A1A42" w:rsidP="002A1A42">
      <w:pPr>
        <w:jc w:val="both"/>
      </w:pPr>
      <w:r w:rsidRPr="002A1A42">
        <w:t>Bloque de texto correspondiente: Divulgación de cómo las políticas relacionadas con la biodiversidad y los ecosistemas afectan los impactos materiales relacionados con la biodiversidad y los ecosistemas.</w:t>
      </w:r>
    </w:p>
    <w:p w14:paraId="11FE1627" w14:textId="4E5BE1F7" w:rsidR="002A1A42" w:rsidRPr="002A1A42" w:rsidRDefault="002A1A42" w:rsidP="002A1A42">
      <w:pPr>
        <w:jc w:val="both"/>
      </w:pPr>
      <w:r w:rsidRPr="002A1A42">
        <w:t>b) Booleano narrativo (o condicional): En la taxonomía XBRL de ESRS, todos los requisitos de divulgación que requieren una confirmación positiva o negativa se tradujeron en un booleano condicional. Por ejemplo, si “</w:t>
      </w:r>
      <w:r w:rsidRPr="002A1A42">
        <w:rPr>
          <w:i/>
          <w:iCs/>
        </w:rPr>
        <w:t>no se han producido incidentes graves de derechos humanos relacionados con la propia plantilla</w:t>
      </w:r>
      <w:r w:rsidRPr="002A1A42">
        <w:t>”, la empresa deberá indicarlo con verdadero o falso. De esta forma, EFRAG evitó la creación de un bloque de texto y, al mismo tiempo, mejoró el nivel de comparabilidad de los datos.</w:t>
      </w:r>
    </w:p>
    <w:p w14:paraId="5BA486A5" w14:textId="307315D1" w:rsidR="002A1A42" w:rsidRPr="002A1A42" w:rsidRDefault="002A1A42" w:rsidP="002A1A42">
      <w:pPr>
        <w:jc w:val="both"/>
      </w:pPr>
      <w:r w:rsidRPr="002A1A42">
        <w:t>En el párrafo 104 a de la norma ESRS S1-17: “</w:t>
      </w:r>
      <w:r w:rsidRPr="002A1A42">
        <w:rPr>
          <w:i/>
          <w:iCs/>
        </w:rPr>
        <w:t>La empresa deberá revelar la siguiente información sobre casos identificados de incidentes graves de derechos humanos (por ejemplo, trabajo forzoso, trata de personas o trabajo infantil)</w:t>
      </w:r>
      <w:r w:rsidRPr="002A1A42">
        <w:t>”</w:t>
      </w:r>
      <w:r w:rsidR="00350D04">
        <w:t>.</w:t>
      </w:r>
      <w:r w:rsidRPr="002A1A42">
        <w:t xml:space="preserve"> Si no se han producido incidentes de este tipo, la empresa deberá indicarlo.</w:t>
      </w:r>
    </w:p>
    <w:p w14:paraId="51CE55C9" w14:textId="77777777" w:rsidR="002A1A42" w:rsidRPr="002A1A42" w:rsidRDefault="002A1A42" w:rsidP="002A1A42">
      <w:pPr>
        <w:jc w:val="both"/>
      </w:pPr>
      <w:r w:rsidRPr="002A1A42">
        <w:t>Booleano correspondiente: No se han producido incidentes graves de derechos humanos relacionados con la propia fuerza laboral</w:t>
      </w:r>
    </w:p>
    <w:p w14:paraId="73BDE4CC" w14:textId="28DB51CC" w:rsidR="002A1A42" w:rsidRPr="002A1A42" w:rsidRDefault="002A1A42" w:rsidP="002A1A42">
      <w:pPr>
        <w:jc w:val="both"/>
      </w:pPr>
      <w:r w:rsidRPr="002A1A42">
        <w:t>c) Booleano técnico:</w:t>
      </w:r>
      <w:r w:rsidR="00130CE6">
        <w:t xml:space="preserve"> </w:t>
      </w:r>
      <w:r w:rsidRPr="002A1A42">
        <w:t>Se crearon para ayudar a vincular diferentes piezas de información. Por ejemplo, una empresa necesita informar sobre los riesgos hídricos y especificar si se ha tomado una acción o recurso. Esta acción o recurso específico se representa en la taxonomía con un booleano técnico: “</w:t>
      </w:r>
      <w:r w:rsidRPr="002A1A42">
        <w:rPr>
          <w:i/>
          <w:iCs/>
        </w:rPr>
        <w:t>acción relacionada con área de riesgo hídrico</w:t>
      </w:r>
      <w:r w:rsidRPr="002A1A42">
        <w:t>”. Este booleano indica si se ha informado sobre la divulgación relacionada y facilita la búsqueda de información relacionada al buscar en los datos.</w:t>
      </w:r>
    </w:p>
    <w:p w14:paraId="56FF4BB6" w14:textId="68519143" w:rsidR="002A1A42" w:rsidRPr="002A1A42" w:rsidRDefault="002A1A42" w:rsidP="002A1A42">
      <w:pPr>
        <w:jc w:val="both"/>
      </w:pPr>
      <w:r w:rsidRPr="002A1A42">
        <w:t>En el párrafo 19 de ESRS E3-2: “</w:t>
      </w:r>
      <w:r w:rsidRPr="002A1A42">
        <w:rPr>
          <w:i/>
          <w:iCs/>
        </w:rPr>
        <w:t>La empresa deberá especificar acciones y recursos en relación con las áreas con riesgo hídrico, incluidas las áreas de alto estrés hídrico</w:t>
      </w:r>
      <w:r w:rsidRPr="002A1A42">
        <w:t>”</w:t>
      </w:r>
    </w:p>
    <w:p w14:paraId="1B086AA6" w14:textId="3FF224F4" w:rsidR="002A1A42" w:rsidRDefault="002A1A42" w:rsidP="002A1A42">
      <w:pPr>
        <w:jc w:val="both"/>
      </w:pPr>
      <w:r w:rsidRPr="002A1A42">
        <w:t>Booleano correspondiente: La acción se relaciona con el área en riesgo hídrico</w:t>
      </w:r>
    </w:p>
    <w:p w14:paraId="478086A6" w14:textId="77777777" w:rsidR="00155008" w:rsidRPr="002A1A42" w:rsidRDefault="00155008" w:rsidP="002A1A42">
      <w:pPr>
        <w:jc w:val="both"/>
      </w:pPr>
    </w:p>
    <w:p w14:paraId="2CF01A81" w14:textId="77777777" w:rsidR="002A1A42" w:rsidRPr="00D90E32" w:rsidRDefault="002A1A42" w:rsidP="002A1A42">
      <w:pPr>
        <w:jc w:val="both"/>
        <w:rPr>
          <w:sz w:val="24"/>
          <w:szCs w:val="24"/>
        </w:rPr>
      </w:pPr>
      <w:r w:rsidRPr="00D90E32">
        <w:rPr>
          <w:sz w:val="24"/>
          <w:szCs w:val="24"/>
        </w:rPr>
        <w:lastRenderedPageBreak/>
        <w:t>Uso de GRI</w:t>
      </w:r>
    </w:p>
    <w:p w14:paraId="1235832F" w14:textId="43B7A6B0" w:rsidR="002A1A42" w:rsidRPr="002A1A42" w:rsidRDefault="002A1A42" w:rsidP="002A1A42">
      <w:pPr>
        <w:jc w:val="both"/>
      </w:pPr>
      <w:r w:rsidRPr="002A1A42">
        <w:t>GRI explicó que los “Elementos categóricos” (BooleanItemType) son valiosos para informar sobre información financiera o comercial que se puede formular como “</w:t>
      </w:r>
      <w:r w:rsidR="00130CE6" w:rsidRPr="002A1A42">
        <w:t>sí” /</w:t>
      </w:r>
      <w:r w:rsidRPr="002A1A42">
        <w:t>”no” o “</w:t>
      </w:r>
      <w:r w:rsidR="00130CE6" w:rsidRPr="002A1A42">
        <w:t>verdadero” / “</w:t>
      </w:r>
      <w:r w:rsidRPr="002A1A42">
        <w:t>falso”. Estos tipos de datos se utilizan en su taxonomía para reflejar los requisitos de divulgación, incluidas las condiciones. En la Taxonomía de Sostenibilidad de GRI, todos los elementos BooleanItemType comienzan con la palabra “Whether…”. Por ejemplo:</w:t>
      </w:r>
    </w:p>
    <w:p w14:paraId="29F65E05" w14:textId="77777777" w:rsidR="002A1A42" w:rsidRPr="002A1A42" w:rsidRDefault="002A1A42" w:rsidP="002A1A42">
      <w:pPr>
        <w:numPr>
          <w:ilvl w:val="0"/>
          <w:numId w:val="1"/>
        </w:numPr>
        <w:jc w:val="both"/>
      </w:pPr>
      <w:r w:rsidRPr="002A1A42">
        <w:rPr>
          <w:i/>
          <w:iCs/>
        </w:rPr>
        <w:t>Si la organización cuenta con estados financieros consolidados y auditados.</w:t>
      </w:r>
    </w:p>
    <w:p w14:paraId="6B81A547" w14:textId="77777777" w:rsidR="002A1A42" w:rsidRPr="002A1A42" w:rsidRDefault="002A1A42" w:rsidP="002A1A42">
      <w:pPr>
        <w:numPr>
          <w:ilvl w:val="0"/>
          <w:numId w:val="1"/>
        </w:numPr>
        <w:jc w:val="both"/>
      </w:pPr>
      <w:r w:rsidRPr="002A1A42">
        <w:rPr>
          <w:i/>
          <w:iCs/>
        </w:rPr>
        <w:t>Si la información financiera se archiva en el registro público.</w:t>
      </w:r>
    </w:p>
    <w:p w14:paraId="67AE8F39" w14:textId="66D8A4DB" w:rsidR="002A1A42" w:rsidRPr="002A1A42" w:rsidRDefault="002A1A42" w:rsidP="002A1A42">
      <w:pPr>
        <w:jc w:val="both"/>
      </w:pPr>
      <w:r w:rsidRPr="002A1A42">
        <w:t>En algunos casos, un booleano “</w:t>
      </w:r>
      <w:r w:rsidRPr="002A1A42">
        <w:rPr>
          <w:i/>
          <w:iCs/>
        </w:rPr>
        <w:t>Si…</w:t>
      </w:r>
      <w:r w:rsidRPr="002A1A42">
        <w:t>”, es seguido por un elemento narrativo para capturar información complementaria, como “Cómo”, de acuerdo con la redacción de los Estándares</w:t>
      </w:r>
      <w:bookmarkStart w:id="2" w:name="_ftnref3"/>
      <w:r w:rsidRPr="002A1A42">
        <w:fldChar w:fldCharType="begin"/>
      </w:r>
      <w:r w:rsidRPr="002A1A42">
        <w:instrText xml:space="preserve"> HYPERLINK "https://www.xbrl.org/understanding-boolean-and-enumeration-tags-in-digital-reporting/" \l "_ftn3" </w:instrText>
      </w:r>
      <w:r w:rsidRPr="002A1A42">
        <w:fldChar w:fldCharType="separate"/>
      </w:r>
      <w:r w:rsidRPr="002A1A42">
        <w:rPr>
          <w:rStyle w:val="Hipervnculo"/>
        </w:rPr>
        <w:t>[3]</w:t>
      </w:r>
      <w:r w:rsidRPr="002A1A42">
        <w:fldChar w:fldCharType="end"/>
      </w:r>
      <w:bookmarkEnd w:id="2"/>
      <w:r w:rsidRPr="002A1A42">
        <w:t>.</w:t>
      </w:r>
    </w:p>
    <w:p w14:paraId="2EB9766B" w14:textId="77777777" w:rsidR="002A1A42" w:rsidRPr="00D90E32" w:rsidRDefault="002A1A42" w:rsidP="002A1A42">
      <w:pPr>
        <w:jc w:val="both"/>
        <w:rPr>
          <w:sz w:val="24"/>
          <w:szCs w:val="24"/>
        </w:rPr>
      </w:pPr>
      <w:r w:rsidRPr="00D90E32">
        <w:rPr>
          <w:sz w:val="24"/>
          <w:szCs w:val="24"/>
        </w:rPr>
        <w:t>Todos los booleanos</w:t>
      </w:r>
    </w:p>
    <w:p w14:paraId="1C00B240" w14:textId="77777777" w:rsidR="002A1A42" w:rsidRPr="002A1A42" w:rsidRDefault="002A1A42" w:rsidP="002A1A42">
      <w:pPr>
        <w:jc w:val="both"/>
      </w:pPr>
      <w:r w:rsidRPr="002A1A42">
        <w:t>Es importante señalar que, desde un punto de vista técnico, todos los tipos booleanos son técnicamente iguales para EFRAG, IFRS y GRI.</w:t>
      </w:r>
    </w:p>
    <w:p w14:paraId="136664E1" w14:textId="77777777" w:rsidR="002A1A42" w:rsidRPr="00D90E32" w:rsidRDefault="002A1A42" w:rsidP="002A1A42">
      <w:pPr>
        <w:jc w:val="both"/>
        <w:rPr>
          <w:sz w:val="24"/>
          <w:szCs w:val="24"/>
        </w:rPr>
      </w:pPr>
      <w:r w:rsidRPr="00D90E32">
        <w:rPr>
          <w:sz w:val="24"/>
          <w:szCs w:val="24"/>
        </w:rPr>
        <w:t>Enumeraciones</w:t>
      </w:r>
    </w:p>
    <w:p w14:paraId="5A38B805" w14:textId="29979D47" w:rsidR="002A1A42" w:rsidRPr="002A1A42" w:rsidRDefault="002A1A42" w:rsidP="002A1A42">
      <w:pPr>
        <w:jc w:val="both"/>
      </w:pPr>
      <w:r w:rsidRPr="002A1A42">
        <w:t>Las enumeraciones</w:t>
      </w:r>
      <w:bookmarkStart w:id="3" w:name="_ftnref4"/>
      <w:r w:rsidRPr="002A1A42">
        <w:fldChar w:fldCharType="begin"/>
      </w:r>
      <w:r w:rsidRPr="002A1A42">
        <w:instrText xml:space="preserve"> HYPERLINK "https://www.xbrl.org/understanding-boolean-and-enumeration-tags-in-digital-reporting/" \l "_ftn4" </w:instrText>
      </w:r>
      <w:r w:rsidRPr="002A1A42">
        <w:fldChar w:fldCharType="separate"/>
      </w:r>
      <w:r w:rsidRPr="002A1A42">
        <w:rPr>
          <w:rStyle w:val="Hipervnculo"/>
        </w:rPr>
        <w:t>[4]</w:t>
      </w:r>
      <w:r w:rsidRPr="002A1A42">
        <w:fldChar w:fldCharType="end"/>
      </w:r>
      <w:bookmarkEnd w:id="3"/>
      <w:r w:rsidR="00130CE6">
        <w:t xml:space="preserve"> </w:t>
      </w:r>
      <w:r w:rsidRPr="002A1A42">
        <w:t>son el otro elemento que modela las divulgaciones de seminarios que se ha introducido en las taxonomías. Pero, ¿en qué se diferencian las enumeraciones de las booleanas? Las booleanas proporcionan "Sí" o "No", mientras que las enumeraciones permiten a los preparadores elegir entre una gama más amplia de respuestas. Las opciones "Corto plazo", "Mediano plazo" y "Largo plazo" podrían ser la respuesta. ¿Quiere incluir la industria a la que pertenece una empresa? Simplemente cree una enumeración con todas las industrias que desee.</w:t>
      </w:r>
    </w:p>
    <w:p w14:paraId="4CF87F11" w14:textId="77777777" w:rsidR="002A1A42" w:rsidRPr="002A1A42" w:rsidRDefault="002A1A42" w:rsidP="002A1A42">
      <w:pPr>
        <w:jc w:val="both"/>
      </w:pPr>
      <w:r w:rsidRPr="002A1A42">
        <w:t>En resumen, una enumeración puede contener cualquier conjunto de opciones. Incluso existe la posibilidad de permitir una sola respuesta (enumeración de un solo valor) o una o varias respuestas (enumeración de conjunto de valores).</w:t>
      </w:r>
    </w:p>
    <w:p w14:paraId="742F948D" w14:textId="77777777" w:rsidR="002A1A42" w:rsidRPr="002A1A42" w:rsidRDefault="002A1A42" w:rsidP="002A1A42">
      <w:pPr>
        <w:jc w:val="both"/>
      </w:pPr>
      <w:r w:rsidRPr="002A1A42">
        <w:t>Ejemplo de la implementación de una enumeración de opción única en la taxonomía XBRL ESRS de EFRAG:</w:t>
      </w:r>
    </w:p>
    <w:p w14:paraId="6062DC35" w14:textId="77777777" w:rsidR="002A1A42" w:rsidRPr="002A1A42" w:rsidRDefault="002A1A42" w:rsidP="002A1A42">
      <w:pPr>
        <w:jc w:val="both"/>
      </w:pPr>
      <w:r w:rsidRPr="002A1A42">
        <w:rPr>
          <w:i/>
          <w:iCs/>
        </w:rPr>
        <w:t>En ESRS: PP-1, 5 (a)</w:t>
      </w:r>
    </w:p>
    <w:p w14:paraId="4BA6C82D" w14:textId="0894DF96" w:rsidR="002A1A42" w:rsidRPr="002A1A42" w:rsidRDefault="002A1A42" w:rsidP="002A1A42">
      <w:pPr>
        <w:jc w:val="both"/>
      </w:pPr>
      <w:r w:rsidRPr="002A1A42">
        <w:t>“</w:t>
      </w:r>
      <w:r w:rsidR="00130CE6">
        <w:t>l</w:t>
      </w:r>
      <w:r w:rsidRPr="002A1A42">
        <w:rPr>
          <w:i/>
          <w:iCs/>
        </w:rPr>
        <w:t>a</w:t>
      </w:r>
      <w:r>
        <w:rPr>
          <w:i/>
          <w:iCs/>
        </w:rPr>
        <w:t xml:space="preserve"> </w:t>
      </w:r>
      <w:r w:rsidRPr="002A1A42">
        <w:rPr>
          <w:i/>
          <w:iCs/>
        </w:rPr>
        <w:t>empresa deberá revelar la siguiente información: (a) si la declaración de sostenibilidad se ha preparado de forma consolidada o individual…”</w:t>
      </w:r>
    </w:p>
    <w:p w14:paraId="585A47E7" w14:textId="77777777" w:rsidR="002A1A42" w:rsidRPr="002A1A42" w:rsidRDefault="002A1A42" w:rsidP="002A1A42">
      <w:pPr>
        <w:jc w:val="both"/>
      </w:pPr>
      <w:r w:rsidRPr="002A1A42">
        <w:t>Enumeración correspondiente: Base para la elaboración de la declaración de sostenibilidad.</w:t>
      </w:r>
    </w:p>
    <w:p w14:paraId="1A8555CB" w14:textId="77777777" w:rsidR="002A1A42" w:rsidRPr="002A1A42" w:rsidRDefault="002A1A42" w:rsidP="002A1A42">
      <w:pPr>
        <w:jc w:val="both"/>
      </w:pPr>
      <w:r w:rsidRPr="002A1A42">
        <w:t>Valores de enumeración: “Individual [Miembro]” y “Consolidado [Miembro]”.</w:t>
      </w:r>
    </w:p>
    <w:p w14:paraId="0838FD4E" w14:textId="233180A1" w:rsidR="002A1A42" w:rsidRPr="002A1A42" w:rsidRDefault="002A1A42" w:rsidP="002A1A42">
      <w:pPr>
        <w:jc w:val="both"/>
      </w:pPr>
      <w:r w:rsidRPr="002A1A42">
        <w:t>Ejemplo de la implementación de una</w:t>
      </w:r>
      <w:r w:rsidR="00130CE6">
        <w:t xml:space="preserve"> </w:t>
      </w:r>
      <w:r w:rsidRPr="002A1A42">
        <w:t>enumeración</w:t>
      </w:r>
      <w:r w:rsidR="00130CE6">
        <w:t xml:space="preserve"> </w:t>
      </w:r>
      <w:r w:rsidRPr="002A1A42">
        <w:t>de opción múltiple en la taxonomía XBRL ESRS de EFRAG:</w:t>
      </w:r>
    </w:p>
    <w:p w14:paraId="0D5A416D" w14:textId="77777777" w:rsidR="002A1A42" w:rsidRPr="002A1A42" w:rsidRDefault="002A1A42" w:rsidP="002A1A42">
      <w:pPr>
        <w:jc w:val="both"/>
      </w:pPr>
      <w:r w:rsidRPr="002A1A42">
        <w:rPr>
          <w:i/>
          <w:iCs/>
        </w:rPr>
        <w:t>En ESRS: E1-3 Ar.19 (b)</w:t>
      </w:r>
    </w:p>
    <w:p w14:paraId="5A8CACE4" w14:textId="75AC3194" w:rsidR="002A1A42" w:rsidRPr="002A1A42" w:rsidRDefault="002A1A42" w:rsidP="002A1A42">
      <w:pPr>
        <w:jc w:val="both"/>
      </w:pPr>
      <w:r w:rsidRPr="002A1A42">
        <w:t>“</w:t>
      </w:r>
      <w:r w:rsidRPr="002A1A42">
        <w:rPr>
          <w:i/>
          <w:iCs/>
        </w:rPr>
        <w:t xml:space="preserve">Al divulgar la información sobre las acciones requeridas en los párrafos 29 (a) y 29 (b), la empresa puede: (b) agregar tipos de acciones de mitigación (palancas de descarbonización) como eficiencia </w:t>
      </w:r>
      <w:r w:rsidRPr="002A1A42">
        <w:rPr>
          <w:i/>
          <w:iCs/>
        </w:rPr>
        <w:lastRenderedPageBreak/>
        <w:t>energética, electrificación, cambio de combustible, uso de energía renovable, cambio de productos y descarbonización de la cadena de suministro que se ajusten a las acciones específicas de la empresa…”</w:t>
      </w:r>
    </w:p>
    <w:p w14:paraId="61D18CCE" w14:textId="77777777" w:rsidR="002A1A42" w:rsidRPr="002A1A42" w:rsidRDefault="002A1A42" w:rsidP="002A1A42">
      <w:pPr>
        <w:jc w:val="both"/>
      </w:pPr>
      <w:r w:rsidRPr="002A1A42">
        <w:t>Enumeración correspondiente: Tipo de palanca de descarbonización</w:t>
      </w:r>
    </w:p>
    <w:p w14:paraId="487C86F2" w14:textId="77777777" w:rsidR="002A1A42" w:rsidRDefault="002A1A42" w:rsidP="002A1A42">
      <w:pPr>
        <w:jc w:val="both"/>
      </w:pPr>
      <w:r w:rsidRPr="002A1A42">
        <w:t>Valores de enumeración:</w:t>
      </w:r>
    </w:p>
    <w:p w14:paraId="057B1BD1" w14:textId="77777777" w:rsidR="002A1A42" w:rsidRDefault="002A1A42" w:rsidP="002A1A42">
      <w:pPr>
        <w:jc w:val="both"/>
      </w:pPr>
      <w:r w:rsidRPr="002A1A42">
        <w:t>“Reducción de energía y consumo [Miembro]”,</w:t>
      </w:r>
    </w:p>
    <w:p w14:paraId="5B72DB9A" w14:textId="77777777" w:rsidR="002A1A42" w:rsidRDefault="002A1A42" w:rsidP="002A1A42">
      <w:pPr>
        <w:jc w:val="both"/>
      </w:pPr>
      <w:r w:rsidRPr="002A1A42">
        <w:t>“Eficiencia de materiales y reducción del consumo [Miembro]”,</w:t>
      </w:r>
    </w:p>
    <w:p w14:paraId="59B110F0" w14:textId="77777777" w:rsidR="002A1A42" w:rsidRDefault="002A1A42" w:rsidP="002A1A42">
      <w:pPr>
        <w:jc w:val="both"/>
      </w:pPr>
      <w:r w:rsidRPr="002A1A42">
        <w:t>“Cambio total [Miembro]”,</w:t>
      </w:r>
    </w:p>
    <w:p w14:paraId="7BD78BA6" w14:textId="77777777" w:rsidR="002A1A42" w:rsidRDefault="002A1A42" w:rsidP="002A1A42">
      <w:pPr>
        <w:jc w:val="both"/>
      </w:pPr>
      <w:r w:rsidRPr="002A1A42">
        <w:t>“Electrificación [Miembro]”,</w:t>
      </w:r>
    </w:p>
    <w:p w14:paraId="4629D07C" w14:textId="77777777" w:rsidR="002A1A42" w:rsidRDefault="002A1A42" w:rsidP="002A1A42">
      <w:pPr>
        <w:jc w:val="both"/>
      </w:pPr>
      <w:r w:rsidRPr="002A1A42">
        <w:t>“Uso de energía renovable [Miembro]”,</w:t>
      </w:r>
    </w:p>
    <w:p w14:paraId="044B6712" w14:textId="77777777" w:rsidR="002A1A42" w:rsidRDefault="002A1A42" w:rsidP="002A1A42">
      <w:pPr>
        <w:jc w:val="both"/>
      </w:pPr>
      <w:r w:rsidRPr="002A1A42">
        <w:t>“Eliminación progresiva, sustitución o modificación de producto [Miembro]”,</w:t>
      </w:r>
    </w:p>
    <w:p w14:paraId="0F60BECF" w14:textId="77777777" w:rsidR="002A1A42" w:rsidRDefault="002A1A42" w:rsidP="002A1A42">
      <w:pPr>
        <w:jc w:val="both"/>
      </w:pPr>
      <w:r w:rsidRPr="002A1A42">
        <w:t>“Eliminación progresiva, sustitución o modificación de proceso [Miembro]”,</w:t>
      </w:r>
    </w:p>
    <w:p w14:paraId="160017A5" w14:textId="77777777" w:rsidR="002A1A42" w:rsidRDefault="002A1A42" w:rsidP="002A1A42">
      <w:pPr>
        <w:jc w:val="both"/>
      </w:pPr>
      <w:r w:rsidRPr="002A1A42">
        <w:t>“Otras palancas de descarbonización [Miembro]” y</w:t>
      </w:r>
    </w:p>
    <w:p w14:paraId="3F139CD8" w14:textId="1C97D5AF" w:rsidR="002A1A42" w:rsidRPr="002A1A42" w:rsidRDefault="002A1A42" w:rsidP="002A1A42">
      <w:pPr>
        <w:jc w:val="both"/>
      </w:pPr>
      <w:r w:rsidRPr="002A1A42">
        <w:t>“Descarbonización de la cadena de suministro [Miembro]”.</w:t>
      </w:r>
    </w:p>
    <w:p w14:paraId="6E74D46C" w14:textId="77777777" w:rsidR="002A1A42" w:rsidRPr="002A1A42" w:rsidRDefault="002A1A42" w:rsidP="002A1A42">
      <w:pPr>
        <w:jc w:val="both"/>
      </w:pPr>
      <w:r w:rsidRPr="002A1A42">
        <w:t>Tenga en cuenta que es posible que sea necesario ajustar el software de navegación de taxonomías para presentar los conceptos de enumeración de forma más intuitiva, ya que el concepto de enumeración y sus valores se definen técnicamente en la taxonomía por separado. Ahora, veamos cómo los creadores de taxonomías definieron sus enumeraciones:</w:t>
      </w:r>
    </w:p>
    <w:p w14:paraId="130617CB" w14:textId="1E7D1743" w:rsidR="002A1A42" w:rsidRPr="002A1A42" w:rsidRDefault="002A1A42" w:rsidP="002A1A42">
      <w:pPr>
        <w:numPr>
          <w:ilvl w:val="0"/>
          <w:numId w:val="2"/>
        </w:numPr>
        <w:jc w:val="both"/>
      </w:pPr>
      <w:r w:rsidRPr="002A1A42">
        <w:rPr>
          <w:b/>
          <w:bCs/>
        </w:rPr>
        <w:t>La segunda actualización de la taxonomía contable de las NIIF del ISSB</w:t>
      </w:r>
      <w:r w:rsidRPr="002A1A42">
        <w:t> describe las enumeraciones como una forma de permitir a las entidades elegir una opción de una lista predefinida o crear opciones específicas para la entidad, si es necesario. Existen dos tipos: “enumeraciones extensibles con valores establecidos”, que permiten múltiples selecciones, y “enumeraciones extensibles con valores únicos”, que permiten solo una selección</w:t>
      </w:r>
      <w:bookmarkStart w:id="4" w:name="_ftnref5"/>
      <w:r w:rsidRPr="002A1A42">
        <w:fldChar w:fldCharType="begin"/>
      </w:r>
      <w:r w:rsidRPr="002A1A42">
        <w:instrText xml:space="preserve"> HYPERLINK "https://www.xbrl.org/understanding-boolean-and-enumeration-tags-in-digital-reporting/" \l "_ftn5" </w:instrText>
      </w:r>
      <w:r w:rsidRPr="002A1A42">
        <w:fldChar w:fldCharType="separate"/>
      </w:r>
      <w:r w:rsidRPr="002A1A42">
        <w:rPr>
          <w:rStyle w:val="Hipervnculo"/>
        </w:rPr>
        <w:t>[5]</w:t>
      </w:r>
      <w:r w:rsidRPr="002A1A42">
        <w:fldChar w:fldCharType="end"/>
      </w:r>
      <w:bookmarkEnd w:id="4"/>
      <w:r w:rsidRPr="002A1A42">
        <w:t>.</w:t>
      </w:r>
    </w:p>
    <w:p w14:paraId="6BCB713A" w14:textId="20D6C7A4" w:rsidR="002A1A42" w:rsidRPr="002A1A42" w:rsidRDefault="002A1A42" w:rsidP="002A1A42">
      <w:pPr>
        <w:numPr>
          <w:ilvl w:val="0"/>
          <w:numId w:val="2"/>
        </w:numPr>
        <w:jc w:val="both"/>
      </w:pPr>
      <w:r w:rsidRPr="002A1A42">
        <w:rPr>
          <w:b/>
          <w:bCs/>
        </w:rPr>
        <w:t>La taxonomía EFRAG</w:t>
      </w:r>
      <w:r w:rsidRPr="002A1A42">
        <w:t> define los tipos booleanos (sí/no) y los tipos de elementos de enumeración (valores desplegables) como seminarios o elementos categóricos porque enriquecen las revelaciones narrativas no estructuradas</w:t>
      </w:r>
      <w:bookmarkStart w:id="5" w:name="_ftnref6"/>
      <w:r w:rsidRPr="002A1A42">
        <w:fldChar w:fldCharType="begin"/>
      </w:r>
      <w:r w:rsidRPr="002A1A42">
        <w:instrText xml:space="preserve"> HYPERLINK "https://www.xbrl.org/understanding-boolean-and-enumeration-tags-in-digital-reporting/" \l "_ftn6" </w:instrText>
      </w:r>
      <w:r w:rsidRPr="002A1A42">
        <w:fldChar w:fldCharType="separate"/>
      </w:r>
      <w:r w:rsidRPr="002A1A42">
        <w:rPr>
          <w:rStyle w:val="Hipervnculo"/>
        </w:rPr>
        <w:t>[6]</w:t>
      </w:r>
      <w:r w:rsidRPr="002A1A42">
        <w:fldChar w:fldCharType="end"/>
      </w:r>
      <w:bookmarkEnd w:id="5"/>
      <w:r w:rsidRPr="002A1A42">
        <w:t>.</w:t>
      </w:r>
    </w:p>
    <w:p w14:paraId="76C3BDE5" w14:textId="539CAA27" w:rsidR="002A1A42" w:rsidRPr="002A1A42" w:rsidRDefault="002A1A42" w:rsidP="002A1A42">
      <w:pPr>
        <w:numPr>
          <w:ilvl w:val="0"/>
          <w:numId w:val="2"/>
        </w:numPr>
        <w:jc w:val="both"/>
      </w:pPr>
      <w:r w:rsidRPr="002A1A42">
        <w:rPr>
          <w:b/>
          <w:bCs/>
        </w:rPr>
        <w:t>GRI</w:t>
      </w:r>
      <w:r w:rsidRPr="002A1A42">
        <w:t> describe los “Elementos categóricos – Enumeraciones extensibles” como listas predefinidas (análogas a los “menús desplegables”) dentro de la taxonomía, que permiten a los usuarios seleccionar el elemento más apropiado (opción única) o varios elementos (opciones múltiples) de la lista</w:t>
      </w:r>
      <w:bookmarkStart w:id="6" w:name="_ftnref7"/>
      <w:r w:rsidRPr="002A1A42">
        <w:fldChar w:fldCharType="begin"/>
      </w:r>
      <w:r w:rsidRPr="002A1A42">
        <w:instrText xml:space="preserve"> HYPERLINK "https://www.xbrl.org/understanding-boolean-and-enumeration-tags-in-digital-reporting/" \l "_ftn7" </w:instrText>
      </w:r>
      <w:r w:rsidRPr="002A1A42">
        <w:fldChar w:fldCharType="separate"/>
      </w:r>
      <w:r w:rsidRPr="002A1A42">
        <w:rPr>
          <w:rStyle w:val="Hipervnculo"/>
        </w:rPr>
        <w:t>[7]</w:t>
      </w:r>
      <w:r w:rsidRPr="002A1A42">
        <w:fldChar w:fldCharType="end"/>
      </w:r>
      <w:bookmarkEnd w:id="6"/>
      <w:r w:rsidRPr="002A1A42">
        <w:t>.</w:t>
      </w:r>
    </w:p>
    <w:p w14:paraId="4E58F5E6" w14:textId="77777777" w:rsidR="002A1A42" w:rsidRPr="002A1A42" w:rsidRDefault="002A1A42" w:rsidP="002A1A42">
      <w:pPr>
        <w:jc w:val="both"/>
      </w:pPr>
      <w:r w:rsidRPr="002A1A42">
        <w:t>Como podemos ver, todas estas definiciones coinciden en las funcionalidades básicas y las tres taxonomías decidieron utilizar tanto la enumeración de opción única como la enumeración de opción múltiple.</w:t>
      </w:r>
    </w:p>
    <w:p w14:paraId="45DE4E33" w14:textId="77777777" w:rsidR="002A1A42" w:rsidRPr="002A1A42" w:rsidRDefault="002A1A42" w:rsidP="002A1A42">
      <w:pPr>
        <w:jc w:val="both"/>
      </w:pPr>
      <w:r w:rsidRPr="002A1A42">
        <w:t xml:space="preserve">Pero más adelante también hay algunas diferencias en cómo los creadores de la taxonomía decidieron diseñar las enumeraciones. EFRAG decidió proporcionar la opción “Otros” si no hay nada </w:t>
      </w:r>
      <w:r w:rsidRPr="002A1A42">
        <w:lastRenderedPageBreak/>
        <w:t>que encaje en una enumeración para evitar la creación de extensiones. En la taxonomía IFRS se decidió no incluir un elemento “Otros” sino alentar la creación de extensiones.</w:t>
      </w:r>
    </w:p>
    <w:p w14:paraId="7C6AC59A" w14:textId="225D8B1F" w:rsidR="002A1A42" w:rsidRPr="00D90E32" w:rsidRDefault="002A1A42" w:rsidP="002A1A42">
      <w:pPr>
        <w:jc w:val="both"/>
        <w:rPr>
          <w:sz w:val="24"/>
          <w:szCs w:val="24"/>
        </w:rPr>
      </w:pPr>
      <w:r w:rsidRPr="00D90E32">
        <w:rPr>
          <w:sz w:val="24"/>
          <w:szCs w:val="24"/>
        </w:rPr>
        <w:t>Enumeración y hechos ocultos:</w:t>
      </w:r>
    </w:p>
    <w:p w14:paraId="272BA54D" w14:textId="2675EBBB" w:rsidR="002A1A42" w:rsidRPr="002A1A42" w:rsidRDefault="002A1A42" w:rsidP="002A1A42">
      <w:pPr>
        <w:jc w:val="both"/>
      </w:pPr>
      <w:r w:rsidRPr="002A1A42">
        <w:t>Cuando abre un informe iXBRL y busca una enumeración, es posible que vea que está incluida como un "hecho oculto"</w:t>
      </w:r>
      <w:bookmarkStart w:id="7" w:name="_ftnref8"/>
      <w:r w:rsidRPr="002A1A42">
        <w:fldChar w:fldCharType="begin"/>
      </w:r>
      <w:r w:rsidRPr="002A1A42">
        <w:instrText xml:space="preserve"> HYPERLINK "https://www.xbrl.org/understanding-boolean-and-enumeration-tags-in-digital-reporting/" \l "_ftn8" </w:instrText>
      </w:r>
      <w:r w:rsidRPr="002A1A42">
        <w:fldChar w:fldCharType="separate"/>
      </w:r>
      <w:r w:rsidRPr="002A1A42">
        <w:rPr>
          <w:rStyle w:val="Hipervnculo"/>
        </w:rPr>
        <w:t>[8]</w:t>
      </w:r>
      <w:r w:rsidRPr="002A1A42">
        <w:fldChar w:fldCharType="end"/>
      </w:r>
      <w:bookmarkEnd w:id="7"/>
    </w:p>
    <w:p w14:paraId="5071344B" w14:textId="77777777" w:rsidR="002A1A42" w:rsidRPr="002A1A42" w:rsidRDefault="002A1A42" w:rsidP="002A1A42">
      <w:pPr>
        <w:jc w:val="both"/>
      </w:pPr>
      <w:r w:rsidRPr="002A1A42">
        <w:t>La razón es sencilla: este tipo de elemento tiene dos componentes: uno es el valor de texto seleccionado y el otro es el valor o los valores de enumeración seleccionados. Como actualmente no hay transformaciones del valor de texto al valor o los valores de enumeración, estos deben almacenarse en algún lugar. Ese lugar es un hecho oculto.</w:t>
      </w:r>
    </w:p>
    <w:p w14:paraId="21EFF95D" w14:textId="5D587B10" w:rsidR="002A1A42" w:rsidRPr="002A1A42" w:rsidRDefault="002A1A42" w:rsidP="002A1A42">
      <w:pPr>
        <w:jc w:val="both"/>
      </w:pPr>
      <w:r w:rsidRPr="002A1A42">
        <w:t>Por lo general, se evitan los datos ocultos porque rompen el vínculo entre lo que lee una persona y lo que extrae una computadora. Por este motivo, los últimos</w:t>
      </w:r>
      <w:r w:rsidR="00155008">
        <w:t xml:space="preserve"> </w:t>
      </w:r>
      <w:hyperlink r:id="rId23" w:history="1">
        <w:r w:rsidRPr="002A1A42">
          <w:rPr>
            <w:rStyle w:val="Hipervnculo"/>
          </w:rPr>
          <w:t>cambios en las transformaciones iXBRL</w:t>
        </w:r>
      </w:hyperlink>
      <w:r w:rsidR="00155008">
        <w:t xml:space="preserve"> </w:t>
      </w:r>
      <w:r w:rsidRPr="002A1A42">
        <w:t>hacen que ya no sean necesarios. Los cambios se encuentran actualmente en estado de borrador de trabajo público.</w:t>
      </w:r>
    </w:p>
    <w:p w14:paraId="0E3E2FA4" w14:textId="77777777" w:rsidR="002A1A42" w:rsidRPr="00D90E32" w:rsidRDefault="002A1A42" w:rsidP="002A1A42">
      <w:pPr>
        <w:jc w:val="both"/>
        <w:rPr>
          <w:sz w:val="24"/>
          <w:szCs w:val="24"/>
        </w:rPr>
      </w:pPr>
      <w:r w:rsidRPr="00D90E32">
        <w:rPr>
          <w:sz w:val="24"/>
          <w:szCs w:val="24"/>
        </w:rPr>
        <w:t>Resumen</w:t>
      </w:r>
    </w:p>
    <w:p w14:paraId="02B66BAB" w14:textId="77777777" w:rsidR="002A1A42" w:rsidRPr="002A1A42" w:rsidRDefault="002A1A42" w:rsidP="002A1A42">
      <w:pPr>
        <w:jc w:val="both"/>
      </w:pPr>
      <w:r w:rsidRPr="002A1A42">
        <w:t>Estos elementos animan a los usuarios no solo a marcar el área en la que se discute un tema determinado, sino también a proporcionar una respuesta clara sobre lo que significa ese texto. Esto es especialmente útil para que las máquinas obtengan más información de un valor booleano o una enumeración de la que pueden obtener de una etiqueta de bloque de texto. Pero también es útil para que el lector humano comprenda la información proporcionada de un vistazo.</w:t>
      </w:r>
    </w:p>
    <w:p w14:paraId="2B4D1E5E" w14:textId="77777777" w:rsidR="002A1A42" w:rsidRPr="002A1A42" w:rsidRDefault="002A1A42" w:rsidP="002A1A42">
      <w:pPr>
        <w:jc w:val="both"/>
      </w:pPr>
      <w:r w:rsidRPr="002A1A42">
        <w:t>Además, las enumeraciones permiten al archivador categorizar aún más los elementos (si se utilizan, por ejemplo, para períodos de tiempo).</w:t>
      </w:r>
    </w:p>
    <w:p w14:paraId="4892CC2D" w14:textId="72ECDE40" w:rsidR="002A1A42" w:rsidRPr="002A1A42" w:rsidRDefault="002A1A42" w:rsidP="002A1A42">
      <w:pPr>
        <w:jc w:val="both"/>
      </w:pPr>
      <w:r w:rsidRPr="002A1A42">
        <w:t>Estos elementos de seminario desempeñan un papel fundamental en los tres marcos de presentación de informes</w:t>
      </w:r>
      <w:r w:rsidR="00130CE6">
        <w:t xml:space="preserve"> </w:t>
      </w:r>
      <w:r w:rsidRPr="002A1A42">
        <w:t>EFRAG, IFRS</w:t>
      </w:r>
      <w:r w:rsidR="00130CE6">
        <w:t xml:space="preserve"> </w:t>
      </w:r>
      <w:r w:rsidRPr="002A1A42">
        <w:t>y</w:t>
      </w:r>
      <w:r w:rsidR="00130CE6">
        <w:t xml:space="preserve"> </w:t>
      </w:r>
      <w:r w:rsidRPr="002A1A42">
        <w:t>GRI, ya que sirven para agilizar los procesos de presentación de informes, mejorar la usabilidad de los datos y garantizar el cumplimiento de los requisitos reglamentarios. Al proporcionar un marco estandarizado para transmitir información binaria y estructurada, estos elementos mejoran la claridad, la precisión y la comparabilidad de las divulgaciones financieras y de sostenibilidad.</w:t>
      </w:r>
    </w:p>
    <w:p w14:paraId="42AFA487" w14:textId="77777777" w:rsidR="002A1A42" w:rsidRPr="00D90E32" w:rsidRDefault="002A1A42" w:rsidP="002A1A42">
      <w:pPr>
        <w:jc w:val="both"/>
        <w:rPr>
          <w:sz w:val="24"/>
          <w:szCs w:val="24"/>
        </w:rPr>
      </w:pPr>
      <w:r w:rsidRPr="00D90E32">
        <w:rPr>
          <w:sz w:val="24"/>
          <w:szCs w:val="24"/>
        </w:rPr>
        <w:t>Conclusiones clave</w:t>
      </w:r>
    </w:p>
    <w:p w14:paraId="6747A223" w14:textId="77777777" w:rsidR="002A1A42" w:rsidRPr="002A1A42" w:rsidRDefault="002A1A42" w:rsidP="002A1A42">
      <w:pPr>
        <w:jc w:val="both"/>
      </w:pPr>
      <w:r w:rsidRPr="002A1A42">
        <w:t>Con suerte, esta publicación le habrá explicado todo lo que necesita saber sobre las enumeraciones y los valores booleanos que se utilizan en las nuevas divulgaciones de sostenibilidad. En términos prácticos, estas son algunas de las cosas que puede hacer para aprovecharlas al máximo:</w:t>
      </w:r>
    </w:p>
    <w:p w14:paraId="4224036A" w14:textId="77777777" w:rsidR="002A1A42" w:rsidRPr="002A1A42" w:rsidRDefault="002A1A42" w:rsidP="002A1A42">
      <w:pPr>
        <w:numPr>
          <w:ilvl w:val="0"/>
          <w:numId w:val="3"/>
        </w:numPr>
        <w:jc w:val="both"/>
      </w:pPr>
      <w:r w:rsidRPr="002A1A42">
        <w:t>El software de etiquetado debe conocer los diferentes tipos de enumeraciones y valores booleanos y ayudar a los usuarios a aplicarlos correctamente.</w:t>
      </w:r>
    </w:p>
    <w:p w14:paraId="7AA3C628" w14:textId="77777777" w:rsidR="002A1A42" w:rsidRPr="002A1A42" w:rsidRDefault="002A1A42" w:rsidP="002A1A42">
      <w:pPr>
        <w:numPr>
          <w:ilvl w:val="0"/>
          <w:numId w:val="3"/>
        </w:numPr>
        <w:jc w:val="both"/>
      </w:pPr>
      <w:r w:rsidRPr="002A1A42">
        <w:t>El software de navegación de taxonomía debería ayudar a los usuarios a identificar la lista de posibles valores de enumeración.</w:t>
      </w:r>
    </w:p>
    <w:p w14:paraId="77F5E5C3" w14:textId="77777777" w:rsidR="002A1A42" w:rsidRPr="002A1A42" w:rsidRDefault="002A1A42" w:rsidP="002A1A42">
      <w:pPr>
        <w:numPr>
          <w:ilvl w:val="0"/>
          <w:numId w:val="3"/>
        </w:numPr>
        <w:jc w:val="both"/>
      </w:pPr>
      <w:r w:rsidRPr="002A1A42">
        <w:t>Los preparadores deben asegurarse de comprender lo que están informando cuando realizan selecciones para enumeraciones y valores booleanos.</w:t>
      </w:r>
    </w:p>
    <w:p w14:paraId="2F7C6626" w14:textId="77777777" w:rsidR="002A1A42" w:rsidRPr="002A1A42" w:rsidRDefault="002A1A42" w:rsidP="002A1A42">
      <w:pPr>
        <w:numPr>
          <w:ilvl w:val="0"/>
          <w:numId w:val="3"/>
        </w:numPr>
        <w:jc w:val="both"/>
      </w:pPr>
      <w:r w:rsidRPr="002A1A42">
        <w:lastRenderedPageBreak/>
        <w:t>Las herramientas de análisis deberían utilizar estas enumeraciones y valores booleanos para el propósito previsto: ayudar a los usuarios a buscar y filtrar informes.</w:t>
      </w:r>
    </w:p>
    <w:p w14:paraId="52678078" w14:textId="77777777" w:rsidR="002A1A42" w:rsidRPr="002A1A42" w:rsidRDefault="002A1A42" w:rsidP="002A1A42">
      <w:pPr>
        <w:jc w:val="both"/>
      </w:pPr>
      <w:r w:rsidRPr="002A1A42">
        <w:t>Orientación relacionada:</w:t>
      </w:r>
    </w:p>
    <w:p w14:paraId="67B84C11" w14:textId="77777777" w:rsidR="002A1A42" w:rsidRPr="002A1A42" w:rsidRDefault="00D90E32" w:rsidP="002A1A42">
      <w:pPr>
        <w:jc w:val="both"/>
      </w:pPr>
      <w:hyperlink r:id="rId24" w:history="1">
        <w:r w:rsidR="002A1A42" w:rsidRPr="002A1A42">
          <w:rPr>
            <w:rStyle w:val="Hipervnculo"/>
          </w:rPr>
          <w:t>Enumeraciones en XBRL | XBRL</w:t>
        </w:r>
      </w:hyperlink>
    </w:p>
    <w:p w14:paraId="244B052A" w14:textId="77777777" w:rsidR="002A1A42" w:rsidRPr="002A1A42" w:rsidRDefault="00D90E32" w:rsidP="002A1A42">
      <w:pPr>
        <w:jc w:val="both"/>
      </w:pPr>
      <w:hyperlink r:id="rId25" w:history="1">
        <w:r w:rsidR="002A1A42" w:rsidRPr="002A1A42">
          <w:rPr>
            <w:rStyle w:val="Hipervnculo"/>
          </w:rPr>
          <w:t>Cómo definir una lista de valores permitidos | XBRL</w:t>
        </w:r>
      </w:hyperlink>
    </w:p>
    <w:p w14:paraId="09088E46" w14:textId="77777777" w:rsidR="002A1A42" w:rsidRPr="002A1A42" w:rsidRDefault="00D90E32" w:rsidP="002A1A42">
      <w:pPr>
        <w:jc w:val="both"/>
      </w:pPr>
      <w:r>
        <w:pict w14:anchorId="0C9D36CC">
          <v:rect id="_x0000_i1025" style="width:0;height:0" o:hralign="center" o:hrstd="t" o:hr="t" fillcolor="#a0a0a0" stroked="f"/>
        </w:pict>
      </w:r>
    </w:p>
    <w:bookmarkStart w:id="8" w:name="_ftn1"/>
    <w:p w14:paraId="2846C555" w14:textId="7CE2FB15"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"_ftnref1" </w:instrText>
      </w:r>
      <w:r w:rsidRPr="002A1A42">
        <w:fldChar w:fldCharType="separate"/>
      </w:r>
      <w:r w:rsidRPr="002A1A42">
        <w:rPr>
          <w:rStyle w:val="Hipervnculo"/>
        </w:rPr>
        <w:t>[1]</w:t>
      </w:r>
      <w:r w:rsidR="00155008">
        <w:rPr>
          <w:rStyle w:val="Hipervnculo"/>
        </w:rPr>
        <w:t xml:space="preserve"> </w:t>
      </w:r>
      <w:r w:rsidRPr="002A1A42">
        <w:fldChar w:fldCharType="end"/>
      </w:r>
      <w:bookmarkEnd w:id="8"/>
      <w:r w:rsidRPr="002A1A42">
        <w:rPr>
          <w:i/>
          <w:iCs/>
        </w:rPr>
        <w:t>Definición de la actualización 2 de la taxonomía contable de las NIIF del ISSB:</w:t>
      </w:r>
      <w:r w:rsidRPr="002A1A42">
        <w:t> elementos booleanos: permiten que una entidad elija solo "verdadero" o "falso" ("sí" o "no")</w:t>
      </w:r>
    </w:p>
    <w:bookmarkStart w:id="9" w:name="_ftn2"/>
    <w:p w14:paraId="3E0D26AB" w14:textId="13E7B677"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"_ftnref2" </w:instrText>
      </w:r>
      <w:r w:rsidRPr="002A1A42">
        <w:fldChar w:fldCharType="separate"/>
      </w:r>
      <w:r w:rsidRPr="002A1A42">
        <w:rPr>
          <w:rStyle w:val="Hipervnculo"/>
        </w:rPr>
        <w:t>[2]</w:t>
      </w:r>
      <w:r w:rsidRPr="002A1A42">
        <w:fldChar w:fldCharType="end"/>
      </w:r>
      <w:bookmarkEnd w:id="9"/>
      <w:r w:rsidR="00155008">
        <w:t xml:space="preserve"> </w:t>
      </w:r>
      <w:r w:rsidRPr="002A1A42">
        <w:t>Definición de EFRAG: </w:t>
      </w:r>
      <w:r w:rsidRPr="002A1A42">
        <w:rPr>
          <w:i/>
          <w:iCs/>
        </w:rPr>
        <w:t>el booleano corresponde a una respuesta 'sí' o 'no' (verdadero o falso).</w:t>
      </w:r>
    </w:p>
    <w:bookmarkStart w:id="10" w:name="_ftn3"/>
    <w:p w14:paraId="19915154" w14:textId="138B9B4D" w:rsidR="002A1A42" w:rsidRPr="002A1A42" w:rsidRDefault="002A1A42" w:rsidP="002A1A42">
      <w:pPr>
        <w:jc w:val="both"/>
        <w:rPr>
          <w:lang w:val="en-US"/>
        </w:rPr>
      </w:pPr>
      <w:r w:rsidRPr="002A1A42">
        <w:fldChar w:fldCharType="begin"/>
      </w:r>
      <w:r w:rsidRPr="002A1A42">
        <w:rPr>
          <w:lang w:val="en-US"/>
        </w:rPr>
        <w:instrText xml:space="preserve"> HYPERLINK "https://www.xbrl.org/understanding-boolean-and-enumeration-tags-in-digital-reporting/" \l "_ftnref3" </w:instrText>
      </w:r>
      <w:r w:rsidRPr="002A1A42">
        <w:fldChar w:fldCharType="separate"/>
      </w:r>
      <w:r w:rsidRPr="002A1A42">
        <w:rPr>
          <w:rStyle w:val="Hipervnculo"/>
          <w:lang w:val="en-US"/>
        </w:rPr>
        <w:t>[3]</w:t>
      </w:r>
      <w:r w:rsidR="00155008">
        <w:rPr>
          <w:rStyle w:val="Hipervnculo"/>
          <w:lang w:val="en-US"/>
        </w:rPr>
        <w:t xml:space="preserve"> </w:t>
      </w:r>
      <w:r w:rsidRPr="002A1A42">
        <w:fldChar w:fldCharType="end"/>
      </w:r>
      <w:bookmarkEnd w:id="10"/>
      <w:r w:rsidRPr="002A1A42">
        <w:fldChar w:fldCharType="begin"/>
      </w:r>
      <w:r w:rsidRPr="002A1A42">
        <w:rPr>
          <w:lang w:val="en-US"/>
        </w:rPr>
        <w:instrText xml:space="preserve"> HYPERLINK "https://www.globalreporting.org/media/esshjuxa/6-gri-sustainability-taxonomy-architecture-and-implementation-guide-final-for-public-consultation-11062024.pdf" </w:instrText>
      </w:r>
      <w:r w:rsidRPr="002A1A42">
        <w:fldChar w:fldCharType="separate"/>
      </w:r>
      <w:r w:rsidRPr="002A1A42">
        <w:rPr>
          <w:rStyle w:val="Hipervnculo"/>
          <w:lang w:val="en-US"/>
        </w:rPr>
        <w:t>6-gri-sustainability-taxonomy-architecture-and-implementation-guide-final-for-public-consultation-11062024.pdf (globalreporting.org),</w:t>
      </w:r>
      <w:r w:rsidRPr="002A1A42">
        <w:fldChar w:fldCharType="end"/>
      </w:r>
      <w:r w:rsidR="00D90E32">
        <w:rPr>
          <w:lang w:val="en-US"/>
        </w:rPr>
        <w:t xml:space="preserve"> </w:t>
      </w:r>
      <w:r w:rsidRPr="002A1A42">
        <w:rPr>
          <w:lang w:val="en-US"/>
        </w:rPr>
        <w:t>p.24.</w:t>
      </w:r>
    </w:p>
    <w:bookmarkStart w:id="11" w:name="_ftn4"/>
    <w:p w14:paraId="76E9C9DF" w14:textId="3F409438"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"_ftnref4" </w:instrText>
      </w:r>
      <w:r w:rsidRPr="002A1A42">
        <w:fldChar w:fldCharType="separate"/>
      </w:r>
      <w:r w:rsidRPr="002A1A42">
        <w:rPr>
          <w:rStyle w:val="Hipervnculo"/>
        </w:rPr>
        <w:t>[4]</w:t>
      </w:r>
      <w:r w:rsidRPr="002A1A42">
        <w:fldChar w:fldCharType="end"/>
      </w:r>
      <w:bookmarkEnd w:id="11"/>
      <w:r w:rsidR="00155008">
        <w:t xml:space="preserve"> </w:t>
      </w:r>
      <w:r w:rsidRPr="002A1A42">
        <w:rPr>
          <w:i/>
          <w:iCs/>
        </w:rPr>
        <w:t>Definición del glosario iXBRL de XBRL International:</w:t>
      </w:r>
      <w:r w:rsidRPr="002A1A42">
        <w:t> Las enumeraciones son una lista ordenada de valores de un hecho definida por taxonomía. Cuando se define un concepto como un tipo de enumeración, el preparador solo puede informar valores de esta lista. Para obtener más información, consulte las</w:t>
      </w:r>
      <w:r>
        <w:t xml:space="preserve"> </w:t>
      </w:r>
      <w:hyperlink r:id="rId26" w:history="1">
        <w:r w:rsidRPr="002A1A42">
          <w:rPr>
            <w:rStyle w:val="Hipervnculo"/>
          </w:rPr>
          <w:t>enumeraciones en la guía de XBRL.</w:t>
        </w:r>
      </w:hyperlink>
    </w:p>
    <w:bookmarkStart w:id="12" w:name="_ftn5"/>
    <w:p w14:paraId="01F25F5C" w14:textId="1E3364DA"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"_ftnref5" </w:instrText>
      </w:r>
      <w:r w:rsidRPr="002A1A42">
        <w:fldChar w:fldCharType="separate"/>
      </w:r>
      <w:r w:rsidRPr="002A1A42">
        <w:rPr>
          <w:rStyle w:val="Hipervnculo"/>
        </w:rPr>
        <w:t>[5]</w:t>
      </w:r>
      <w:r w:rsidRPr="002A1A42">
        <w:fldChar w:fldCharType="end"/>
      </w:r>
      <w:bookmarkEnd w:id="12"/>
      <w:r w:rsidR="00155008">
        <w:t xml:space="preserve"> </w:t>
      </w:r>
      <w:r w:rsidRPr="002A1A42">
        <w:rPr>
          <w:i/>
          <w:iCs/>
        </w:rPr>
        <w:t>Definición de la Actualización 2 de la Taxonomía Contable de las NIIF del ISSB:</w:t>
      </w:r>
      <w:r w:rsidR="00D90E32">
        <w:t xml:space="preserve"> </w:t>
      </w:r>
      <w:r w:rsidRPr="002A1A42">
        <w:t>“Enumeraciones extensibles: permiten a una entidad elegir una opción de una lista (y crear una o más opciones específicas de la entidad si es necesario), por ejemplo, si la inversión en una asociada se mide utilizando el método de participación o al valor razonable (“Método de participación” / “Al valor razonable”). Hay dos variantes de elementos de enumeración extensibles: enumeraciones extensibles con valores establecidos y enumeraciones extensibles con un solo valor. Las enumeraciones extensibles con valores establecidos permiten a una entidad elegir más de una opción de una lista especificada, mientras que las enumeraciones extensibles con un solo valor permiten a una entidad elegir solo una opción de una lista especificada”.</w:t>
      </w:r>
    </w:p>
    <w:bookmarkStart w:id="13" w:name="_ftn6"/>
    <w:p w14:paraId="4A40FCE6" w14:textId="15597251"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"_ftnref6" </w:instrText>
      </w:r>
      <w:r w:rsidRPr="002A1A42">
        <w:fldChar w:fldCharType="separate"/>
      </w:r>
      <w:r w:rsidRPr="002A1A42">
        <w:rPr>
          <w:rStyle w:val="Hipervnculo"/>
        </w:rPr>
        <w:t>[6]</w:t>
      </w:r>
      <w:r w:rsidRPr="002A1A42">
        <w:fldChar w:fldCharType="end"/>
      </w:r>
      <w:bookmarkEnd w:id="13"/>
      <w:r w:rsidR="00155008">
        <w:t xml:space="preserve"> </w:t>
      </w:r>
      <w:r w:rsidRPr="002A1A42">
        <w:rPr>
          <w:i/>
          <w:iCs/>
        </w:rPr>
        <w:t>Definición de EFRAG: “35. Los tipos booleanos (sí/no) y los tipos de elementos de enumeración (valores desplegables) se denominan en adelante seminarrativas (o categóricas), porque pueden enriquecer las revelaciones narrativas no estructuradas.</w:t>
      </w:r>
    </w:p>
    <w:p w14:paraId="3A32F167" w14:textId="77777777" w:rsidR="002A1A42" w:rsidRPr="002A1A42" w:rsidRDefault="002A1A42" w:rsidP="002A1A42">
      <w:pPr>
        <w:jc w:val="both"/>
      </w:pPr>
      <w:r w:rsidRPr="002A1A42">
        <w:rPr>
          <w:i/>
          <w:iCs/>
        </w:rPr>
        <w:t>40 Glosario. Seminarrativos Los elementos de tipo booleano (sí/no) y los elementos de tipo enumerativo (ver arriba) se denominan seminarrativos, porque pueden enriquecer las revelaciones narrativas no estructuradas. También se denominan elementos categóricos”.</w:t>
      </w:r>
    </w:p>
    <w:bookmarkStart w:id="14" w:name="_ftn7"/>
    <w:p w14:paraId="4F63D1D6" w14:textId="604A383E" w:rsidR="002A1A42" w:rsidRPr="002A1A42" w:rsidRDefault="002A1A42" w:rsidP="002A1A42">
      <w:pPr>
        <w:jc w:val="both"/>
        <w:rPr>
          <w:lang w:val="en-US"/>
        </w:rPr>
      </w:pPr>
      <w:r w:rsidRPr="002A1A42">
        <w:fldChar w:fldCharType="begin"/>
      </w:r>
      <w:r w:rsidRPr="002A1A42">
        <w:rPr>
          <w:lang w:val="en-US"/>
        </w:rPr>
        <w:instrText xml:space="preserve"> HYPERLINK "https://www.xbrl.org/understanding-boolean-and-enumeration-tags-in-digital-reporting/" \l "_ftnref7" </w:instrText>
      </w:r>
      <w:r w:rsidRPr="002A1A42">
        <w:fldChar w:fldCharType="separate"/>
      </w:r>
      <w:r w:rsidRPr="002A1A42">
        <w:rPr>
          <w:rStyle w:val="Hipervnculo"/>
          <w:lang w:val="en-US"/>
        </w:rPr>
        <w:t>[7]</w:t>
      </w:r>
      <w:r w:rsidR="00155008" w:rsidRPr="00155008">
        <w:rPr>
          <w:rStyle w:val="Hipervnculo"/>
          <w:lang w:val="en-US"/>
        </w:rPr>
        <w:t xml:space="preserve"> </w:t>
      </w:r>
      <w:r w:rsidRPr="002A1A42">
        <w:fldChar w:fldCharType="end"/>
      </w:r>
      <w:bookmarkEnd w:id="14"/>
      <w:r w:rsidRPr="002A1A42">
        <w:fldChar w:fldCharType="begin"/>
      </w:r>
      <w:r w:rsidRPr="002A1A42">
        <w:rPr>
          <w:lang w:val="en-US"/>
        </w:rPr>
        <w:instrText xml:space="preserve"> HYPERLINK "https://www.globalreporting.org/media/esshjuxa/6-gri-sustainability-taxonomy-architecture-and-implementation-guide-final-for-public-consultation-11062024.pdf" </w:instrText>
      </w:r>
      <w:r w:rsidRPr="002A1A42">
        <w:fldChar w:fldCharType="separate"/>
      </w:r>
      <w:r w:rsidRPr="002A1A42">
        <w:rPr>
          <w:rStyle w:val="Hipervnculo"/>
          <w:lang w:val="en-US"/>
        </w:rPr>
        <w:t>6-gri-sustainability-taxonomy-architecture-and-implementation-guide-final-for-public-consultation-11062024.pdf (globalreporting.org)</w:t>
      </w:r>
      <w:r w:rsidRPr="002A1A42">
        <w:fldChar w:fldCharType="end"/>
      </w:r>
      <w:r w:rsidR="00155008">
        <w:rPr>
          <w:lang w:val="en-US"/>
        </w:rPr>
        <w:t xml:space="preserve"> </w:t>
      </w:r>
      <w:r w:rsidRPr="002A1A42">
        <w:rPr>
          <w:lang w:val="en-US"/>
        </w:rPr>
        <w:t>p.23</w:t>
      </w:r>
    </w:p>
    <w:bookmarkStart w:id="15" w:name="_ftn8"/>
    <w:p w14:paraId="4375DB47" w14:textId="6A88DD08" w:rsidR="002A1A42" w:rsidRPr="002A1A42" w:rsidRDefault="002A1A42" w:rsidP="002A1A42">
      <w:pPr>
        <w:jc w:val="both"/>
      </w:pPr>
      <w:r w:rsidRPr="002A1A42">
        <w:fldChar w:fldCharType="begin"/>
      </w:r>
      <w:r w:rsidRPr="002A1A42">
        <w:instrText xml:space="preserve"> HYPERLINK "https://www.xbrl.org/understanding-boolean-and-enumeration-tags-in-digital-reporting/" \l "_ftnref8" </w:instrText>
      </w:r>
      <w:r w:rsidRPr="002A1A42">
        <w:fldChar w:fldCharType="separate"/>
      </w:r>
      <w:r w:rsidRPr="002A1A42">
        <w:rPr>
          <w:rStyle w:val="Hipervnculo"/>
        </w:rPr>
        <w:t>[8]</w:t>
      </w:r>
      <w:r w:rsidR="00155008">
        <w:rPr>
          <w:rStyle w:val="Hipervnculo"/>
        </w:rPr>
        <w:t xml:space="preserve"> </w:t>
      </w:r>
      <w:r w:rsidRPr="002A1A42">
        <w:fldChar w:fldCharType="end"/>
      </w:r>
      <w:bookmarkEnd w:id="15"/>
      <w:r w:rsidRPr="002A1A42">
        <w:fldChar w:fldCharType="begin"/>
      </w:r>
      <w:r w:rsidRPr="002A1A42">
        <w:instrText xml:space="preserve"> HYPERLINK "https://www.xbrl.org/guidance/ixbrl-tagging-features/" \l "101-extensible-enumerations" </w:instrText>
      </w:r>
      <w:r w:rsidRPr="002A1A42">
        <w:fldChar w:fldCharType="separate"/>
      </w:r>
      <w:r w:rsidRPr="002A1A42">
        <w:rPr>
          <w:rStyle w:val="Hipervnculo"/>
        </w:rPr>
        <w:t>Características de etiquetado iXBRL | XBRL</w:t>
      </w:r>
      <w:r w:rsidRPr="002A1A42">
        <w:fldChar w:fldCharType="end"/>
      </w:r>
    </w:p>
    <w:p w14:paraId="1B6A1926" w14:textId="5A896C74" w:rsidR="002A1A42" w:rsidRPr="002A1A42" w:rsidRDefault="002A1A42" w:rsidP="002A1A42">
      <w:pPr>
        <w:jc w:val="both"/>
      </w:pPr>
    </w:p>
    <w:p w14:paraId="3D445188" w14:textId="7D59300B" w:rsidR="002A1A42" w:rsidRDefault="002A1A42" w:rsidP="002A1A42">
      <w:pPr>
        <w:jc w:val="both"/>
      </w:pPr>
      <w:r w:rsidRPr="002A1A42">
        <w:rPr>
          <w:noProof/>
        </w:rPr>
        <w:lastRenderedPageBreak/>
        <w:drawing>
          <wp:inline distT="0" distB="0" distL="0" distR="0" wp14:anchorId="55987EDA" wp14:editId="7C9BBAC6">
            <wp:extent cx="5612130" cy="11836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2130" cy="1183640"/>
                    </a:xfrm>
                    <a:prstGeom prst="rect">
                      <a:avLst/>
                    </a:prstGeom>
                  </pic:spPr>
                </pic:pic>
              </a:graphicData>
            </a:graphic>
          </wp:inline>
        </w:drawing>
      </w:r>
    </w:p>
    <w:p w14:paraId="109489BB" w14:textId="77777777" w:rsidR="00D90E32" w:rsidRPr="00D90E32" w:rsidRDefault="002A1A42" w:rsidP="002A1A42">
      <w:pPr>
        <w:jc w:val="both"/>
        <w:rPr>
          <w:sz w:val="24"/>
          <w:szCs w:val="24"/>
        </w:rPr>
      </w:pPr>
      <w:r w:rsidRPr="00D90E32">
        <w:rPr>
          <w:sz w:val="24"/>
          <w:szCs w:val="24"/>
        </w:rPr>
        <w:t>Este documento es un</w:t>
      </w:r>
      <w:r w:rsidR="00130CE6" w:rsidRPr="00D90E32">
        <w:rPr>
          <w:sz w:val="24"/>
          <w:szCs w:val="24"/>
        </w:rPr>
        <w:t xml:space="preserve"> </w:t>
      </w:r>
      <w:r w:rsidRPr="00D90E32">
        <w:rPr>
          <w:i/>
          <w:iCs/>
          <w:sz w:val="24"/>
          <w:szCs w:val="24"/>
        </w:rPr>
        <w:t>borrador público</w:t>
      </w:r>
      <w:r w:rsidRPr="00D90E32">
        <w:rPr>
          <w:sz w:val="24"/>
          <w:szCs w:val="24"/>
        </w:rPr>
        <w:t>.</w:t>
      </w:r>
    </w:p>
    <w:p w14:paraId="7D4D185A" w14:textId="2D7479D7" w:rsidR="002A1A42" w:rsidRPr="002A1A42" w:rsidRDefault="002A1A42" w:rsidP="002A1A42">
      <w:pPr>
        <w:jc w:val="both"/>
      </w:pPr>
      <w:r w:rsidRPr="002A1A42">
        <w:t>Se invita a los lectores a enviar comentarios al</w:t>
      </w:r>
      <w:r w:rsidR="00130CE6">
        <w:t xml:space="preserve"> </w:t>
      </w:r>
      <w:hyperlink r:id="rId28" w:history="1">
        <w:r w:rsidRPr="002A1A42">
          <w:rPr>
            <w:rStyle w:val="Hipervnculo"/>
          </w:rPr>
          <w:t>Grupo de trabajo de orientación sobre la implementación</w:t>
        </w:r>
      </w:hyperlink>
      <w:r w:rsidRPr="002A1A42">
        <w:t>.</w:t>
      </w:r>
    </w:p>
    <w:p w14:paraId="11AC302E" w14:textId="77777777" w:rsidR="002A1A42" w:rsidRPr="002A1A42" w:rsidRDefault="002A1A42" w:rsidP="002A1A42">
      <w:pPr>
        <w:jc w:val="both"/>
        <w:rPr>
          <w:b/>
          <w:bCs/>
        </w:rPr>
      </w:pPr>
      <w:r w:rsidRPr="002A1A42">
        <w:rPr>
          <w:b/>
          <w:bCs/>
        </w:rPr>
        <w:t>Editores</w:t>
      </w:r>
    </w:p>
    <w:p w14:paraId="15C11561" w14:textId="208E25A1" w:rsidR="002A1A42" w:rsidRPr="002A1A42" w:rsidRDefault="002A1A42" w:rsidP="002A1A42">
      <w:pPr>
        <w:numPr>
          <w:ilvl w:val="0"/>
          <w:numId w:val="4"/>
        </w:numPr>
        <w:jc w:val="both"/>
      </w:pPr>
      <w:r w:rsidRPr="002A1A42">
        <w:t>Kathryn Dobinson,</w:t>
      </w:r>
      <w:r w:rsidR="00130CE6">
        <w:t xml:space="preserve"> </w:t>
      </w:r>
      <w:r w:rsidRPr="002A1A42">
        <w:rPr>
          <w:i/>
          <w:iCs/>
        </w:rPr>
        <w:t>CoreFiling</w:t>
      </w:r>
    </w:p>
    <w:p w14:paraId="2B5DD459" w14:textId="0AE7885F" w:rsidR="002A1A42" w:rsidRPr="002A1A42" w:rsidRDefault="002A1A42" w:rsidP="002A1A42">
      <w:pPr>
        <w:numPr>
          <w:ilvl w:val="0"/>
          <w:numId w:val="4"/>
        </w:numPr>
        <w:jc w:val="both"/>
        <w:rPr>
          <w:lang w:val="en-US"/>
        </w:rPr>
      </w:pPr>
      <w:r w:rsidRPr="002A1A42">
        <w:rPr>
          <w:lang w:val="en-US"/>
        </w:rPr>
        <w:t>Paul Warren,</w:t>
      </w:r>
      <w:r w:rsidR="00130CE6">
        <w:rPr>
          <w:lang w:val="en-US"/>
        </w:rPr>
        <w:t xml:space="preserve"> </w:t>
      </w:r>
      <w:r w:rsidRPr="002A1A42">
        <w:rPr>
          <w:i/>
          <w:iCs/>
          <w:lang w:val="en-US"/>
        </w:rPr>
        <w:t>XBRL International Inc.</w:t>
      </w:r>
    </w:p>
    <w:p w14:paraId="49A83751" w14:textId="77777777" w:rsidR="002A1A42" w:rsidRPr="002A1A42" w:rsidRDefault="002A1A42" w:rsidP="002A1A42">
      <w:pPr>
        <w:numPr>
          <w:ilvl w:val="0"/>
          <w:numId w:val="4"/>
        </w:numPr>
        <w:jc w:val="both"/>
      </w:pPr>
      <w:r w:rsidRPr="002A1A42">
        <w:t>Revathy Ramanan, </w:t>
      </w:r>
      <w:r w:rsidRPr="002A1A42">
        <w:rPr>
          <w:i/>
          <w:iCs/>
        </w:rPr>
        <w:t>XBRL International Inc.</w:t>
      </w:r>
    </w:p>
    <w:p w14:paraId="555F0839" w14:textId="77777777" w:rsidR="002A1A42" w:rsidRPr="002A1A42" w:rsidRDefault="002A1A42" w:rsidP="002A1A42">
      <w:pPr>
        <w:jc w:val="both"/>
        <w:rPr>
          <w:b/>
          <w:bCs/>
        </w:rPr>
      </w:pPr>
      <w:r w:rsidRPr="002A1A42">
        <w:rPr>
          <w:b/>
          <w:bCs/>
        </w:rPr>
        <w:t>Colaboradores</w:t>
      </w:r>
    </w:p>
    <w:p w14:paraId="39CB5ED4" w14:textId="674545DC" w:rsidR="002A1A42" w:rsidRPr="002A1A42" w:rsidRDefault="002A1A42" w:rsidP="002A1A42">
      <w:pPr>
        <w:numPr>
          <w:ilvl w:val="0"/>
          <w:numId w:val="5"/>
        </w:numPr>
        <w:jc w:val="both"/>
      </w:pPr>
      <w:r w:rsidRPr="002A1A42">
        <w:t>Carol Baskey,</w:t>
      </w:r>
      <w:r w:rsidR="00155008">
        <w:t xml:space="preserve"> </w:t>
      </w:r>
      <w:r w:rsidRPr="002A1A42">
        <w:rPr>
          <w:i/>
          <w:iCs/>
        </w:rPr>
        <w:t>RPM Internacional Inc.</w:t>
      </w:r>
    </w:p>
    <w:p w14:paraId="4A01C8FA" w14:textId="4CCA5636" w:rsidR="002A1A42" w:rsidRPr="002A1A42" w:rsidRDefault="002A1A42" w:rsidP="002A1A42">
      <w:pPr>
        <w:numPr>
          <w:ilvl w:val="0"/>
          <w:numId w:val="5"/>
        </w:numPr>
        <w:jc w:val="both"/>
      </w:pPr>
      <w:r w:rsidRPr="002A1A42">
        <w:t>Shilpa Dhobale,</w:t>
      </w:r>
      <w:r w:rsidR="00155008">
        <w:t xml:space="preserve"> </w:t>
      </w:r>
      <w:r w:rsidRPr="002A1A42">
        <w:rPr>
          <w:i/>
          <w:iCs/>
        </w:rPr>
        <w:t>Servicios empresariales de IRIS</w:t>
      </w:r>
    </w:p>
    <w:p w14:paraId="4187F01E" w14:textId="6795EF7F" w:rsidR="002A1A42" w:rsidRPr="002A1A42" w:rsidRDefault="002A1A42" w:rsidP="002A1A42">
      <w:pPr>
        <w:numPr>
          <w:ilvl w:val="0"/>
          <w:numId w:val="5"/>
        </w:numPr>
        <w:jc w:val="both"/>
      </w:pPr>
      <w:r w:rsidRPr="002A1A42">
        <w:t>Pierre Hamon,</w:t>
      </w:r>
      <w:r w:rsidR="00155008">
        <w:t xml:space="preserve"> </w:t>
      </w:r>
      <w:r w:rsidRPr="002A1A42">
        <w:rPr>
          <w:i/>
          <w:iCs/>
        </w:rPr>
        <w:t>et</w:t>
      </w:r>
      <w:r w:rsidR="00155008">
        <w:rPr>
          <w:i/>
          <w:iCs/>
        </w:rPr>
        <w:t xml:space="preserve"> </w:t>
      </w:r>
      <w:r w:rsidRPr="002A1A42">
        <w:rPr>
          <w:i/>
          <w:iCs/>
        </w:rPr>
        <w:t>Xetera Solutions XBRL</w:t>
      </w:r>
    </w:p>
    <w:p w14:paraId="17138BD0" w14:textId="570214A4" w:rsidR="002A1A42" w:rsidRPr="002A1A42" w:rsidRDefault="002A1A42" w:rsidP="002A1A42">
      <w:pPr>
        <w:numPr>
          <w:ilvl w:val="0"/>
          <w:numId w:val="5"/>
        </w:numPr>
        <w:jc w:val="both"/>
      </w:pPr>
      <w:r w:rsidRPr="002A1A42">
        <w:t>Ian Hicks,</w:t>
      </w:r>
      <w:r w:rsidR="00155008">
        <w:t xml:space="preserve"> </w:t>
      </w:r>
      <w:r w:rsidRPr="002A1A42">
        <w:rPr>
          <w:i/>
          <w:iCs/>
        </w:rPr>
        <w:t>Archivo central</w:t>
      </w:r>
    </w:p>
    <w:p w14:paraId="63E76707" w14:textId="77777777" w:rsidR="002A1A42" w:rsidRPr="002A1A42" w:rsidRDefault="002A1A42" w:rsidP="002A1A42">
      <w:pPr>
        <w:jc w:val="both"/>
        <w:rPr>
          <w:b/>
          <w:bCs/>
        </w:rPr>
      </w:pPr>
      <w:r w:rsidRPr="002A1A42">
        <w:rPr>
          <w:b/>
          <w:bCs/>
        </w:rPr>
        <w:t>Tabla de contenido</w:t>
      </w:r>
    </w:p>
    <w:p w14:paraId="3F6867C9" w14:textId="69D8B536" w:rsidR="002A1A42" w:rsidRPr="002A1A42" w:rsidRDefault="002A1A42" w:rsidP="002A1A42">
      <w:pPr>
        <w:numPr>
          <w:ilvl w:val="0"/>
          <w:numId w:val="6"/>
        </w:numPr>
        <w:jc w:val="both"/>
      </w:pPr>
      <w:r w:rsidRPr="002A1A42">
        <w:t>1 </w:t>
      </w:r>
      <w:hyperlink r:id="rId29" w:anchor="1-abstract" w:history="1">
        <w:r w:rsidRPr="002A1A42">
          <w:rPr>
            <w:rStyle w:val="Hipervnculo"/>
          </w:rPr>
          <w:t>Resumen</w:t>
        </w:r>
      </w:hyperlink>
    </w:p>
    <w:p w14:paraId="2362679B" w14:textId="644FF0E0" w:rsidR="002A1A42" w:rsidRPr="002A1A42" w:rsidRDefault="002A1A42" w:rsidP="002A1A42">
      <w:pPr>
        <w:numPr>
          <w:ilvl w:val="0"/>
          <w:numId w:val="6"/>
        </w:numPr>
        <w:jc w:val="both"/>
      </w:pPr>
      <w:r w:rsidRPr="002A1A42">
        <w:t>2 </w:t>
      </w:r>
      <w:hyperlink r:id="rId30" w:anchor="2-what-are-enumerations" w:history="1">
        <w:r w:rsidRPr="002A1A42">
          <w:rPr>
            <w:rStyle w:val="Hipervnculo"/>
          </w:rPr>
          <w:t>¿Qué son las enumeraciones?</w:t>
        </w:r>
      </w:hyperlink>
    </w:p>
    <w:p w14:paraId="112D7A21" w14:textId="54B5FA4B" w:rsidR="002A1A42" w:rsidRPr="002A1A42" w:rsidRDefault="002A1A42" w:rsidP="002A1A42">
      <w:pPr>
        <w:numPr>
          <w:ilvl w:val="0"/>
          <w:numId w:val="6"/>
        </w:numPr>
        <w:jc w:val="both"/>
      </w:pPr>
      <w:r w:rsidRPr="002A1A42">
        <w:t>3 </w:t>
      </w:r>
      <w:hyperlink r:id="rId31" w:anchor="3-what-are-extensible-enumerations" w:history="1">
        <w:r w:rsidRPr="002A1A42">
          <w:rPr>
            <w:rStyle w:val="Hipervnculo"/>
          </w:rPr>
          <w:t>¿Qué son las enumeraciones extensibles?</w:t>
        </w:r>
      </w:hyperlink>
    </w:p>
    <w:p w14:paraId="18B30F25" w14:textId="708FB8EB" w:rsidR="002A1A42" w:rsidRPr="002A1A42" w:rsidRDefault="002A1A42" w:rsidP="002A1A42">
      <w:pPr>
        <w:numPr>
          <w:ilvl w:val="1"/>
          <w:numId w:val="6"/>
        </w:numPr>
        <w:jc w:val="both"/>
      </w:pPr>
      <w:r w:rsidRPr="002A1A42">
        <w:t>3.1 </w:t>
      </w:r>
      <w:hyperlink r:id="rId32" w:anchor="31-associating-labels-and-references" w:history="1">
        <w:r w:rsidRPr="002A1A42">
          <w:rPr>
            <w:rStyle w:val="Hipervnculo"/>
          </w:rPr>
          <w:t>Asociación de etiquetas y referencias</w:t>
        </w:r>
      </w:hyperlink>
    </w:p>
    <w:p w14:paraId="2858B909" w14:textId="279DECBC" w:rsidR="002A1A42" w:rsidRPr="002A1A42" w:rsidRDefault="002A1A42" w:rsidP="002A1A42">
      <w:pPr>
        <w:numPr>
          <w:ilvl w:val="1"/>
          <w:numId w:val="6"/>
        </w:numPr>
        <w:jc w:val="both"/>
      </w:pPr>
      <w:r w:rsidRPr="002A1A42">
        <w:t>3.2 </w:t>
      </w:r>
      <w:hyperlink r:id="rId33" w:anchor="32-re-use-of-enumerations" w:history="1">
        <w:r w:rsidRPr="002A1A42">
          <w:rPr>
            <w:rStyle w:val="Hipervnculo"/>
          </w:rPr>
          <w:t>Reutilización de enumeraciones</w:t>
        </w:r>
      </w:hyperlink>
    </w:p>
    <w:p w14:paraId="6EBF69C1" w14:textId="32209918" w:rsidR="002A1A42" w:rsidRPr="002A1A42" w:rsidRDefault="002A1A42" w:rsidP="002A1A42">
      <w:pPr>
        <w:numPr>
          <w:ilvl w:val="1"/>
          <w:numId w:val="6"/>
        </w:numPr>
        <w:jc w:val="both"/>
      </w:pPr>
      <w:r w:rsidRPr="002A1A42">
        <w:t>3.3 </w:t>
      </w:r>
      <w:hyperlink r:id="rId34" w:anchor="33-tree-hierarchies" w:history="1">
        <w:r w:rsidRPr="002A1A42">
          <w:rPr>
            <w:rStyle w:val="Hipervnculo"/>
          </w:rPr>
          <w:t>Jerarquías de árboles</w:t>
        </w:r>
      </w:hyperlink>
    </w:p>
    <w:p w14:paraId="40490900" w14:textId="1190AC40" w:rsidR="002A1A42" w:rsidRPr="002A1A42" w:rsidRDefault="002A1A42" w:rsidP="002A1A42">
      <w:pPr>
        <w:numPr>
          <w:ilvl w:val="1"/>
          <w:numId w:val="6"/>
        </w:numPr>
        <w:jc w:val="both"/>
      </w:pPr>
      <w:r w:rsidRPr="002A1A42">
        <w:t>3.4 </w:t>
      </w:r>
      <w:hyperlink r:id="rId35" w:anchor="34-unusable-values" w:history="1">
        <w:r w:rsidRPr="002A1A42">
          <w:rPr>
            <w:rStyle w:val="Hipervnculo"/>
          </w:rPr>
          <w:t>Valores inutilizables</w:t>
        </w:r>
      </w:hyperlink>
    </w:p>
    <w:p w14:paraId="4CEB1074" w14:textId="762CDCD4" w:rsidR="002A1A42" w:rsidRPr="002A1A42" w:rsidRDefault="002A1A42" w:rsidP="002A1A42">
      <w:pPr>
        <w:numPr>
          <w:ilvl w:val="1"/>
          <w:numId w:val="6"/>
        </w:numPr>
        <w:jc w:val="both"/>
      </w:pPr>
      <w:r w:rsidRPr="002A1A42">
        <w:t>3.5 </w:t>
      </w:r>
      <w:hyperlink r:id="rId36" w:anchor="35-extending-extensible-enumerations" w:history="1">
        <w:r w:rsidRPr="002A1A42">
          <w:rPr>
            <w:rStyle w:val="Hipervnculo"/>
          </w:rPr>
          <w:t>Ampliación de enumeraciones extensibles</w:t>
        </w:r>
      </w:hyperlink>
    </w:p>
    <w:p w14:paraId="70E3089B" w14:textId="5C645EAB" w:rsidR="002A1A42" w:rsidRPr="002A1A42" w:rsidRDefault="002A1A42" w:rsidP="002A1A42">
      <w:pPr>
        <w:numPr>
          <w:ilvl w:val="1"/>
          <w:numId w:val="6"/>
        </w:numPr>
        <w:jc w:val="both"/>
      </w:pPr>
      <w:r w:rsidRPr="002A1A42">
        <w:t>3.6 </w:t>
      </w:r>
      <w:hyperlink r:id="rId37" w:anchor="36-multi-valued-enumerations" w:history="1">
        <w:r w:rsidRPr="002A1A42">
          <w:rPr>
            <w:rStyle w:val="Hipervnculo"/>
          </w:rPr>
          <w:t>Enumeraciones multivalor</w:t>
        </w:r>
      </w:hyperlink>
    </w:p>
    <w:p w14:paraId="50CE13AD" w14:textId="7E11CE86" w:rsidR="002A1A42" w:rsidRPr="002A1A42" w:rsidRDefault="002A1A42" w:rsidP="002A1A42">
      <w:pPr>
        <w:numPr>
          <w:ilvl w:val="0"/>
          <w:numId w:val="6"/>
        </w:numPr>
        <w:jc w:val="both"/>
      </w:pPr>
      <w:r w:rsidRPr="002A1A42">
        <w:t>4 </w:t>
      </w:r>
      <w:hyperlink r:id="rId38" w:anchor="4-extensible-enumeration-specification-versions" w:history="1">
        <w:r w:rsidRPr="002A1A42">
          <w:rPr>
            <w:rStyle w:val="Hipervnculo"/>
          </w:rPr>
          <w:t>versiones de la especificación de enumeración extensible</w:t>
        </w:r>
      </w:hyperlink>
    </w:p>
    <w:p w14:paraId="0CD5A6F2" w14:textId="6D5120CE" w:rsidR="002A1A42" w:rsidRDefault="002A1A42" w:rsidP="002A1A42">
      <w:pPr>
        <w:numPr>
          <w:ilvl w:val="1"/>
          <w:numId w:val="6"/>
        </w:numPr>
        <w:jc w:val="both"/>
      </w:pPr>
      <w:r w:rsidRPr="002A1A42">
        <w:t>4.1 </w:t>
      </w:r>
      <w:hyperlink r:id="rId39" w:anchor="41-considerations-for-selecting-specification-version" w:history="1">
        <w:r w:rsidRPr="002A1A42">
          <w:rPr>
            <w:rStyle w:val="Hipervnculo"/>
          </w:rPr>
          <w:t>Consideraciones para seleccionar la versión de especificación</w:t>
        </w:r>
      </w:hyperlink>
    </w:p>
    <w:p w14:paraId="6B650E0B" w14:textId="1ED8B84E" w:rsidR="00130CE6" w:rsidRDefault="00130CE6" w:rsidP="00130CE6">
      <w:pPr>
        <w:jc w:val="both"/>
      </w:pPr>
    </w:p>
    <w:p w14:paraId="7B72563F" w14:textId="13B4557A" w:rsidR="002A1A42" w:rsidRPr="002A1A42" w:rsidRDefault="002A1A42" w:rsidP="002A1A42">
      <w:pPr>
        <w:jc w:val="both"/>
        <w:rPr>
          <w:b/>
          <w:bCs/>
        </w:rPr>
      </w:pPr>
      <w:r w:rsidRPr="002A1A42">
        <w:rPr>
          <w:b/>
          <w:bCs/>
        </w:rPr>
        <w:lastRenderedPageBreak/>
        <w:t>1</w:t>
      </w:r>
      <w:r w:rsidR="00130CE6">
        <w:rPr>
          <w:b/>
          <w:bCs/>
        </w:rPr>
        <w:t>.</w:t>
      </w:r>
      <w:r w:rsidRPr="002A1A42">
        <w:rPr>
          <w:b/>
          <w:bCs/>
        </w:rPr>
        <w:t xml:space="preserve"> Resumen</w:t>
      </w:r>
    </w:p>
    <w:p w14:paraId="6C63A1E6" w14:textId="737F14E2" w:rsidR="002A1A42" w:rsidRPr="002A1A42" w:rsidRDefault="002A1A42" w:rsidP="002A1A42">
      <w:pPr>
        <w:jc w:val="both"/>
      </w:pPr>
      <w:r w:rsidRPr="002A1A42">
        <w:t>Este documento de orientación explica las características de "Enumeración extensible" de XBRL que permiten la definición de conceptos con una lista de valores permitidos. Este documento cubre las especificaciones de Enumeración extensible v1.0 y v2.0, y describe las diferencias entre ellas y proporciona recomendaciones para elegir cuál utilizar. Está dirigido principalmente a usuarios que buscan una comprensión básica de las especificaciones, como</w:t>
      </w:r>
      <w:r w:rsidR="00155008">
        <w:t xml:space="preserve"> </w:t>
      </w:r>
      <w:hyperlink r:id="rId40" w:anchor="taxonomy-architect" w:history="1">
        <w:r w:rsidRPr="002A1A42">
          <w:rPr>
            <w:rStyle w:val="Hipervnculo"/>
          </w:rPr>
          <w:t>arquitectos</w:t>
        </w:r>
      </w:hyperlink>
      <w:r w:rsidR="00155008">
        <w:t xml:space="preserve"> </w:t>
      </w:r>
      <w:r w:rsidRPr="002A1A42">
        <w:t>y</w:t>
      </w:r>
      <w:r w:rsidR="00155008">
        <w:t xml:space="preserve"> </w:t>
      </w:r>
      <w:hyperlink r:id="rId41" w:anchor="taxonomy-author" w:history="1">
        <w:r w:rsidRPr="002A1A42">
          <w:rPr>
            <w:rStyle w:val="Hipervnculo"/>
          </w:rPr>
          <w:t>autores de taxonomías</w:t>
        </w:r>
      </w:hyperlink>
      <w:r w:rsidRPr="002A1A42">
        <w:t>. Este documento no tiene como objetivo explicar los detalles técnicos de las especificaciones de Enumeración extensible.</w:t>
      </w:r>
    </w:p>
    <w:p w14:paraId="4546EDDD" w14:textId="083FE019" w:rsidR="002A1A42" w:rsidRPr="002A1A42" w:rsidRDefault="002A1A42" w:rsidP="002A1A42">
      <w:pPr>
        <w:jc w:val="both"/>
        <w:rPr>
          <w:b/>
          <w:bCs/>
        </w:rPr>
      </w:pPr>
      <w:r w:rsidRPr="002A1A42">
        <w:rPr>
          <w:b/>
          <w:bCs/>
        </w:rPr>
        <w:t>2</w:t>
      </w:r>
      <w:r w:rsidR="00130CE6">
        <w:rPr>
          <w:b/>
          <w:bCs/>
        </w:rPr>
        <w:t>.</w:t>
      </w:r>
      <w:r w:rsidRPr="002A1A42">
        <w:rPr>
          <w:b/>
          <w:bCs/>
        </w:rPr>
        <w:t xml:space="preserve"> ¿Qué son las enumeraciones?</w:t>
      </w:r>
    </w:p>
    <w:p w14:paraId="4D20141F" w14:textId="0E290D02" w:rsidR="002A1A42" w:rsidRPr="002A1A42" w:rsidRDefault="002A1A42" w:rsidP="002A1A42">
      <w:pPr>
        <w:jc w:val="both"/>
      </w:pPr>
      <w:r w:rsidRPr="002A1A42">
        <w:t>En ocasiones, es conveniente que un</w:t>
      </w:r>
      <w:r w:rsidR="00155008">
        <w:t xml:space="preserve"> </w:t>
      </w:r>
      <w:hyperlink r:id="rId42" w:anchor="fact" w:history="1">
        <w:r w:rsidRPr="002A1A42">
          <w:rPr>
            <w:rStyle w:val="Hipervnculo"/>
          </w:rPr>
          <w:t>dato</w:t>
        </w:r>
      </w:hyperlink>
      <w:r w:rsidR="00155008">
        <w:t xml:space="preserve"> </w:t>
      </w:r>
      <w:r w:rsidRPr="002A1A42">
        <w:t>de un</w:t>
      </w:r>
      <w:r w:rsidR="00155008">
        <w:t xml:space="preserve"> </w:t>
      </w:r>
      <w:hyperlink r:id="rId43" w:anchor="xbrl-report" w:history="1">
        <w:r w:rsidRPr="002A1A42">
          <w:rPr>
            <w:rStyle w:val="Hipervnculo"/>
          </w:rPr>
          <w:t>informe XBRL</w:t>
        </w:r>
      </w:hyperlink>
      <w:r w:rsidR="00155008">
        <w:t xml:space="preserve"> </w:t>
      </w:r>
      <w:r w:rsidRPr="002A1A42">
        <w:t>tenga un valor que se tome de una lista predefinida. Cuando esto ocurre, se denomina enumeración. Por ejemplo, es posible que se requiera que una empresa informe el país en el que se encuentra su sede central. En ausencia de una enumeración, diferentes empresas pueden utilizar valores diferentes para representar el mismo país; por ejemplo, "Países Bajos", "NL", "Países Bajos" y "</w:t>
      </w:r>
      <w:r w:rsidR="00155008" w:rsidRPr="002A1A42">
        <w:t>Neerlandés</w:t>
      </w:r>
      <w:r w:rsidRPr="002A1A42">
        <w:t>" pueden utilizarse para referirse a los Países Bajos. El uso de una enumeración garantiza que todos los documentos utilicen el mismo valor, lo que mejora la coherencia y la comparabilidad.</w:t>
      </w:r>
    </w:p>
    <w:p w14:paraId="62B0C51F" w14:textId="77777777" w:rsidR="002A1A42" w:rsidRPr="002A1A42" w:rsidRDefault="002A1A42" w:rsidP="002A1A42">
      <w:pPr>
        <w:jc w:val="both"/>
      </w:pPr>
      <w:r w:rsidRPr="002A1A42">
        <w:t>La figura 1 muestra cómo se podría configurar la enumeración de países de la "sede central", con los códigos de país ordenados alfabéticamente. El declarante puede elegir una opción de la lista.</w:t>
      </w:r>
    </w:p>
    <w:p w14:paraId="369E18D6" w14:textId="77777777" w:rsidR="00130CE6" w:rsidRDefault="002A1A42" w:rsidP="00130CE6">
      <w:pPr>
        <w:spacing w:after="0"/>
        <w:jc w:val="both"/>
      </w:pPr>
      <w:r w:rsidRPr="002A1A42">
        <w:rPr>
          <w:noProof/>
        </w:rPr>
        <w:drawing>
          <wp:inline distT="0" distB="0" distL="0" distR="0" wp14:anchorId="0FED34E8" wp14:editId="66FBC40D">
            <wp:extent cx="2458720" cy="20269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8720" cy="2026920"/>
                    </a:xfrm>
                    <a:prstGeom prst="rect">
                      <a:avLst/>
                    </a:prstGeom>
                    <a:noFill/>
                    <a:ln>
                      <a:noFill/>
                    </a:ln>
                  </pic:spPr>
                </pic:pic>
              </a:graphicData>
            </a:graphic>
          </wp:inline>
        </w:drawing>
      </w:r>
    </w:p>
    <w:p w14:paraId="32872AA0" w14:textId="3E113EAC" w:rsidR="002A1A42" w:rsidRPr="002A1A42" w:rsidRDefault="002A1A42" w:rsidP="002A1A42">
      <w:pPr>
        <w:jc w:val="both"/>
      </w:pPr>
      <w:r w:rsidRPr="002A1A42">
        <w:t>Figura 1: Ejemplo de enumeración</w:t>
      </w:r>
    </w:p>
    <w:p w14:paraId="067B1957" w14:textId="1584CA18" w:rsidR="002A1A42" w:rsidRPr="002A1A42" w:rsidRDefault="002A1A42" w:rsidP="002A1A42">
      <w:pPr>
        <w:jc w:val="both"/>
        <w:rPr>
          <w:b/>
          <w:bCs/>
        </w:rPr>
      </w:pPr>
      <w:r w:rsidRPr="002A1A42">
        <w:rPr>
          <w:b/>
          <w:bCs/>
        </w:rPr>
        <w:t>3</w:t>
      </w:r>
      <w:r w:rsidR="00130CE6">
        <w:rPr>
          <w:b/>
          <w:bCs/>
        </w:rPr>
        <w:t>.</w:t>
      </w:r>
      <w:r w:rsidRPr="002A1A42">
        <w:rPr>
          <w:b/>
          <w:bCs/>
        </w:rPr>
        <w:t xml:space="preserve"> ¿Qué son las enumeraciones extensibles?</w:t>
      </w:r>
    </w:p>
    <w:p w14:paraId="3B87D095" w14:textId="77777777" w:rsidR="002A1A42" w:rsidRPr="002A1A42" w:rsidRDefault="002A1A42" w:rsidP="002A1A42">
      <w:pPr>
        <w:jc w:val="both"/>
      </w:pPr>
      <w:r w:rsidRPr="002A1A42">
        <w:t>Las enumeraciones extensibles son la forma estándar de XBRL de definir conceptos para hechos que toman un valor, o un conjunto de valores, de una lista de valores definida por taxonomía.</w:t>
      </w:r>
    </w:p>
    <w:p w14:paraId="6459C3E3" w14:textId="0BDB3354" w:rsidR="002A1A42" w:rsidRPr="002A1A42" w:rsidRDefault="002A1A42" w:rsidP="002A1A42">
      <w:pPr>
        <w:jc w:val="both"/>
      </w:pPr>
      <w:r w:rsidRPr="002A1A42">
        <w:t>Existen otros mecanismos que pueden resultar apropiados en situaciones específicas, por ejemplo, el uso de</w:t>
      </w:r>
      <w:r w:rsidR="00155008">
        <w:t xml:space="preserve"> </w:t>
      </w:r>
      <w:hyperlink r:id="rId45" w:anchor="xbrl-formula-rules" w:history="1">
        <w:r w:rsidRPr="002A1A42">
          <w:rPr>
            <w:rStyle w:val="Hipervnculo"/>
          </w:rPr>
          <w:t>reglas de fórmulas XBRL</w:t>
        </w:r>
      </w:hyperlink>
      <w:r w:rsidR="00155008">
        <w:t xml:space="preserve"> </w:t>
      </w:r>
      <w:r w:rsidRPr="002A1A42">
        <w:t>o el uso del tipo de datos booleano donde se requiere un valor simple verdadero/falso. Estas opciones se analizan en un documento de orientación independiente sobre</w:t>
      </w:r>
      <w:r w:rsidR="00155008">
        <w:t xml:space="preserve"> </w:t>
      </w:r>
      <w:hyperlink r:id="rId46" w:history="1">
        <w:r w:rsidRPr="002A1A42">
          <w:rPr>
            <w:rStyle w:val="Hipervnculo"/>
          </w:rPr>
          <w:t>cómo definir una lista de valores permitidos</w:t>
        </w:r>
      </w:hyperlink>
      <w:r w:rsidRPr="002A1A42">
        <w:t>.</w:t>
      </w:r>
    </w:p>
    <w:p w14:paraId="62BCBA8C" w14:textId="77777777" w:rsidR="002A1A42" w:rsidRPr="002A1A42" w:rsidRDefault="002A1A42" w:rsidP="002A1A42">
      <w:pPr>
        <w:jc w:val="both"/>
      </w:pPr>
      <w:r w:rsidRPr="002A1A42">
        <w:lastRenderedPageBreak/>
        <w:t>A pesar del nombre, la extensibilidad es solo uno de los beneficios que ofrecen las especificaciones de enumeraciones extensibles. En este documento se analizan las características de estas especificaciones con más detalle.</w:t>
      </w:r>
    </w:p>
    <w:p w14:paraId="7D4D79F4" w14:textId="77777777" w:rsidR="002A1A42" w:rsidRPr="002A1A42" w:rsidRDefault="002A1A42" w:rsidP="002A1A42">
      <w:pPr>
        <w:jc w:val="both"/>
        <w:rPr>
          <w:b/>
          <w:bCs/>
        </w:rPr>
      </w:pPr>
      <w:r w:rsidRPr="002A1A42">
        <w:rPr>
          <w:b/>
          <w:bCs/>
        </w:rPr>
        <w:t>3.1 Asociación de etiquetas y referencias</w:t>
      </w:r>
    </w:p>
    <w:p w14:paraId="204C7177" w14:textId="479D5EDD" w:rsidR="002A1A42" w:rsidRPr="002A1A42" w:rsidRDefault="002A1A42" w:rsidP="002A1A42">
      <w:pPr>
        <w:jc w:val="both"/>
      </w:pPr>
      <w:r w:rsidRPr="002A1A42">
        <w:t>Las enumeraciones extensibles permiten asociar</w:t>
      </w:r>
      <w:r w:rsidR="00155008">
        <w:t xml:space="preserve"> </w:t>
      </w:r>
      <w:hyperlink r:id="rId47" w:anchor="label" w:history="1">
        <w:r w:rsidRPr="002A1A42">
          <w:rPr>
            <w:rStyle w:val="Hipervnculo"/>
          </w:rPr>
          <w:t>etiquetas</w:t>
        </w:r>
      </w:hyperlink>
      <w:r w:rsidR="00155008">
        <w:t xml:space="preserve"> </w:t>
      </w:r>
      <w:r w:rsidRPr="002A1A42">
        <w:t>y</w:t>
      </w:r>
      <w:r w:rsidR="00155008">
        <w:t xml:space="preserve"> </w:t>
      </w:r>
      <w:hyperlink r:id="rId48" w:anchor="reference" w:history="1">
        <w:r w:rsidRPr="002A1A42">
          <w:rPr>
            <w:rStyle w:val="Hipervnculo"/>
          </w:rPr>
          <w:t>referencias</w:t>
        </w:r>
      </w:hyperlink>
      <w:r w:rsidR="00155008">
        <w:t xml:space="preserve"> </w:t>
      </w:r>
      <w:r w:rsidRPr="002A1A42">
        <w:t>a los valores de una enumeración, utilizando el mismo mecanismo que se utiliza para los conceptos de una taxonomía. Esto incluye proporcionar etiquetas en diferentes idiomas, para la localización, o diferentes tipos de etiquetas. Por ejemplo, las etiquetas de "documentación" se podrían utilizar para proporcionar orientación adicional para el uso previsto de un valor en particular. La Figura 2 muestra un ejemplo de etiquetas y referencias adjuntas al valor de enumeración "NL".</w:t>
      </w:r>
    </w:p>
    <w:p w14:paraId="2FA9A465" w14:textId="71ACF77F" w:rsidR="002A1A42" w:rsidRPr="002A1A42" w:rsidRDefault="002A1A42" w:rsidP="002A1A42">
      <w:pPr>
        <w:jc w:val="both"/>
      </w:pPr>
      <w:r w:rsidRPr="002A1A42">
        <w:rPr>
          <w:noProof/>
        </w:rPr>
        <w:drawing>
          <wp:inline distT="0" distB="0" distL="0" distR="0" wp14:anchorId="1A1373D0" wp14:editId="74E0DDE1">
            <wp:extent cx="5612130" cy="195389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2130" cy="1953895"/>
                    </a:xfrm>
                    <a:prstGeom prst="rect">
                      <a:avLst/>
                    </a:prstGeom>
                    <a:noFill/>
                    <a:ln>
                      <a:noFill/>
                    </a:ln>
                  </pic:spPr>
                </pic:pic>
              </a:graphicData>
            </a:graphic>
          </wp:inline>
        </w:drawing>
      </w:r>
      <w:r w:rsidRPr="002A1A42">
        <w:t>Figura 2: Etiquetas y referencias para un valor de enumeración</w:t>
      </w:r>
    </w:p>
    <w:p w14:paraId="1A147915" w14:textId="77777777" w:rsidR="002A1A42" w:rsidRPr="002A1A42" w:rsidRDefault="002A1A42" w:rsidP="002A1A42">
      <w:pPr>
        <w:jc w:val="both"/>
        <w:rPr>
          <w:b/>
          <w:bCs/>
        </w:rPr>
      </w:pPr>
      <w:r w:rsidRPr="002A1A42">
        <w:rPr>
          <w:b/>
          <w:bCs/>
        </w:rPr>
        <w:t>3.2 Reutilización de enumeraciones</w:t>
      </w:r>
    </w:p>
    <w:p w14:paraId="1E75CB8F" w14:textId="77777777" w:rsidR="002A1A42" w:rsidRPr="002A1A42" w:rsidRDefault="002A1A42" w:rsidP="002A1A42">
      <w:pPr>
        <w:jc w:val="both"/>
      </w:pPr>
      <w:r w:rsidRPr="002A1A42">
        <w:t>En el ejemplo "País de la oficina central" que se muestra arriba, el país se utiliza como un valor de hecho, pero en otros casos, puede ser conveniente utilizar la misma enumeración como un </w:t>
      </w:r>
      <w:hyperlink r:id="rId50" w:anchor="dimension-value" w:history="1">
        <w:r w:rsidRPr="002A1A42">
          <w:rPr>
            <w:rStyle w:val="Hipervnculo"/>
          </w:rPr>
          <w:t>valor de dimensión</w:t>
        </w:r>
      </w:hyperlink>
      <w:r w:rsidRPr="002A1A42">
        <w:t> para una </w:t>
      </w:r>
      <w:hyperlink r:id="rId51" w:anchor="taxonomy-defined-dimension" w:history="1">
        <w:r w:rsidRPr="002A1A42">
          <w:rPr>
            <w:rStyle w:val="Hipervnculo"/>
          </w:rPr>
          <w:t>dimensión explícitamente definida por la taxonomía . Por ejemplo, cuando se requiere que una empresa informe sus ventas por país, esto se haría normalmente informando valores contra un </w:t>
        </w:r>
      </w:hyperlink>
      <w:hyperlink r:id="rId52" w:anchor="concept" w:history="1">
        <w:r w:rsidRPr="002A1A42">
          <w:rPr>
            <w:rStyle w:val="Hipervnculo"/>
          </w:rPr>
          <w:t>concepto</w:t>
        </w:r>
      </w:hyperlink>
      <w:r w:rsidRPr="002A1A42">
        <w:t> de "Ventas" calificado por una dimensión de "País".</w:t>
      </w:r>
    </w:p>
    <w:p w14:paraId="280EF7E1" w14:textId="77777777" w:rsidR="002A1A42" w:rsidRPr="002A1A42" w:rsidRDefault="002A1A42" w:rsidP="002A1A42">
      <w:pPr>
        <w:jc w:val="both"/>
      </w:pPr>
      <w:r w:rsidRPr="002A1A42">
        <w:t>La lista de valores permitidos para una enumeración extensible se define utilizando el mismo mecanismo que se utiliza para definir los miembros de dimensión en una taxonomía. Esto permite utilizar la misma enumeración como valor de hecho o como valor de dimensión para una dimensión explícitamente definida por la taxonomía.</w:t>
      </w:r>
    </w:p>
    <w:p w14:paraId="61483ECA" w14:textId="77777777" w:rsidR="002A1A42" w:rsidRPr="002A1A42" w:rsidRDefault="002A1A42" w:rsidP="002A1A42">
      <w:pPr>
        <w:jc w:val="both"/>
        <w:rPr>
          <w:b/>
          <w:bCs/>
        </w:rPr>
      </w:pPr>
      <w:r w:rsidRPr="002A1A42">
        <w:rPr>
          <w:b/>
          <w:bCs/>
        </w:rPr>
        <w:t>3.3 Jerarquías de árboles</w:t>
      </w:r>
    </w:p>
    <w:p w14:paraId="2B9DB33C" w14:textId="77777777" w:rsidR="002A1A42" w:rsidRPr="002A1A42" w:rsidRDefault="002A1A42" w:rsidP="002A1A42">
      <w:pPr>
        <w:jc w:val="both"/>
      </w:pPr>
      <w:r w:rsidRPr="002A1A42">
        <w:t>Los miembros de la enumeración extensible se pueden organizar en una estructura de árbol jerárquica. Por ejemplo, los países del ejemplo anterior se podrían organizar en una jerarquía según la región.</w:t>
      </w:r>
    </w:p>
    <w:p w14:paraId="5BF1D532" w14:textId="77777777" w:rsidR="002A1A42" w:rsidRPr="002A1A42" w:rsidRDefault="002A1A42" w:rsidP="002A1A42">
      <w:pPr>
        <w:jc w:val="both"/>
      </w:pPr>
      <w:r w:rsidRPr="002A1A42">
        <w:t>Esto puede mejorar la usabilidad, ya que los archivadores ven una lista desplegable estructurada en forma de árbol en lugar de una lista plana en sus herramientas de software de archivado, como se muestra en la Figura 3.</w:t>
      </w:r>
    </w:p>
    <w:p w14:paraId="077CEBF4" w14:textId="77777777" w:rsidR="00130CE6" w:rsidRDefault="002A1A42" w:rsidP="00130CE6">
      <w:pPr>
        <w:spacing w:after="0"/>
        <w:jc w:val="both"/>
      </w:pPr>
      <w:r w:rsidRPr="002A1A42">
        <w:rPr>
          <w:noProof/>
        </w:rPr>
        <w:lastRenderedPageBreak/>
        <w:drawing>
          <wp:inline distT="0" distB="0" distL="0" distR="0" wp14:anchorId="774EA9A2" wp14:editId="59DCCAE2">
            <wp:extent cx="3605530" cy="169100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05530" cy="1691005"/>
                    </a:xfrm>
                    <a:prstGeom prst="rect">
                      <a:avLst/>
                    </a:prstGeom>
                    <a:noFill/>
                    <a:ln>
                      <a:noFill/>
                    </a:ln>
                  </pic:spPr>
                </pic:pic>
              </a:graphicData>
            </a:graphic>
          </wp:inline>
        </w:drawing>
      </w:r>
    </w:p>
    <w:p w14:paraId="678CB52E" w14:textId="32266EFF" w:rsidR="002A1A42" w:rsidRPr="002A1A42" w:rsidRDefault="002A1A42" w:rsidP="002A1A42">
      <w:pPr>
        <w:jc w:val="both"/>
      </w:pPr>
      <w:r w:rsidRPr="002A1A42">
        <w:t>Figura 3: Jerarquía de enumeración</w:t>
      </w:r>
    </w:p>
    <w:p w14:paraId="1C0F93A2" w14:textId="77777777" w:rsidR="002A1A42" w:rsidRPr="002A1A42" w:rsidRDefault="002A1A42" w:rsidP="002A1A42">
      <w:pPr>
        <w:jc w:val="both"/>
        <w:rPr>
          <w:b/>
          <w:bCs/>
        </w:rPr>
      </w:pPr>
      <w:r w:rsidRPr="002A1A42">
        <w:rPr>
          <w:b/>
          <w:bCs/>
        </w:rPr>
        <w:t>3.4 Valores inutilizables</w:t>
      </w:r>
    </w:p>
    <w:p w14:paraId="1C9F733D" w14:textId="76D269E0" w:rsidR="002A1A42" w:rsidRPr="002A1A42" w:rsidRDefault="002A1A42" w:rsidP="002A1A42">
      <w:pPr>
        <w:jc w:val="both"/>
      </w:pPr>
      <w:r w:rsidRPr="002A1A42">
        <w:t>Los valores individuales de una enumeración se pueden marcar como "inutilizables", lo que significa que no se pueden informar. Esto permite introducir valores con el único fin de añadir estructura a la lista. Por ejemplo, si se solicita a las empresas que indiquen su "país de sede central", no sería adecuado que indicaran "África" o "Asia". En este caso, estos valores se marcarían como inutilizables.</w:t>
      </w:r>
    </w:p>
    <w:p w14:paraId="2C14A648" w14:textId="77777777" w:rsidR="002A1A42" w:rsidRPr="002A1A42" w:rsidRDefault="002A1A42" w:rsidP="002A1A42">
      <w:pPr>
        <w:jc w:val="both"/>
        <w:rPr>
          <w:b/>
          <w:bCs/>
        </w:rPr>
      </w:pPr>
      <w:r w:rsidRPr="002A1A42">
        <w:rPr>
          <w:b/>
          <w:bCs/>
        </w:rPr>
        <w:t>3.5 Ampliación de enumeraciones extensibles</w:t>
      </w:r>
    </w:p>
    <w:p w14:paraId="2F3BD7B2" w14:textId="1A43B293" w:rsidR="002A1A42" w:rsidRPr="002A1A42" w:rsidRDefault="002A1A42" w:rsidP="002A1A42">
      <w:pPr>
        <w:jc w:val="both"/>
      </w:pPr>
      <w:r w:rsidRPr="002A1A42">
        <w:t>Al igual que otras partes de una taxonomía XBRL, las enumeraciones extensibles se pueden modificar mediante el uso de una</w:t>
      </w:r>
      <w:r w:rsidR="00130CE6">
        <w:t xml:space="preserve"> </w:t>
      </w:r>
      <w:hyperlink r:id="rId54" w:anchor="extension-taxonomy" w:history="1">
        <w:r w:rsidRPr="002A1A42">
          <w:rPr>
            <w:rStyle w:val="Hipervnculo"/>
          </w:rPr>
          <w:t>taxonomía de extensión</w:t>
        </w:r>
      </w:hyperlink>
      <w:r w:rsidRPr="002A1A42">
        <w:t>. Esto puede agregar información asociada con valores individuales, como proporcionar etiquetas en idiomas adicionales, o puede modificar el conjunto de valores permitidos en la enumeración. Por ejemplo, una extensión europea puede proporcionar etiquetas y referencias en varios idiomas europeos (como se muestra en la Figura 4). El autor de la extensión puede agregar o eliminar países y reorganizar los miembros en una estructura de árbol diferente.</w:t>
      </w:r>
    </w:p>
    <w:p w14:paraId="045FAC05" w14:textId="77777777" w:rsidR="00130CE6" w:rsidRDefault="002A1A42" w:rsidP="00130CE6">
      <w:pPr>
        <w:spacing w:after="0"/>
        <w:jc w:val="both"/>
      </w:pPr>
      <w:r w:rsidRPr="002A1A42">
        <w:rPr>
          <w:noProof/>
        </w:rPr>
        <w:lastRenderedPageBreak/>
        <w:drawing>
          <wp:inline distT="0" distB="0" distL="0" distR="0" wp14:anchorId="1FCE9919" wp14:editId="6130186A">
            <wp:extent cx="4330700" cy="41236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30700" cy="4123690"/>
                    </a:xfrm>
                    <a:prstGeom prst="rect">
                      <a:avLst/>
                    </a:prstGeom>
                    <a:noFill/>
                    <a:ln>
                      <a:noFill/>
                    </a:ln>
                  </pic:spPr>
                </pic:pic>
              </a:graphicData>
            </a:graphic>
          </wp:inline>
        </w:drawing>
      </w:r>
    </w:p>
    <w:p w14:paraId="25CEA2B4" w14:textId="3E274A71" w:rsidR="002A1A42" w:rsidRPr="002A1A42" w:rsidRDefault="002A1A42" w:rsidP="002A1A42">
      <w:pPr>
        <w:jc w:val="both"/>
      </w:pPr>
      <w:r w:rsidRPr="002A1A42">
        <w:t>Figura 4: País con etiquetas y referencias en varios idiomas</w:t>
      </w:r>
    </w:p>
    <w:p w14:paraId="0344A178" w14:textId="77777777" w:rsidR="002A1A42" w:rsidRPr="002A1A42" w:rsidRDefault="002A1A42" w:rsidP="002A1A42">
      <w:pPr>
        <w:jc w:val="both"/>
        <w:rPr>
          <w:b/>
          <w:bCs/>
        </w:rPr>
      </w:pPr>
      <w:r w:rsidRPr="002A1A42">
        <w:rPr>
          <w:b/>
          <w:bCs/>
        </w:rPr>
        <w:t>3.6 Enumeraciones multivalor</w:t>
      </w:r>
    </w:p>
    <w:p w14:paraId="7AF33668" w14:textId="77777777" w:rsidR="002A1A42" w:rsidRPr="002A1A42" w:rsidRDefault="002A1A42" w:rsidP="002A1A42">
      <w:pPr>
        <w:jc w:val="both"/>
      </w:pPr>
      <w:r w:rsidRPr="002A1A42">
        <w:t>Las enumeraciones extensibles también permiten informar hechos que pueden tomar múltiples valores de la lista de valores permitidos. Esto es para satisfacer requisitos análogos a un conjunto de casillas de verificación en un formulario, donde es posible elegir múltiples respuestas. Un ejemplo de una enumeración de múltiples valores de este tipo es una divulgación que requiere enumerar todos los países en los que opera una empresa, lo que requiere que el valor del hecho incluya más de un país.</w:t>
      </w:r>
    </w:p>
    <w:p w14:paraId="5F7B2E5D" w14:textId="77777777" w:rsidR="002A1A42" w:rsidRPr="002A1A42" w:rsidRDefault="002A1A42" w:rsidP="002A1A42">
      <w:pPr>
        <w:jc w:val="both"/>
      </w:pPr>
      <w:r w:rsidRPr="002A1A42">
        <w:t>La figura 5 muestra un ejemplo de una posible interfaz de usuario para seleccionar una enumeración de múltiples valores para informar todos los tipos de acuerdos bancarios que se han celebrado entre un banco y un prestatario.</w:t>
      </w:r>
    </w:p>
    <w:p w14:paraId="0D15F3D2" w14:textId="77777777" w:rsidR="00130CE6" w:rsidRDefault="002A1A42" w:rsidP="00130CE6">
      <w:pPr>
        <w:spacing w:after="0"/>
        <w:jc w:val="both"/>
      </w:pPr>
      <w:r w:rsidRPr="002A1A42">
        <w:rPr>
          <w:noProof/>
        </w:rPr>
        <w:lastRenderedPageBreak/>
        <w:drawing>
          <wp:inline distT="0" distB="0" distL="0" distR="0" wp14:anchorId="53D427A0" wp14:editId="46EB10B9">
            <wp:extent cx="4658360" cy="250190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58360" cy="2501900"/>
                    </a:xfrm>
                    <a:prstGeom prst="rect">
                      <a:avLst/>
                    </a:prstGeom>
                    <a:noFill/>
                    <a:ln>
                      <a:noFill/>
                    </a:ln>
                  </pic:spPr>
                </pic:pic>
              </a:graphicData>
            </a:graphic>
          </wp:inline>
        </w:drawing>
      </w:r>
    </w:p>
    <w:p w14:paraId="13AE9D00" w14:textId="11ABF656" w:rsidR="002A1A42" w:rsidRPr="002A1A42" w:rsidRDefault="002A1A42" w:rsidP="002A1A42">
      <w:pPr>
        <w:jc w:val="both"/>
      </w:pPr>
      <w:r w:rsidRPr="002A1A42">
        <w:t>Figura 5: Ejemplo de enumeración multivalor</w:t>
      </w:r>
    </w:p>
    <w:p w14:paraId="2CC9BC1A" w14:textId="5172A97B" w:rsidR="002A1A42" w:rsidRPr="002A1A42" w:rsidRDefault="002A1A42" w:rsidP="002A1A42">
      <w:pPr>
        <w:jc w:val="both"/>
        <w:rPr>
          <w:b/>
          <w:bCs/>
        </w:rPr>
      </w:pPr>
      <w:r w:rsidRPr="002A1A42">
        <w:rPr>
          <w:b/>
          <w:bCs/>
        </w:rPr>
        <w:t>4</w:t>
      </w:r>
      <w:r w:rsidR="00130CE6">
        <w:rPr>
          <w:b/>
          <w:bCs/>
        </w:rPr>
        <w:t>.</w:t>
      </w:r>
      <w:r w:rsidRPr="002A1A42">
        <w:rPr>
          <w:b/>
          <w:bCs/>
        </w:rPr>
        <w:t xml:space="preserve"> </w:t>
      </w:r>
      <w:r w:rsidR="00130CE6">
        <w:rPr>
          <w:b/>
          <w:bCs/>
        </w:rPr>
        <w:t>V</w:t>
      </w:r>
      <w:r w:rsidRPr="002A1A42">
        <w:rPr>
          <w:b/>
          <w:bCs/>
        </w:rPr>
        <w:t>ersiones de la especificación de enumeración extensible</w:t>
      </w:r>
    </w:p>
    <w:p w14:paraId="524206A3" w14:textId="7D7E823B" w:rsidR="002A1A42" w:rsidRPr="002A1A42" w:rsidRDefault="002A1A42" w:rsidP="002A1A42">
      <w:pPr>
        <w:jc w:val="both"/>
      </w:pPr>
      <w:r w:rsidRPr="002A1A42">
        <w:t>La función de enumeraciones multivalor se agregó en</w:t>
      </w:r>
      <w:r w:rsidR="00130CE6">
        <w:t xml:space="preserve"> </w:t>
      </w:r>
      <w:hyperlink r:id="rId57" w:history="1">
        <w:r w:rsidRPr="002A1A42">
          <w:rPr>
            <w:rStyle w:val="Hipervnculo"/>
          </w:rPr>
          <w:t>la versión 2.0 de Extensible Enumeration</w:t>
        </w:r>
      </w:hyperlink>
      <w:r w:rsidRPr="002A1A42">
        <w:t>. La versión anterior,</w:t>
      </w:r>
      <w:r w:rsidR="00130CE6">
        <w:t xml:space="preserve"> </w:t>
      </w:r>
      <w:hyperlink r:id="rId58" w:history="1">
        <w:r w:rsidRPr="002A1A42">
          <w:rPr>
            <w:rStyle w:val="Hipervnculo"/>
          </w:rPr>
          <w:t>Extensible Enumerations v1.0</w:t>
        </w:r>
      </w:hyperlink>
      <w:r w:rsidRPr="002A1A42">
        <w:t>, sigue siendo compatible.</w:t>
      </w:r>
    </w:p>
    <w:p w14:paraId="4A058936" w14:textId="77777777" w:rsidR="002A1A42" w:rsidRPr="002A1A42" w:rsidRDefault="002A1A42" w:rsidP="002A1A42">
      <w:pPr>
        <w:jc w:val="both"/>
      </w:pPr>
      <w:r w:rsidRPr="002A1A42">
        <w:t>Para hacer frente a enumeraciones de múltiples valores, Extensible Enumerations v2.0 utiliza una sintaxis técnica diferente para representar valores de enumeración en un informe y, para mantener la coherencia, esta nueva sintaxis también se utiliza para enumeraciones de un solo valor.</w:t>
      </w:r>
    </w:p>
    <w:p w14:paraId="516DA8F8" w14:textId="77777777" w:rsidR="002A1A42" w:rsidRPr="002A1A42" w:rsidRDefault="002A1A42" w:rsidP="002A1A42">
      <w:pPr>
        <w:jc w:val="both"/>
      </w:pPr>
      <w:r w:rsidRPr="002A1A42">
        <w:t>Este cambio en la sintaxis no debería tener impacto en los usuarios finales, ya que las herramientas XBRL normalmente usarán etiquetas para mostrar valores de enumeración a los usuarios y ocultarán los detalles técnicos de cómo se representa el valor en el informe.</w:t>
      </w:r>
    </w:p>
    <w:tbl>
      <w:tblPr>
        <w:tblW w:w="9300" w:type="dxa"/>
        <w:shd w:val="clear" w:color="auto" w:fill="FFFFFF"/>
        <w:tblCellMar>
          <w:left w:w="0" w:type="dxa"/>
          <w:right w:w="0" w:type="dxa"/>
        </w:tblCellMar>
        <w:tblLook w:val="04A0" w:firstRow="1" w:lastRow="0" w:firstColumn="1" w:lastColumn="0" w:noHBand="0" w:noVBand="1"/>
      </w:tblPr>
      <w:tblGrid>
        <w:gridCol w:w="6937"/>
        <w:gridCol w:w="1124"/>
        <w:gridCol w:w="1239"/>
      </w:tblGrid>
      <w:tr w:rsidR="002A1A42" w:rsidRPr="002A1A42" w14:paraId="2575BB6B" w14:textId="77777777" w:rsidTr="002A1A42">
        <w:trPr>
          <w:tblHeader/>
        </w:trPr>
        <w:tc>
          <w:tcPr>
            <w:tcW w:w="0" w:type="auto"/>
            <w:gridSpan w:val="3"/>
            <w:tcBorders>
              <w:top w:val="nil"/>
              <w:left w:val="nil"/>
              <w:bottom w:val="nil"/>
              <w:right w:val="nil"/>
            </w:tcBorders>
            <w:shd w:val="clear" w:color="auto" w:fill="F7F7F7"/>
            <w:tcMar>
              <w:top w:w="150" w:type="dxa"/>
              <w:left w:w="150" w:type="dxa"/>
              <w:bottom w:w="150" w:type="dxa"/>
              <w:right w:w="150" w:type="dxa"/>
            </w:tcMar>
            <w:vAlign w:val="center"/>
            <w:hideMark/>
          </w:tcPr>
          <w:p w14:paraId="76F80F74" w14:textId="77777777" w:rsidR="002A1A42" w:rsidRPr="002A1A42" w:rsidRDefault="002A1A42" w:rsidP="002A1A42">
            <w:pPr>
              <w:jc w:val="both"/>
            </w:pPr>
            <w:r w:rsidRPr="002A1A42">
              <w:t>Tabla 1: Versión de la especificación de enumeraciones extensibles</w:t>
            </w:r>
          </w:p>
        </w:tc>
      </w:tr>
      <w:tr w:rsidR="002A1A42" w:rsidRPr="002A1A42" w14:paraId="43471E12" w14:textId="77777777" w:rsidTr="002A1A42">
        <w:trPr>
          <w:tblHeader/>
        </w:trPr>
        <w:tc>
          <w:tcPr>
            <w:tcW w:w="4642" w:type="dxa"/>
            <w:tcBorders>
              <w:top w:val="single" w:sz="6" w:space="0" w:color="000000"/>
              <w:left w:val="single" w:sz="6" w:space="0" w:color="000000"/>
              <w:bottom w:val="single" w:sz="6" w:space="0" w:color="000000"/>
              <w:right w:val="single" w:sz="6" w:space="0" w:color="000000"/>
            </w:tcBorders>
            <w:shd w:val="clear" w:color="auto" w:fill="F7F7F7"/>
            <w:tcMar>
              <w:top w:w="150" w:type="dxa"/>
              <w:left w:w="150" w:type="dxa"/>
              <w:bottom w:w="150" w:type="dxa"/>
              <w:right w:w="150" w:type="dxa"/>
            </w:tcMar>
            <w:vAlign w:val="center"/>
            <w:hideMark/>
          </w:tcPr>
          <w:p w14:paraId="30A3CF77" w14:textId="77777777" w:rsidR="002A1A42" w:rsidRPr="002A1A42" w:rsidRDefault="002A1A42" w:rsidP="002A1A42">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F7F7F7"/>
            <w:tcMar>
              <w:top w:w="150" w:type="dxa"/>
              <w:left w:w="150" w:type="dxa"/>
              <w:bottom w:w="150" w:type="dxa"/>
              <w:right w:w="150" w:type="dxa"/>
            </w:tcMar>
            <w:vAlign w:val="center"/>
            <w:hideMark/>
          </w:tcPr>
          <w:p w14:paraId="175AC8AC" w14:textId="77777777" w:rsidR="002A1A42" w:rsidRPr="002A1A42" w:rsidRDefault="002A1A42" w:rsidP="002A1A42">
            <w:pPr>
              <w:jc w:val="both"/>
              <w:rPr>
                <w:b/>
                <w:bCs/>
              </w:rPr>
            </w:pPr>
            <w:r w:rsidRPr="002A1A42">
              <w:rPr>
                <w:b/>
                <w:bCs/>
              </w:rPr>
              <w:t>versión 1.0</w:t>
            </w:r>
          </w:p>
        </w:tc>
        <w:tc>
          <w:tcPr>
            <w:tcW w:w="0" w:type="auto"/>
            <w:tcBorders>
              <w:top w:val="single" w:sz="6" w:space="0" w:color="000000"/>
              <w:left w:val="single" w:sz="6" w:space="0" w:color="000000"/>
              <w:bottom w:val="single" w:sz="6" w:space="0" w:color="000000"/>
              <w:right w:val="single" w:sz="6" w:space="0" w:color="000000"/>
            </w:tcBorders>
            <w:shd w:val="clear" w:color="auto" w:fill="F7F7F7"/>
            <w:tcMar>
              <w:top w:w="150" w:type="dxa"/>
              <w:left w:w="150" w:type="dxa"/>
              <w:bottom w:w="150" w:type="dxa"/>
              <w:right w:w="150" w:type="dxa"/>
            </w:tcMar>
            <w:vAlign w:val="center"/>
            <w:hideMark/>
          </w:tcPr>
          <w:p w14:paraId="10D12A0E" w14:textId="77777777" w:rsidR="002A1A42" w:rsidRPr="002A1A42" w:rsidRDefault="002A1A42" w:rsidP="002A1A42">
            <w:pPr>
              <w:jc w:val="both"/>
              <w:rPr>
                <w:b/>
                <w:bCs/>
              </w:rPr>
            </w:pPr>
            <w:r w:rsidRPr="002A1A42">
              <w:rPr>
                <w:b/>
                <w:bCs/>
              </w:rPr>
              <w:t>versión 2.0</w:t>
            </w:r>
          </w:p>
        </w:tc>
      </w:tr>
      <w:tr w:rsidR="002A1A42" w:rsidRPr="002A1A42" w14:paraId="1A4147B8" w14:textId="77777777" w:rsidTr="002A1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A598137" w14:textId="77777777" w:rsidR="002A1A42" w:rsidRPr="002A1A42" w:rsidRDefault="002A1A42" w:rsidP="002A1A42">
            <w:pPr>
              <w:jc w:val="both"/>
            </w:pPr>
            <w:r w:rsidRPr="002A1A42">
              <w:t>Enumeraciones de un solo valor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BEEB4D" w14:textId="77777777" w:rsidR="002A1A42" w:rsidRPr="002A1A42" w:rsidRDefault="002A1A42" w:rsidP="002A1A42">
            <w:pPr>
              <w:jc w:val="both"/>
            </w:pPr>
            <w:r w:rsidRPr="002A1A42">
              <w:rPr>
                <w:rFonts w:ascii="Segoe UI Emoji" w:hAnsi="Segoe UI Emoji" w:cs="Segoe UI Emoji"/>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55DE63" w14:textId="77777777" w:rsidR="002A1A42" w:rsidRPr="002A1A42" w:rsidRDefault="002A1A42" w:rsidP="002A1A42">
            <w:pPr>
              <w:jc w:val="both"/>
            </w:pPr>
            <w:r w:rsidRPr="002A1A42">
              <w:rPr>
                <w:rFonts w:ascii="Segoe UI Emoji" w:hAnsi="Segoe UI Emoji" w:cs="Segoe UI Emoji"/>
              </w:rPr>
              <w:t>✔</w:t>
            </w:r>
          </w:p>
        </w:tc>
      </w:tr>
      <w:tr w:rsidR="002A1A42" w:rsidRPr="002A1A42" w14:paraId="6BD31481" w14:textId="77777777" w:rsidTr="002A1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56929D2" w14:textId="77777777" w:rsidR="002A1A42" w:rsidRPr="002A1A42" w:rsidRDefault="002A1A42" w:rsidP="002A1A42">
            <w:pPr>
              <w:jc w:val="both"/>
            </w:pPr>
            <w:r w:rsidRPr="002A1A42">
              <w:t>Enumeraciones multivaloradas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763E2C" w14:textId="77777777" w:rsidR="002A1A42" w:rsidRPr="002A1A42" w:rsidRDefault="002A1A42" w:rsidP="002A1A42">
            <w:pPr>
              <w:jc w:val="both"/>
            </w:pPr>
            <w:r w:rsidRPr="002A1A42">
              <w:t>incógnita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93BF281" w14:textId="77777777" w:rsidR="002A1A42" w:rsidRPr="002A1A42" w:rsidRDefault="002A1A42" w:rsidP="002A1A42">
            <w:pPr>
              <w:jc w:val="both"/>
            </w:pPr>
            <w:r w:rsidRPr="002A1A42">
              <w:rPr>
                <w:rFonts w:ascii="Segoe UI Emoji" w:hAnsi="Segoe UI Emoji" w:cs="Segoe UI Emoji"/>
              </w:rPr>
              <w:t>✔</w:t>
            </w:r>
          </w:p>
        </w:tc>
      </w:tr>
      <w:tr w:rsidR="002A1A42" w:rsidRPr="002A1A42" w14:paraId="50799CC5" w14:textId="77777777" w:rsidTr="002A1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C68A4F" w14:textId="77777777" w:rsidR="002A1A42" w:rsidRPr="002A1A42" w:rsidRDefault="002A1A42" w:rsidP="002A1A42">
            <w:pPr>
              <w:jc w:val="both"/>
            </w:pPr>
            <w:r w:rsidRPr="002A1A42">
              <w:t>Extensibilidad, reutilización, jerarquías de árboles, bandera Valor inutilizable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AB4AC7A" w14:textId="77777777" w:rsidR="002A1A42" w:rsidRPr="002A1A42" w:rsidRDefault="002A1A42" w:rsidP="002A1A42">
            <w:pPr>
              <w:jc w:val="both"/>
            </w:pPr>
            <w:r w:rsidRPr="002A1A42">
              <w:rPr>
                <w:rFonts w:ascii="Segoe UI Emoji" w:hAnsi="Segoe UI Emoji" w:cs="Segoe UI Emoji"/>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498B80" w14:textId="77777777" w:rsidR="002A1A42" w:rsidRPr="002A1A42" w:rsidRDefault="002A1A42" w:rsidP="002A1A42">
            <w:pPr>
              <w:jc w:val="both"/>
            </w:pPr>
            <w:r w:rsidRPr="002A1A42">
              <w:rPr>
                <w:rFonts w:ascii="Segoe UI Emoji" w:hAnsi="Segoe UI Emoji" w:cs="Segoe UI Emoji"/>
              </w:rPr>
              <w:t>✔</w:t>
            </w:r>
          </w:p>
        </w:tc>
      </w:tr>
      <w:tr w:rsidR="002A1A42" w:rsidRPr="002A1A42" w14:paraId="625CB975" w14:textId="77777777" w:rsidTr="002A1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80015D" w14:textId="7B4D2DDB" w:rsidR="002A1A42" w:rsidRPr="002A1A42" w:rsidRDefault="002A1A42" w:rsidP="002A1A42">
            <w:pPr>
              <w:jc w:val="both"/>
            </w:pPr>
            <w:r w:rsidRPr="002A1A42">
              <w:lastRenderedPageBreak/>
              <w:t>Representación técnica del valor de hecho en el informe XBRL</w:t>
            </w:r>
            <w:hyperlink r:id="rId59" w:history="1">
              <w:r w:rsidRPr="002A1A42">
                <w:rPr>
                  <w:rStyle w:val="Hipervnculo"/>
                  <w:vertAlign w:val="superscript"/>
                </w:rPr>
                <w:t>1</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C137C9" w14:textId="77777777" w:rsidR="002A1A42" w:rsidRPr="002A1A42" w:rsidRDefault="002A1A42" w:rsidP="002A1A42">
            <w:pPr>
              <w:jc w:val="both"/>
            </w:pPr>
            <w:r w:rsidRPr="002A1A42">
              <w:t>Nombre 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85DC2F" w14:textId="77777777" w:rsidR="002A1A42" w:rsidRPr="002A1A42" w:rsidRDefault="002A1A42" w:rsidP="002A1A42">
            <w:pPr>
              <w:jc w:val="both"/>
            </w:pPr>
            <w:r w:rsidRPr="002A1A42">
              <w:t>URI de nombre expandido</w:t>
            </w:r>
          </w:p>
        </w:tc>
      </w:tr>
    </w:tbl>
    <w:p w14:paraId="2441B10A" w14:textId="77777777" w:rsidR="00155008" w:rsidRPr="00155008" w:rsidRDefault="00155008" w:rsidP="002A1A42">
      <w:pPr>
        <w:jc w:val="both"/>
      </w:pPr>
    </w:p>
    <w:p w14:paraId="1A43BB29" w14:textId="5AE52823" w:rsidR="002A1A42" w:rsidRPr="002A1A42" w:rsidRDefault="002A1A42" w:rsidP="002A1A42">
      <w:pPr>
        <w:jc w:val="both"/>
        <w:rPr>
          <w:b/>
          <w:bCs/>
        </w:rPr>
      </w:pPr>
      <w:r w:rsidRPr="002A1A42">
        <w:rPr>
          <w:b/>
          <w:bCs/>
        </w:rPr>
        <w:t>4.1 Consideraciones para seleccionar la versión de especificación</w:t>
      </w:r>
    </w:p>
    <w:p w14:paraId="336FDED3" w14:textId="77777777" w:rsidR="002A1A42" w:rsidRPr="002A1A42" w:rsidRDefault="002A1A42" w:rsidP="002A1A42">
      <w:pPr>
        <w:numPr>
          <w:ilvl w:val="0"/>
          <w:numId w:val="7"/>
        </w:numPr>
        <w:jc w:val="both"/>
      </w:pPr>
      <w:r w:rsidRPr="002A1A42">
        <w:t>Utilice v2.0 a menos que haya necesidad de interoperar con taxonomías que actualmente utilizan v1.0. v2.0 debe utilizarse incluso si las enumeraciones multivalor no son un requisito inmediato, ya que esto facilitará la adopción de enumeraciones multivalor en el futuro si entonces se volvieran necesarias.</w:t>
      </w:r>
    </w:p>
    <w:p w14:paraId="65C410B4" w14:textId="77777777" w:rsidR="002A1A42" w:rsidRPr="002A1A42" w:rsidRDefault="002A1A42" w:rsidP="002A1A42">
      <w:pPr>
        <w:numPr>
          <w:ilvl w:val="0"/>
          <w:numId w:val="7"/>
        </w:numPr>
        <w:jc w:val="both"/>
      </w:pPr>
      <w:r w:rsidRPr="002A1A42">
        <w:t>Las taxonomías que actualmente utilizan la versión 1.0 deben tener un plan de migración para pasar a la versión 2.0. Esto permitirá la recopilación de enumeraciones multivalor y garantizará que la taxonomía utilice la última versión de especificación compatible.</w:t>
      </w:r>
    </w:p>
    <w:p w14:paraId="2DC1B13E" w14:textId="77777777" w:rsidR="002A1A42" w:rsidRPr="002A1A42" w:rsidRDefault="002A1A42" w:rsidP="002A1A42">
      <w:pPr>
        <w:numPr>
          <w:ilvl w:val="0"/>
          <w:numId w:val="7"/>
        </w:numPr>
        <w:jc w:val="both"/>
      </w:pPr>
      <w:r w:rsidRPr="002A1A42">
        <w:t>Aunque no existe ningún problema técnico con la combinación de v1.0 y v2.0 en la misma taxonomía, no se recomienda. Si una taxonomía necesita admitir enumeraciones de varios valores, se recomienda migrar todas las enumeraciones de un solo valor a v2.0.</w:t>
      </w:r>
    </w:p>
    <w:p w14:paraId="7AB967EB" w14:textId="77777777" w:rsidR="002A1A42" w:rsidRPr="002A1A42" w:rsidRDefault="00D90E32" w:rsidP="002A1A42">
      <w:pPr>
        <w:jc w:val="both"/>
      </w:pPr>
      <w:r>
        <w:pict w14:anchorId="0D011346">
          <v:rect id="_x0000_i1026" style="width:0;height:0" o:hralign="center" o:hrstd="t" o:hr="t" fillcolor="#a0a0a0" stroked="f"/>
        </w:pict>
      </w:r>
    </w:p>
    <w:p w14:paraId="35D49EC1" w14:textId="76576433" w:rsidR="002A1A42" w:rsidRPr="002A1A42" w:rsidRDefault="002A1A42" w:rsidP="002A1A42">
      <w:pPr>
        <w:numPr>
          <w:ilvl w:val="0"/>
          <w:numId w:val="8"/>
        </w:numPr>
        <w:jc w:val="both"/>
      </w:pPr>
      <w:r w:rsidRPr="002A1A42">
        <w:t>Los desarrolladores de software que deseen más información deben consultar la</w:t>
      </w:r>
      <w:r w:rsidR="00130CE6">
        <w:t xml:space="preserve"> </w:t>
      </w:r>
      <w:hyperlink r:id="rId60" w:history="1">
        <w:r w:rsidRPr="002A1A42">
          <w:rPr>
            <w:rStyle w:val="Hipervnculo"/>
          </w:rPr>
          <w:t>especificación técnica</w:t>
        </w:r>
      </w:hyperlink>
      <w:r w:rsidR="00130CE6">
        <w:t xml:space="preserve"> </w:t>
      </w:r>
      <w:r w:rsidRPr="002A1A42">
        <w:t>y las suites de conformidad correspondientes para</w:t>
      </w:r>
      <w:r w:rsidR="00130CE6">
        <w:t xml:space="preserve"> </w:t>
      </w:r>
      <w:hyperlink r:id="rId61" w:history="1">
        <w:r w:rsidRPr="002A1A42">
          <w:rPr>
            <w:rStyle w:val="Hipervnculo"/>
          </w:rPr>
          <w:t>v1.0</w:t>
        </w:r>
      </w:hyperlink>
      <w:r w:rsidR="00130CE6">
        <w:t xml:space="preserve"> </w:t>
      </w:r>
      <w:r w:rsidRPr="002A1A42">
        <w:t>y</w:t>
      </w:r>
      <w:r w:rsidR="00130CE6">
        <w:t xml:space="preserve"> </w:t>
      </w:r>
      <w:hyperlink r:id="rId62" w:history="1">
        <w:r w:rsidRPr="002A1A42">
          <w:rPr>
            <w:rStyle w:val="Hipervnculo"/>
          </w:rPr>
          <w:t>v2.0</w:t>
        </w:r>
      </w:hyperlink>
      <w:r w:rsidRPr="002A1A42">
        <w:t>.</w:t>
      </w:r>
      <w:hyperlink r:id="rId63" w:tooltip="Volver a la nota al pie 1 del texto" w:history="1">
        <w:r w:rsidRPr="002A1A42">
          <w:rPr>
            <w:rStyle w:val="Hipervnculo"/>
            <w:rFonts w:ascii="Segoe UI Emoji" w:hAnsi="Segoe UI Emoji" w:cs="Segoe UI Emoji"/>
          </w:rPr>
          <w:t>↩</w:t>
        </w:r>
      </w:hyperlink>
    </w:p>
    <w:p w14:paraId="38DB19AC" w14:textId="77777777" w:rsidR="002A1A42" w:rsidRPr="002A1A42" w:rsidRDefault="002A1A42" w:rsidP="002A1A42">
      <w:pPr>
        <w:jc w:val="both"/>
      </w:pPr>
      <w:r w:rsidRPr="002A1A42">
        <w:t>Este documento fue elaborado por el Grupo de Trabajo sobre Orientación de Implementación.</w:t>
      </w:r>
    </w:p>
    <w:p w14:paraId="4874A0DE" w14:textId="77777777" w:rsidR="002A1A42" w:rsidRPr="002A1A42" w:rsidRDefault="002A1A42" w:rsidP="002A1A42">
      <w:pPr>
        <w:jc w:val="both"/>
      </w:pPr>
      <w:r w:rsidRPr="002A1A42">
        <w:t>Publicado el 24-03-2020.</w:t>
      </w:r>
    </w:p>
    <w:p w14:paraId="61950869" w14:textId="77777777" w:rsidR="002A1A42" w:rsidRDefault="002A1A42" w:rsidP="002A1A42">
      <w:pPr>
        <w:jc w:val="both"/>
      </w:pPr>
    </w:p>
    <w:sectPr w:rsidR="002A1A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6F98"/>
    <w:multiLevelType w:val="multilevel"/>
    <w:tmpl w:val="E9C2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D59B5"/>
    <w:multiLevelType w:val="multilevel"/>
    <w:tmpl w:val="85D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53F86"/>
    <w:multiLevelType w:val="multilevel"/>
    <w:tmpl w:val="8DE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1194"/>
    <w:multiLevelType w:val="multilevel"/>
    <w:tmpl w:val="004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62954"/>
    <w:multiLevelType w:val="multilevel"/>
    <w:tmpl w:val="891A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00DA2"/>
    <w:multiLevelType w:val="multilevel"/>
    <w:tmpl w:val="6AB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E0F39"/>
    <w:multiLevelType w:val="multilevel"/>
    <w:tmpl w:val="4C9A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75A22"/>
    <w:multiLevelType w:val="multilevel"/>
    <w:tmpl w:val="147E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42"/>
    <w:rsid w:val="00130CE6"/>
    <w:rsid w:val="00155008"/>
    <w:rsid w:val="00264D64"/>
    <w:rsid w:val="002A1A42"/>
    <w:rsid w:val="00350D04"/>
    <w:rsid w:val="005E56D8"/>
    <w:rsid w:val="00D90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1F4D9C"/>
  <w15:chartTrackingRefBased/>
  <w15:docId w15:val="{5C18933A-D46D-4282-8AD1-8164E5FA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1A42"/>
    <w:rPr>
      <w:color w:val="0563C1" w:themeColor="hyperlink"/>
      <w:u w:val="single"/>
    </w:rPr>
  </w:style>
  <w:style w:type="character" w:styleId="Mencinsinresolver">
    <w:name w:val="Unresolved Mention"/>
    <w:basedOn w:val="Fuentedeprrafopredeter"/>
    <w:uiPriority w:val="99"/>
    <w:semiHidden/>
    <w:unhideWhenUsed/>
    <w:rsid w:val="002A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1169">
      <w:bodyDiv w:val="1"/>
      <w:marLeft w:val="0"/>
      <w:marRight w:val="0"/>
      <w:marTop w:val="0"/>
      <w:marBottom w:val="0"/>
      <w:divBdr>
        <w:top w:val="none" w:sz="0" w:space="0" w:color="auto"/>
        <w:left w:val="none" w:sz="0" w:space="0" w:color="auto"/>
        <w:bottom w:val="none" w:sz="0" w:space="0" w:color="auto"/>
        <w:right w:val="none" w:sz="0" w:space="0" w:color="auto"/>
      </w:divBdr>
      <w:divsChild>
        <w:div w:id="1409571240">
          <w:marLeft w:val="0"/>
          <w:marRight w:val="0"/>
          <w:marTop w:val="0"/>
          <w:marBottom w:val="0"/>
          <w:divBdr>
            <w:top w:val="none" w:sz="0" w:space="0" w:color="auto"/>
            <w:left w:val="none" w:sz="0" w:space="0" w:color="auto"/>
            <w:bottom w:val="none" w:sz="0" w:space="0" w:color="auto"/>
            <w:right w:val="none" w:sz="0" w:space="0" w:color="auto"/>
          </w:divBdr>
        </w:div>
        <w:div w:id="320699814">
          <w:marLeft w:val="0"/>
          <w:marRight w:val="0"/>
          <w:marTop w:val="300"/>
          <w:marBottom w:val="300"/>
          <w:divBdr>
            <w:top w:val="none" w:sz="0" w:space="0" w:color="auto"/>
            <w:left w:val="none" w:sz="0" w:space="0" w:color="auto"/>
            <w:bottom w:val="none" w:sz="0" w:space="0" w:color="auto"/>
            <w:right w:val="none" w:sz="0" w:space="0" w:color="auto"/>
          </w:divBdr>
        </w:div>
        <w:div w:id="1061829246">
          <w:marLeft w:val="0"/>
          <w:marRight w:val="0"/>
          <w:marTop w:val="600"/>
          <w:marBottom w:val="0"/>
          <w:divBdr>
            <w:top w:val="none" w:sz="0" w:space="0" w:color="auto"/>
            <w:left w:val="none" w:sz="0" w:space="0" w:color="auto"/>
            <w:bottom w:val="none" w:sz="0" w:space="0" w:color="auto"/>
            <w:right w:val="none" w:sz="0" w:space="0" w:color="auto"/>
          </w:divBdr>
          <w:divsChild>
            <w:div w:id="186085487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022439144">
      <w:bodyDiv w:val="1"/>
      <w:marLeft w:val="0"/>
      <w:marRight w:val="0"/>
      <w:marTop w:val="0"/>
      <w:marBottom w:val="0"/>
      <w:divBdr>
        <w:top w:val="none" w:sz="0" w:space="0" w:color="auto"/>
        <w:left w:val="none" w:sz="0" w:space="0" w:color="auto"/>
        <w:bottom w:val="none" w:sz="0" w:space="0" w:color="auto"/>
        <w:right w:val="none" w:sz="0" w:space="0" w:color="auto"/>
      </w:divBdr>
      <w:divsChild>
        <w:div w:id="2040622768">
          <w:marLeft w:val="0"/>
          <w:marRight w:val="0"/>
          <w:marTop w:val="0"/>
          <w:marBottom w:val="240"/>
          <w:divBdr>
            <w:top w:val="none" w:sz="0" w:space="0" w:color="auto"/>
            <w:left w:val="none" w:sz="0" w:space="0" w:color="auto"/>
            <w:bottom w:val="dashed" w:sz="12" w:space="12" w:color="CCCCCC"/>
            <w:right w:val="none" w:sz="0" w:space="0" w:color="auto"/>
          </w:divBdr>
          <w:divsChild>
            <w:div w:id="18285235">
              <w:marLeft w:val="0"/>
              <w:marRight w:val="0"/>
              <w:marTop w:val="0"/>
              <w:marBottom w:val="0"/>
              <w:divBdr>
                <w:top w:val="none" w:sz="0" w:space="0" w:color="auto"/>
                <w:left w:val="none" w:sz="0" w:space="0" w:color="auto"/>
                <w:bottom w:val="none" w:sz="0" w:space="0" w:color="auto"/>
                <w:right w:val="none" w:sz="0" w:space="0" w:color="auto"/>
              </w:divBdr>
            </w:div>
            <w:div w:id="1332637306">
              <w:marLeft w:val="0"/>
              <w:marRight w:val="0"/>
              <w:marTop w:val="0"/>
              <w:marBottom w:val="0"/>
              <w:divBdr>
                <w:top w:val="none" w:sz="0" w:space="0" w:color="auto"/>
                <w:left w:val="none" w:sz="0" w:space="0" w:color="auto"/>
                <w:bottom w:val="none" w:sz="0" w:space="0" w:color="auto"/>
                <w:right w:val="none" w:sz="0" w:space="0" w:color="auto"/>
              </w:divBdr>
            </w:div>
          </w:divsChild>
        </w:div>
        <w:div w:id="1189832420">
          <w:marLeft w:val="0"/>
          <w:marRight w:val="0"/>
          <w:marTop w:val="240"/>
          <w:marBottom w:val="240"/>
          <w:divBdr>
            <w:top w:val="none" w:sz="0" w:space="0" w:color="auto"/>
            <w:left w:val="none" w:sz="0" w:space="0" w:color="auto"/>
            <w:bottom w:val="dashed" w:sz="12" w:space="12" w:color="CCCCCC"/>
            <w:right w:val="none" w:sz="0" w:space="0" w:color="auto"/>
          </w:divBdr>
        </w:div>
        <w:div w:id="1850556252">
          <w:marLeft w:val="0"/>
          <w:marRight w:val="0"/>
          <w:marTop w:val="300"/>
          <w:marBottom w:val="300"/>
          <w:divBdr>
            <w:top w:val="none" w:sz="0" w:space="0" w:color="auto"/>
            <w:left w:val="none" w:sz="0" w:space="0" w:color="auto"/>
            <w:bottom w:val="none" w:sz="0" w:space="0" w:color="auto"/>
            <w:right w:val="none" w:sz="0" w:space="0" w:color="auto"/>
          </w:divBdr>
        </w:div>
        <w:div w:id="938950467">
          <w:marLeft w:val="0"/>
          <w:marRight w:val="0"/>
          <w:marTop w:val="300"/>
          <w:marBottom w:val="300"/>
          <w:divBdr>
            <w:top w:val="none" w:sz="0" w:space="0" w:color="auto"/>
            <w:left w:val="none" w:sz="0" w:space="0" w:color="auto"/>
            <w:bottom w:val="none" w:sz="0" w:space="0" w:color="auto"/>
            <w:right w:val="none" w:sz="0" w:space="0" w:color="auto"/>
          </w:divBdr>
        </w:div>
        <w:div w:id="223109516">
          <w:marLeft w:val="0"/>
          <w:marRight w:val="0"/>
          <w:marTop w:val="300"/>
          <w:marBottom w:val="300"/>
          <w:divBdr>
            <w:top w:val="none" w:sz="0" w:space="0" w:color="auto"/>
            <w:left w:val="none" w:sz="0" w:space="0" w:color="auto"/>
            <w:bottom w:val="none" w:sz="0" w:space="0" w:color="auto"/>
            <w:right w:val="none" w:sz="0" w:space="0" w:color="auto"/>
          </w:divBdr>
        </w:div>
        <w:div w:id="1795246316">
          <w:marLeft w:val="0"/>
          <w:marRight w:val="0"/>
          <w:marTop w:val="300"/>
          <w:marBottom w:val="300"/>
          <w:divBdr>
            <w:top w:val="none" w:sz="0" w:space="0" w:color="auto"/>
            <w:left w:val="none" w:sz="0" w:space="0" w:color="auto"/>
            <w:bottom w:val="none" w:sz="0" w:space="0" w:color="auto"/>
            <w:right w:val="none" w:sz="0" w:space="0" w:color="auto"/>
          </w:divBdr>
        </w:div>
        <w:div w:id="776096395">
          <w:marLeft w:val="0"/>
          <w:marRight w:val="0"/>
          <w:marTop w:val="300"/>
          <w:marBottom w:val="300"/>
          <w:divBdr>
            <w:top w:val="none" w:sz="0" w:space="0" w:color="auto"/>
            <w:left w:val="none" w:sz="0" w:space="0" w:color="auto"/>
            <w:bottom w:val="none" w:sz="0" w:space="0" w:color="auto"/>
            <w:right w:val="none" w:sz="0" w:space="0" w:color="auto"/>
          </w:divBdr>
        </w:div>
        <w:div w:id="59404558">
          <w:marLeft w:val="0"/>
          <w:marRight w:val="0"/>
          <w:marTop w:val="240"/>
          <w:marBottom w:val="0"/>
          <w:divBdr>
            <w:top w:val="dashed" w:sz="12" w:space="0" w:color="CCCCCC"/>
            <w:left w:val="none" w:sz="0" w:space="0" w:color="auto"/>
            <w:bottom w:val="none" w:sz="0" w:space="0" w:color="auto"/>
            <w:right w:val="none" w:sz="0" w:space="0" w:color="auto"/>
          </w:divBdr>
        </w:div>
      </w:divsChild>
    </w:div>
    <w:div w:id="1336149486">
      <w:bodyDiv w:val="1"/>
      <w:marLeft w:val="0"/>
      <w:marRight w:val="0"/>
      <w:marTop w:val="0"/>
      <w:marBottom w:val="0"/>
      <w:divBdr>
        <w:top w:val="none" w:sz="0" w:space="0" w:color="auto"/>
        <w:left w:val="none" w:sz="0" w:space="0" w:color="auto"/>
        <w:bottom w:val="none" w:sz="0" w:space="0" w:color="auto"/>
        <w:right w:val="none" w:sz="0" w:space="0" w:color="auto"/>
      </w:divBdr>
      <w:divsChild>
        <w:div w:id="1510287862">
          <w:marLeft w:val="0"/>
          <w:marRight w:val="0"/>
          <w:marTop w:val="0"/>
          <w:marBottom w:val="0"/>
          <w:divBdr>
            <w:top w:val="none" w:sz="0" w:space="0" w:color="auto"/>
            <w:left w:val="none" w:sz="0" w:space="0" w:color="auto"/>
            <w:bottom w:val="none" w:sz="0" w:space="0" w:color="auto"/>
            <w:right w:val="none" w:sz="0" w:space="0" w:color="auto"/>
          </w:divBdr>
        </w:div>
        <w:div w:id="1588346659">
          <w:marLeft w:val="0"/>
          <w:marRight w:val="0"/>
          <w:marTop w:val="600"/>
          <w:marBottom w:val="0"/>
          <w:divBdr>
            <w:top w:val="none" w:sz="0" w:space="0" w:color="auto"/>
            <w:left w:val="none" w:sz="0" w:space="0" w:color="auto"/>
            <w:bottom w:val="none" w:sz="0" w:space="0" w:color="auto"/>
            <w:right w:val="none" w:sz="0" w:space="0" w:color="auto"/>
          </w:divBdr>
          <w:divsChild>
            <w:div w:id="138513231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xbrl.org/guidance/extensible-enumerations/" TargetMode="External"/><Relationship Id="rId21" Type="http://schemas.openxmlformats.org/officeDocument/2006/relationships/hyperlink" Target="https://www.globalreporting.org/standards/standards-development/gri-sustainability-taxonomy/" TargetMode="External"/><Relationship Id="rId34" Type="http://schemas.openxmlformats.org/officeDocument/2006/relationships/hyperlink" Target="https://www.xbrl.org/guidance/extensible-enumerations/" TargetMode="External"/><Relationship Id="rId42" Type="http://schemas.openxmlformats.org/officeDocument/2006/relationships/hyperlink" Target="https://www.xbrl.org/guidance/xbrl-glossary" TargetMode="External"/><Relationship Id="rId47" Type="http://schemas.openxmlformats.org/officeDocument/2006/relationships/hyperlink" Target="https://www.xbrl.org/guidance/xbrl-glossary" TargetMode="External"/><Relationship Id="rId50" Type="http://schemas.openxmlformats.org/officeDocument/2006/relationships/hyperlink" Target="https://www.xbrl.org/guidance/xbrl-glossary" TargetMode="External"/><Relationship Id="rId55" Type="http://schemas.openxmlformats.org/officeDocument/2006/relationships/image" Target="media/image9.png"/><Relationship Id="rId63" Type="http://schemas.openxmlformats.org/officeDocument/2006/relationships/hyperlink" Target="https://www.xbrl.org/guidance/extensible-enumerations/fn-syntax" TargetMode="External"/><Relationship Id="rId7" Type="http://schemas.openxmlformats.org/officeDocument/2006/relationships/hyperlink" Target="https://www.xbrl.org/understanding-boolean-and-enumeration-tags-in-digital-reporting/" TargetMode="External"/><Relationship Id="rId2" Type="http://schemas.openxmlformats.org/officeDocument/2006/relationships/styles" Target="styles.xml"/><Relationship Id="rId16" Type="http://schemas.openxmlformats.org/officeDocument/2006/relationships/hyperlink" Target="https://www.xbrl.org/wp-content/uploads/2024/09/Catalina-Ibanez1.png" TargetMode="External"/><Relationship Id="rId29" Type="http://schemas.openxmlformats.org/officeDocument/2006/relationships/hyperlink" Target="https://www.xbrl.org/guidance/extensible-enumerations/" TargetMode="External"/><Relationship Id="rId11" Type="http://schemas.openxmlformats.org/officeDocument/2006/relationships/hyperlink" Target="https://www.xbrl.org/tag/sustainability-discolsure/" TargetMode="External"/><Relationship Id="rId24" Type="http://schemas.openxmlformats.org/officeDocument/2006/relationships/hyperlink" Target="https://www.xbrl.org/guidance/extensible-enumerations/" TargetMode="External"/><Relationship Id="rId32" Type="http://schemas.openxmlformats.org/officeDocument/2006/relationships/hyperlink" Target="https://www.xbrl.org/guidance/extensible-enumerations/" TargetMode="External"/><Relationship Id="rId37" Type="http://schemas.openxmlformats.org/officeDocument/2006/relationships/hyperlink" Target="https://www.xbrl.org/guidance/extensible-enumerations/" TargetMode="External"/><Relationship Id="rId40" Type="http://schemas.openxmlformats.org/officeDocument/2006/relationships/hyperlink" Target="https://www.xbrl.org/guidance/xbrl-glossary" TargetMode="External"/><Relationship Id="rId45" Type="http://schemas.openxmlformats.org/officeDocument/2006/relationships/hyperlink" Target="https://www.xbrl.org/guidance/xbrl-glossary" TargetMode="External"/><Relationship Id="rId53" Type="http://schemas.openxmlformats.org/officeDocument/2006/relationships/image" Target="media/image8.png"/><Relationship Id="rId58" Type="http://schemas.openxmlformats.org/officeDocument/2006/relationships/hyperlink" Target="https://specifications.xbrl.org/work-product-index-extensible-enumerations-extensible-enumerations-1.0.html" TargetMode="External"/><Relationship Id="rId5" Type="http://schemas.openxmlformats.org/officeDocument/2006/relationships/image" Target="media/image1.jpeg"/><Relationship Id="rId61" Type="http://schemas.openxmlformats.org/officeDocument/2006/relationships/hyperlink" Target="http://www.xbrl.org/2014/extensible-enumerations-CONF-2014-10-29.zip" TargetMode="External"/><Relationship Id="rId19" Type="http://schemas.openxmlformats.org/officeDocument/2006/relationships/hyperlink" Target="https://www.ifrs.org/issued-standards/ifrs-sustainability-taxonomy/" TargetMode="External"/><Relationship Id="rId14" Type="http://schemas.openxmlformats.org/officeDocument/2006/relationships/hyperlink" Target="https://www.xbrl.org/wp-content/uploads/2024/09/Amana-Consulting_Essen_Carina-Tepper_2023-04-26_F1020-001-12.jpg" TargetMode="External"/><Relationship Id="rId22" Type="http://schemas.openxmlformats.org/officeDocument/2006/relationships/hyperlink" Target="https://www.fasb.org/projects/fasb-taxonomies" TargetMode="External"/><Relationship Id="rId27" Type="http://schemas.openxmlformats.org/officeDocument/2006/relationships/image" Target="media/image5.png"/><Relationship Id="rId30" Type="http://schemas.openxmlformats.org/officeDocument/2006/relationships/hyperlink" Target="https://www.xbrl.org/guidance/extensible-enumerations/" TargetMode="External"/><Relationship Id="rId35" Type="http://schemas.openxmlformats.org/officeDocument/2006/relationships/hyperlink" Target="https://www.xbrl.org/guidance/extensible-enumerations/" TargetMode="External"/><Relationship Id="rId43" Type="http://schemas.openxmlformats.org/officeDocument/2006/relationships/hyperlink" Target="https://www.xbrl.org/guidance/xbrl-glossary" TargetMode="External"/><Relationship Id="rId48" Type="http://schemas.openxmlformats.org/officeDocument/2006/relationships/hyperlink" Target="https://www.xbrl.org/guidance/xbrl-glossary" TargetMode="External"/><Relationship Id="rId56" Type="http://schemas.openxmlformats.org/officeDocument/2006/relationships/image" Target="media/image10.png"/><Relationship Id="rId64" Type="http://schemas.openxmlformats.org/officeDocument/2006/relationships/fontTable" Target="fontTable.xml"/><Relationship Id="rId8" Type="http://schemas.openxmlformats.org/officeDocument/2006/relationships/hyperlink" Target="https://www.xbrl.org/tag/financial-disclosure/" TargetMode="External"/><Relationship Id="rId51" Type="http://schemas.openxmlformats.org/officeDocument/2006/relationships/hyperlink" Target="https://www.xbrl.org/guidance/xbrl-glossary" TargetMode="External"/><Relationship Id="rId3" Type="http://schemas.openxmlformats.org/officeDocument/2006/relationships/settings" Target="settings.xml"/><Relationship Id="rId12" Type="http://schemas.openxmlformats.org/officeDocument/2006/relationships/hyperlink" Target="https://www.xbrl.org/understanding-boolean-and-enumeration-tags-in-digital-reporting/" TargetMode="External"/><Relationship Id="rId17" Type="http://schemas.openxmlformats.org/officeDocument/2006/relationships/image" Target="media/image4.png"/><Relationship Id="rId25" Type="http://schemas.openxmlformats.org/officeDocument/2006/relationships/hyperlink" Target="https://www.xbrl.org/guidance/modelling-enumerated-values/" TargetMode="External"/><Relationship Id="rId33" Type="http://schemas.openxmlformats.org/officeDocument/2006/relationships/hyperlink" Target="https://www.xbrl.org/guidance/extensible-enumerations/" TargetMode="External"/><Relationship Id="rId38" Type="http://schemas.openxmlformats.org/officeDocument/2006/relationships/hyperlink" Target="https://www.xbrl.org/guidance/extensible-enumerations/" TargetMode="External"/><Relationship Id="rId46" Type="http://schemas.openxmlformats.org/officeDocument/2006/relationships/hyperlink" Target="https://www.xbrl.org/guidance/modelling-enumerated-values/" TargetMode="External"/><Relationship Id="rId59" Type="http://schemas.openxmlformats.org/officeDocument/2006/relationships/hyperlink" Target="https://www.xbrl.org/guidance/extensible-enumerations/fn-syntax" TargetMode="External"/><Relationship Id="rId20" Type="http://schemas.openxmlformats.org/officeDocument/2006/relationships/hyperlink" Target="https://www.efrag.org/en/news-and-calendar/news/efrag-publishes-the-esrs-set-1-xbrl-taxonomy" TargetMode="External"/><Relationship Id="rId41" Type="http://schemas.openxmlformats.org/officeDocument/2006/relationships/hyperlink" Target="https://www.xbrl.org/guidance/xbrl-glossary" TargetMode="External"/><Relationship Id="rId54" Type="http://schemas.openxmlformats.org/officeDocument/2006/relationships/hyperlink" Target="https://www.xbrl.org/guidance/xbrl-glossary" TargetMode="External"/><Relationship Id="rId62" Type="http://schemas.openxmlformats.org/officeDocument/2006/relationships/hyperlink" Target="https://base-spec.ci.xbrl.org/extensible-enumerations/2-0-0-pr1-2019-08-07/conformance/extensible-enumerations-2.0-2019-08-07.zip" TargetMode="External"/><Relationship Id="rId1" Type="http://schemas.openxmlformats.org/officeDocument/2006/relationships/numbering" Target="numbering.xml"/><Relationship Id="rId6" Type="http://schemas.openxmlformats.org/officeDocument/2006/relationships/hyperlink" Target="https://www.xbrl.org/news/exploring-booleans-and-enumerations-in-new-esg-taxonomies/" TargetMode="External"/><Relationship Id="rId15" Type="http://schemas.openxmlformats.org/officeDocument/2006/relationships/image" Target="media/image3.jpeg"/><Relationship Id="rId23" Type="http://schemas.openxmlformats.org/officeDocument/2006/relationships/hyperlink" Target="https://www.xbrl.org/news/first-draft-of-new-ixbrl-transformations-published/" TargetMode="External"/><Relationship Id="rId28" Type="http://schemas.openxmlformats.org/officeDocument/2006/relationships/hyperlink" Target="https://www.xbrl.org/guidance/extensible-enumerations/igtf-feedback@xbrl.org" TargetMode="External"/><Relationship Id="rId36" Type="http://schemas.openxmlformats.org/officeDocument/2006/relationships/hyperlink" Target="https://www.xbrl.org/guidance/extensible-enumerations/" TargetMode="External"/><Relationship Id="rId49" Type="http://schemas.openxmlformats.org/officeDocument/2006/relationships/image" Target="media/image7.png"/><Relationship Id="rId57" Type="http://schemas.openxmlformats.org/officeDocument/2006/relationships/hyperlink" Target="https://specifications.xbrl.org/work-product-index-extensible-enumerations-extensible-enumerations-2.0.html" TargetMode="External"/><Relationship Id="rId10" Type="http://schemas.openxmlformats.org/officeDocument/2006/relationships/hyperlink" Target="https://www.xbrl.org/tag/booleans/" TargetMode="External"/><Relationship Id="rId31" Type="http://schemas.openxmlformats.org/officeDocument/2006/relationships/hyperlink" Target="https://www.xbrl.org/guidance/extensible-enumerations/" TargetMode="External"/><Relationship Id="rId44" Type="http://schemas.openxmlformats.org/officeDocument/2006/relationships/image" Target="media/image6.png"/><Relationship Id="rId52" Type="http://schemas.openxmlformats.org/officeDocument/2006/relationships/hyperlink" Target="https://www.xbrl.org/guidance/xbrl-glossary" TargetMode="External"/><Relationship Id="rId60" Type="http://schemas.openxmlformats.org/officeDocument/2006/relationships/hyperlink" Target="https://specifications.xbrl.org/work-product-index-extensible-enumerations-extensible-enumerations-2.0.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esg/" TargetMode="External"/><Relationship Id="rId13" Type="http://schemas.openxmlformats.org/officeDocument/2006/relationships/image" Target="media/image2.jpeg"/><Relationship Id="rId18" Type="http://schemas.openxmlformats.org/officeDocument/2006/relationships/hyperlink" Target="https://www.ifrs.org/news-and-events/news/2024/03/ifrs-foundation-publishes-ifrs-accounting-taxonomy-2024/" TargetMode="External"/><Relationship Id="rId39" Type="http://schemas.openxmlformats.org/officeDocument/2006/relationships/hyperlink" Target="https://www.xbrl.org/guidance/extensible-enumeratio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5401</Words>
  <Characters>29706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2024-10-01T21:44:00Z</dcterms:created>
  <dcterms:modified xsi:type="dcterms:W3CDTF">2024-10-08T03:16:00Z</dcterms:modified>
</cp:coreProperties>
</file>