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D508" w14:textId="77777777" w:rsidR="00EA377A" w:rsidRPr="00EA377A" w:rsidRDefault="00EA377A" w:rsidP="00EA377A">
      <w:pPr>
        <w:jc w:val="both"/>
        <w:rPr>
          <w:rFonts w:ascii="Arial Nova Cond" w:hAnsi="Arial Nova Cond"/>
          <w:sz w:val="28"/>
          <w:szCs w:val="28"/>
        </w:rPr>
      </w:pPr>
      <w:r w:rsidRPr="00EA377A">
        <w:rPr>
          <w:rFonts w:ascii="Arial Nova Cond" w:hAnsi="Arial Nova Cond"/>
          <w:sz w:val="28"/>
          <w:szCs w:val="28"/>
        </w:rPr>
        <w:t>Las ESA piden una mejor supervisión para luchar contra el greenwashing</w:t>
      </w:r>
    </w:p>
    <w:p w14:paraId="2F9D16A1" w14:textId="653A55C6" w:rsidR="00EA377A" w:rsidRPr="00EA377A" w:rsidRDefault="00EA377A" w:rsidP="00EA377A">
      <w:pPr>
        <w:jc w:val="both"/>
      </w:pPr>
      <w:r w:rsidRPr="00EA377A">
        <w:rPr>
          <w:noProof/>
        </w:rPr>
        <w:drawing>
          <wp:inline distT="0" distB="0" distL="0" distR="0" wp14:anchorId="3B16CBD1" wp14:editId="6A4E9F18">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D92CF7E" w14:textId="4801630F" w:rsidR="00EA377A" w:rsidRPr="00EA377A" w:rsidRDefault="00EA377A" w:rsidP="00EA377A">
      <w:pPr>
        <w:jc w:val="both"/>
      </w:pPr>
      <w:r w:rsidRPr="00EA377A">
        <w:t>Publicado el 9 de junio de 2024 por</w:t>
      </w:r>
      <w:r w:rsidR="009D5B57">
        <w:t xml:space="preserve"> </w:t>
      </w:r>
      <w:hyperlink r:id="rId6" w:history="1">
        <w:r w:rsidRPr="00EA377A">
          <w:rPr>
            <w:rStyle w:val="Hipervnculo"/>
            <w:b/>
            <w:bCs/>
          </w:rPr>
          <w:t>Editor</w:t>
        </w:r>
      </w:hyperlink>
    </w:p>
    <w:p w14:paraId="3879DBB5" w14:textId="280C7CE9" w:rsidR="00EA377A" w:rsidRPr="00EA377A" w:rsidRDefault="00EA377A" w:rsidP="00EA377A">
      <w:pPr>
        <w:jc w:val="both"/>
      </w:pPr>
      <w:r w:rsidRPr="00EA377A">
        <w:t>Esta semana las Autoridades Europeas de Supervisión (AES) publicaron sus informes finales para cerrar una investigación sobre greenwashing. Dado que la preocupación por el lavado verde crece junto con el creciente interés en las inversiones sostenibles, no sorprende que los resultados enfaticen que es necesario fortalecer la supervisión de las declaraciones ESG.</w:t>
      </w:r>
      <w:r>
        <w:t xml:space="preserve"> </w:t>
      </w:r>
      <w:r w:rsidRPr="00EA377A">
        <w:t>Los informes fueron publicados en un esfuerzo conjunto de la Autoridad Bancaria Europea (EBA), la Autoridad Europea de Seguros y Pensiones de Jubilación (EIOPA) y la Autoridad Europea de Valores y Mercados (ESMA), y subrayan la necesidad de mejorar las prácticas de mercado para que las reclamaciones relacionadas con sostenibilidad son sólidos y confiables.</w:t>
      </w:r>
    </w:p>
    <w:p w14:paraId="35EE7197" w14:textId="77777777" w:rsidR="00EA377A" w:rsidRPr="00EA377A" w:rsidRDefault="00EA377A" w:rsidP="00EA377A">
      <w:pPr>
        <w:jc w:val="both"/>
      </w:pPr>
      <w:r w:rsidRPr="00EA377A">
        <w:t>Las ESA han coordinado su enfoque para abordar el lavado verde, que implica afirmaciones, declaraciones o comunicaciones engañosas relacionadas con la sostenibilidad. Esta práctica puede engañar a los consumidores, inversores y otros participantes del mercado, socavando la confianza en las afirmaciones de sostenibilidad. Los informes destacan los esfuerzos en curso de las autoridades competentes para supervisar las afirmaciones de sostenibilidad y sugieren una estrategia prospectiva para fortalecer esta supervisión.</w:t>
      </w:r>
    </w:p>
    <w:p w14:paraId="17888899" w14:textId="77777777" w:rsidR="00EA377A" w:rsidRPr="00EA377A" w:rsidRDefault="00EA377A" w:rsidP="00EA377A">
      <w:pPr>
        <w:jc w:val="both"/>
      </w:pPr>
      <w:r w:rsidRPr="00EA377A">
        <w:t xml:space="preserve">El informe final de la EBA arroja luz sobre el considerable aumento del lavado verde en el sector bancario, revelando un aumento significativo de supuestos casos de lavado verde en todas las regiones, incluido un aumento del 26,1% en la UE en 2023. El resultado son graves riesgos para la reputación, que deben abordarse con información precisa y fiable. La EBA recomienda que las </w:t>
      </w:r>
      <w:r w:rsidRPr="00EA377A">
        <w:lastRenderedPageBreak/>
        <w:t>instituciones tomen medidas para garantizar la transparencia y precisión tanto a nivel de entidad como de producto.</w:t>
      </w:r>
    </w:p>
    <w:p w14:paraId="6BED07C8" w14:textId="77777777" w:rsidR="00EA377A" w:rsidRPr="00EA377A" w:rsidRDefault="00EA377A" w:rsidP="00EA377A">
      <w:pPr>
        <w:jc w:val="both"/>
      </w:pPr>
      <w:r w:rsidRPr="00EA377A">
        <w:t>Los informes de las ESA resaltan la necesidad de que los estándares de presentación de informes proporcionen datos ESG confiables. Subrayan la importancia del progreso hacia estándares globales e interoperables de informes de sostenibilidad. Un esfuerzo internacional de este tipo es necesario para hacer frente a los riesgos de lavado verde, garantizar la coherencia en los informes de sostenibilidad y restablecer la confianza en las afirmaciones ESG.</w:t>
      </w:r>
    </w:p>
    <w:p w14:paraId="7F507851" w14:textId="77777777" w:rsidR="00EA377A" w:rsidRPr="00EA377A" w:rsidRDefault="00EA377A" w:rsidP="00EA377A">
      <w:pPr>
        <w:jc w:val="both"/>
      </w:pPr>
      <w:r w:rsidRPr="00EA377A">
        <w:t>La presentación de informes precisos y transparentes, respaldados por marcos digitales sólidos como XBRL, es clave para mantener la confianza de los inversores y garantizar la integridad de los mercados financieros.</w:t>
      </w:r>
    </w:p>
    <w:p w14:paraId="4D24B496" w14:textId="5EDCC89D" w:rsidR="00EA377A" w:rsidRPr="00EA377A" w:rsidRDefault="00EA377A" w:rsidP="00EA377A">
      <w:pPr>
        <w:jc w:val="both"/>
      </w:pPr>
      <w:r w:rsidRPr="00EA377A">
        <w:t>Lea el</w:t>
      </w:r>
      <w:r w:rsidR="00C328F1">
        <w:t xml:space="preserve"> </w:t>
      </w:r>
      <w:hyperlink r:id="rId7" w:tgtFrame="_blank" w:history="1">
        <w:r w:rsidRPr="00EA377A">
          <w:rPr>
            <w:rStyle w:val="Hipervnculo"/>
          </w:rPr>
          <w:t>comunicado de prensa</w:t>
        </w:r>
      </w:hyperlink>
      <w:r w:rsidR="00C328F1">
        <w:t xml:space="preserve"> </w:t>
      </w:r>
      <w:r w:rsidRPr="00EA377A">
        <w:t>para más detalles.</w:t>
      </w:r>
    </w:p>
    <w:p w14:paraId="1430AD65" w14:textId="55948601" w:rsidR="00EA377A" w:rsidRPr="00EA377A" w:rsidRDefault="00B717E7" w:rsidP="00EA377A">
      <w:pPr>
        <w:jc w:val="both"/>
      </w:pPr>
      <w:hyperlink r:id="rId8" w:history="1">
        <w:r w:rsidR="00EA377A" w:rsidRPr="00EA377A">
          <w:rPr>
            <w:rStyle w:val="Hipervnculo"/>
          </w:rPr>
          <w:t>Lavado verde</w:t>
        </w:r>
        <w:r w:rsidR="00C328F1">
          <w:rPr>
            <w:rStyle w:val="Hipervnculo"/>
          </w:rPr>
          <w:t xml:space="preserve"> </w:t>
        </w:r>
      </w:hyperlink>
      <w:hyperlink r:id="rId9" w:history="1">
        <w:r w:rsidR="00EA377A" w:rsidRPr="00EA377A">
          <w:rPr>
            <w:rStyle w:val="Hipervnculo"/>
          </w:rPr>
          <w:t>de ESAS</w:t>
        </w:r>
        <w:r w:rsidR="00C328F1">
          <w:rPr>
            <w:rStyle w:val="Hipervnculo"/>
          </w:rPr>
          <w:t xml:space="preserve"> </w:t>
        </w:r>
      </w:hyperlink>
      <w:hyperlink r:id="rId10" w:history="1">
        <w:r w:rsidR="00EA377A" w:rsidRPr="00EA377A">
          <w:rPr>
            <w:rStyle w:val="Hipervnculo"/>
          </w:rPr>
          <w:t>ESG</w:t>
        </w:r>
      </w:hyperlink>
    </w:p>
    <w:p w14:paraId="424276D9" w14:textId="542EE013" w:rsidR="00B10892" w:rsidRDefault="00B10892" w:rsidP="00EA377A">
      <w:pPr>
        <w:jc w:val="both"/>
      </w:pPr>
    </w:p>
    <w:p w14:paraId="255727CC" w14:textId="1B9E905B" w:rsidR="00EA377A" w:rsidRDefault="00EA377A" w:rsidP="00EA377A">
      <w:pPr>
        <w:jc w:val="both"/>
      </w:pPr>
    </w:p>
    <w:p w14:paraId="2D14C555" w14:textId="10E3124B" w:rsidR="00EA377A" w:rsidRDefault="00EA377A" w:rsidP="00EA377A">
      <w:pPr>
        <w:jc w:val="both"/>
      </w:pPr>
    </w:p>
    <w:p w14:paraId="72417480" w14:textId="541F479D" w:rsidR="00EA377A" w:rsidRDefault="00EA377A" w:rsidP="00EA377A">
      <w:pPr>
        <w:jc w:val="both"/>
      </w:pPr>
    </w:p>
    <w:p w14:paraId="4F0B2847" w14:textId="7A150840" w:rsidR="00EA377A" w:rsidRDefault="00EA377A" w:rsidP="00EA377A">
      <w:pPr>
        <w:jc w:val="both"/>
      </w:pPr>
    </w:p>
    <w:p w14:paraId="13EA8500" w14:textId="26FD0D52" w:rsidR="00EA377A" w:rsidRDefault="00EA377A" w:rsidP="00EA377A">
      <w:pPr>
        <w:jc w:val="both"/>
      </w:pPr>
    </w:p>
    <w:p w14:paraId="54F4BEBB" w14:textId="4C45F1C3" w:rsidR="00EA377A" w:rsidRDefault="00EA377A" w:rsidP="00EA377A">
      <w:pPr>
        <w:jc w:val="both"/>
      </w:pPr>
    </w:p>
    <w:p w14:paraId="325899E9" w14:textId="0C1551D8" w:rsidR="00EA377A" w:rsidRDefault="00EA377A" w:rsidP="00EA377A">
      <w:pPr>
        <w:jc w:val="both"/>
      </w:pPr>
    </w:p>
    <w:p w14:paraId="28F188E9" w14:textId="551E2A62" w:rsidR="00EA377A" w:rsidRDefault="00EA377A" w:rsidP="00EA377A">
      <w:pPr>
        <w:jc w:val="both"/>
      </w:pPr>
    </w:p>
    <w:p w14:paraId="014CE658" w14:textId="7E2D714B" w:rsidR="00EA377A" w:rsidRDefault="00EA377A" w:rsidP="00EA377A">
      <w:pPr>
        <w:jc w:val="both"/>
      </w:pPr>
    </w:p>
    <w:p w14:paraId="30603459" w14:textId="75C50123" w:rsidR="00EA377A" w:rsidRDefault="00EA377A" w:rsidP="00EA377A">
      <w:pPr>
        <w:jc w:val="both"/>
      </w:pPr>
    </w:p>
    <w:p w14:paraId="21C98E82" w14:textId="77777777" w:rsidR="00EA377A" w:rsidRDefault="00EA377A" w:rsidP="00EA377A">
      <w:pPr>
        <w:jc w:val="both"/>
      </w:pPr>
    </w:p>
    <w:p w14:paraId="041BC841" w14:textId="0D2078D9" w:rsidR="00EA377A" w:rsidRDefault="00EA377A"/>
    <w:p w14:paraId="31C8C4FF" w14:textId="7E3A2BE5" w:rsidR="00EA377A" w:rsidRDefault="00EA377A"/>
    <w:p w14:paraId="18B2F86A" w14:textId="24F0B6AD" w:rsidR="00EA377A" w:rsidRDefault="00EA377A"/>
    <w:p w14:paraId="419CDF38" w14:textId="3A2C2F0D" w:rsidR="00EA377A" w:rsidRDefault="00EA377A"/>
    <w:p w14:paraId="4C15D90B" w14:textId="7D34543B" w:rsidR="00EA377A" w:rsidRDefault="00EA377A"/>
    <w:p w14:paraId="5B906873" w14:textId="64E835F4" w:rsidR="00EA377A" w:rsidRDefault="00EA377A"/>
    <w:p w14:paraId="3B6AB5F8" w14:textId="77777777" w:rsidR="00B717E7" w:rsidRDefault="00B717E7"/>
    <w:p w14:paraId="38B661C2" w14:textId="4323F31F" w:rsidR="00EA377A" w:rsidRDefault="00EA377A">
      <w:r w:rsidRPr="00EA377A">
        <w:rPr>
          <w:noProof/>
        </w:rPr>
        <w:lastRenderedPageBreak/>
        <w:drawing>
          <wp:inline distT="0" distB="0" distL="0" distR="0" wp14:anchorId="5532D35D" wp14:editId="71F1683C">
            <wp:extent cx="5612130" cy="5784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78485"/>
                    </a:xfrm>
                    <a:prstGeom prst="rect">
                      <a:avLst/>
                    </a:prstGeom>
                  </pic:spPr>
                </pic:pic>
              </a:graphicData>
            </a:graphic>
          </wp:inline>
        </w:drawing>
      </w:r>
    </w:p>
    <w:p w14:paraId="520CB580" w14:textId="77777777" w:rsidR="00EA377A" w:rsidRPr="00EA377A" w:rsidRDefault="00EA377A" w:rsidP="00EA377A">
      <w:pPr>
        <w:jc w:val="both"/>
        <w:rPr>
          <w:b/>
          <w:bCs/>
        </w:rPr>
      </w:pPr>
      <w:r w:rsidRPr="00EA377A">
        <w:rPr>
          <w:b/>
          <w:bCs/>
        </w:rPr>
        <w:t>Las ESA piden una mayor supervisión y mejores prácticas de mercado en materia de afirmaciones relacionadas con la sostenibilidad</w:t>
      </w:r>
    </w:p>
    <w:p w14:paraId="4C9BD9D3" w14:textId="77777777" w:rsidR="00EA377A" w:rsidRPr="00EA377A" w:rsidRDefault="00EA377A" w:rsidP="00C328F1">
      <w:pPr>
        <w:numPr>
          <w:ilvl w:val="0"/>
          <w:numId w:val="3"/>
        </w:numPr>
        <w:spacing w:after="0"/>
        <w:jc w:val="both"/>
      </w:pPr>
      <w:r w:rsidRPr="00EA377A">
        <w:rPr>
          <w:b/>
          <w:bCs/>
        </w:rPr>
        <w:t>Presione soltar</w:t>
      </w:r>
    </w:p>
    <w:p w14:paraId="120043D4" w14:textId="77777777" w:rsidR="00EA377A" w:rsidRPr="00EA377A" w:rsidRDefault="00EA377A" w:rsidP="00EA377A">
      <w:pPr>
        <w:numPr>
          <w:ilvl w:val="0"/>
          <w:numId w:val="3"/>
        </w:numPr>
        <w:jc w:val="both"/>
      </w:pPr>
      <w:r w:rsidRPr="00EA377A">
        <w:rPr>
          <w:b/>
          <w:bCs/>
        </w:rPr>
        <w:t>4 de junio de 2024</w:t>
      </w:r>
    </w:p>
    <w:p w14:paraId="2F36DD21" w14:textId="3D578964" w:rsidR="00EA377A" w:rsidRPr="00EA377A" w:rsidRDefault="00EA377A" w:rsidP="00EA377A">
      <w:pPr>
        <w:jc w:val="both"/>
      </w:pPr>
      <w:r w:rsidRPr="00EA377A">
        <w:t>Ver</w:t>
      </w:r>
      <w:r w:rsidR="00B717E7">
        <w:t xml:space="preserve"> </w:t>
      </w:r>
      <w:r w:rsidRPr="00EA377A">
        <w:t>informes</w:t>
      </w:r>
      <w:r w:rsidR="00C328F1">
        <w:t xml:space="preserve"> </w:t>
      </w:r>
      <w:hyperlink r:id="rId12" w:history="1">
        <w:r w:rsidRPr="00EA377A">
          <w:rPr>
            <w:rStyle w:val="Hipervnculo"/>
          </w:rPr>
          <w:t>de ESMA</w:t>
        </w:r>
      </w:hyperlink>
      <w:r w:rsidRPr="00EA377A">
        <w:t>,</w:t>
      </w:r>
      <w:r w:rsidR="00C328F1">
        <w:t xml:space="preserve"> </w:t>
      </w:r>
      <w:hyperlink r:id="rId13" w:history="1">
        <w:r w:rsidRPr="00EA377A">
          <w:rPr>
            <w:rStyle w:val="Hipervnculo"/>
          </w:rPr>
          <w:t>EBA</w:t>
        </w:r>
      </w:hyperlink>
      <w:r w:rsidR="00C328F1">
        <w:t xml:space="preserve"> </w:t>
      </w:r>
      <w:r w:rsidRPr="00EA377A">
        <w:t>y</w:t>
      </w:r>
      <w:r w:rsidR="00C328F1">
        <w:t xml:space="preserve"> </w:t>
      </w:r>
      <w:hyperlink r:id="rId14" w:history="1">
        <w:r w:rsidRPr="00EA377A">
          <w:rPr>
            <w:rStyle w:val="Hipervnculo"/>
          </w:rPr>
          <w:t>EIOPA</w:t>
        </w:r>
      </w:hyperlink>
    </w:p>
    <w:p w14:paraId="66CE0EE8" w14:textId="77777777" w:rsidR="00EA377A" w:rsidRPr="00EA377A" w:rsidRDefault="00EA377A" w:rsidP="00EA377A">
      <w:pPr>
        <w:jc w:val="both"/>
      </w:pPr>
      <w:r w:rsidRPr="00EA377A">
        <w:rPr>
          <w:b/>
          <w:bCs/>
        </w:rPr>
        <w:t>Las Autoridades Europeas de Supervisión (EBA, EIOPA y ESMA – ESA) publicaron hoy sus informes finales sobre el lavado verde en el sector financiero.</w:t>
      </w:r>
    </w:p>
    <w:p w14:paraId="0A1EC4E8" w14:textId="77777777" w:rsidR="00EA377A" w:rsidRPr="00EA377A" w:rsidRDefault="00EA377A" w:rsidP="00EA377A">
      <w:pPr>
        <w:jc w:val="both"/>
        <w:rPr>
          <w:b/>
          <w:bCs/>
        </w:rPr>
      </w:pPr>
      <w:r w:rsidRPr="00EA377A">
        <w:rPr>
          <w:b/>
          <w:bCs/>
        </w:rPr>
        <w:t>Enfoque coordinado de la ESA sobre los riesgos de lavado verde</w:t>
      </w:r>
    </w:p>
    <w:p w14:paraId="5974BDF7" w14:textId="77777777" w:rsidR="00EA377A" w:rsidRPr="00EA377A" w:rsidRDefault="00EA377A" w:rsidP="00EA377A">
      <w:pPr>
        <w:jc w:val="both"/>
      </w:pPr>
      <w:r w:rsidRPr="00EA377A">
        <w:t>En sus respectivos informes, las ESA reiteran su comprensión común de alto nivel del lavado verde como una práctica mediante la cual declaraciones, acciones o comunicaciones relacionadas con la sostenibilidad no reflejan clara y justamente el perfil de sostenibilidad subyacente de una entidad, un producto financiero o una entidad financiera. servicios. Esta práctica puede resultar engañosa para los consumidores, inversores u otros participantes del mercado. Las ESA subrayan una vez más que los actores del mercado financiero tienen la responsabilidad de proporcionar información sobre sostenibilidad que sea justa, clara y no engañosa.</w:t>
      </w:r>
    </w:p>
    <w:p w14:paraId="6EA883B8" w14:textId="1591A0C8" w:rsidR="00EA377A" w:rsidRPr="00EA377A" w:rsidRDefault="00EA377A" w:rsidP="00EA377A">
      <w:pPr>
        <w:jc w:val="both"/>
      </w:pPr>
      <w:r w:rsidRPr="00EA377A">
        <w:t>Cada ESA proporciona un balance de la respuesta supervisora actual a los riesgos de lavado verde bajo su competencia y señala que las autoridades competentes (AC) ya están tomando medidas en el área de supervisión de declaraciones relacionadas con la sostenibilidad. Además, las ESA ofrecen una visión prospectiva de cómo se puede mejorar gradualmente la supervisión relacionada con la sostenibilidad en los próximos años.</w:t>
      </w:r>
    </w:p>
    <w:p w14:paraId="51D225A0" w14:textId="77777777" w:rsidR="00EA377A" w:rsidRPr="00EA377A" w:rsidRDefault="00EA377A" w:rsidP="00EA377A">
      <w:pPr>
        <w:jc w:val="both"/>
      </w:pPr>
      <w:r w:rsidRPr="00EA377A">
        <w:t>Si bien los informes de las ESA se centran en el sector financiero de la UE, reconocen que abordar el lavado verde requiere una respuesta global, que implique una estrecha cooperación entre los supervisores financieros y el desarrollo de estándares interoperables para la divulgación de información sobre sostenibilidad.</w:t>
      </w:r>
    </w:p>
    <w:p w14:paraId="05FA47AA" w14:textId="77777777" w:rsidR="00EA377A" w:rsidRPr="00EA377A" w:rsidRDefault="00EA377A" w:rsidP="00EA377A">
      <w:pPr>
        <w:jc w:val="both"/>
        <w:rPr>
          <w:b/>
          <w:bCs/>
        </w:rPr>
      </w:pPr>
      <w:r w:rsidRPr="00EA377A">
        <w:rPr>
          <w:b/>
          <w:bCs/>
        </w:rPr>
        <w:t>Aspectos destacados del informe final de la EBA</w:t>
      </w:r>
    </w:p>
    <w:p w14:paraId="6D9C04BE" w14:textId="77777777" w:rsidR="00EA377A" w:rsidRPr="00EA377A" w:rsidRDefault="00EA377A" w:rsidP="00EA377A">
      <w:pPr>
        <w:jc w:val="both"/>
      </w:pPr>
      <w:r w:rsidRPr="00EA377A">
        <w:t>El Informe final de la EBA ofrece una visión general del riesgo de lavado verde en el sector bancario y su impacto en los bancos, las empresas de inversión y los proveedores de servicios de pago, centrándose en los cambios ocurridos durante el último año. También proporciona recomendaciones a instituciones, supervisores y formuladores de políticas.</w:t>
      </w:r>
    </w:p>
    <w:p w14:paraId="156EF1E0" w14:textId="77777777" w:rsidR="00EA377A" w:rsidRPr="00EA377A" w:rsidRDefault="00EA377A" w:rsidP="00EA377A">
      <w:pPr>
        <w:jc w:val="both"/>
      </w:pPr>
      <w:r w:rsidRPr="00EA377A">
        <w:t>El resultado del análisis cuantitativo del lavado verde muestra un claro aumento de esta tendencia en todos los sectores, incluidos los bancos de la UE. El número total de presuntos casos siguió aumentando en 2023 (+21,1% en todas las regiones y +26,1% en la UE en comparación con 2022).</w:t>
      </w:r>
    </w:p>
    <w:p w14:paraId="5C41D3CC" w14:textId="77777777" w:rsidR="00EA377A" w:rsidRPr="00EA377A" w:rsidRDefault="00EA377A" w:rsidP="00EA377A">
      <w:pPr>
        <w:jc w:val="both"/>
      </w:pPr>
      <w:r w:rsidRPr="00EA377A">
        <w:t xml:space="preserve">El Informe final investiga los presuntos casos de greenwashing reales y potenciales informados por las autoridades competentes y proporciona actualizaciones sobre el impacto adverso que el greenwashing puede tener en las instituciones y los consumidores. Los riesgos reputacionales y </w:t>
      </w:r>
      <w:r w:rsidRPr="00EA377A">
        <w:lastRenderedPageBreak/>
        <w:t>operativos siguen siendo considerados los más afectados por el lavado verde. Esto está en consonancia con la observación de que el riesgo de litigios resultantes del lavado verde ha tenido una tendencia creciente en los últimos años.</w:t>
      </w:r>
    </w:p>
    <w:p w14:paraId="64672681" w14:textId="77777777" w:rsidR="00EA377A" w:rsidRPr="00EA377A" w:rsidRDefault="00EA377A" w:rsidP="00EA377A">
      <w:pPr>
        <w:jc w:val="both"/>
      </w:pPr>
      <w:r w:rsidRPr="00EA377A">
        <w:t>A medida que las instituciones amplían su oferta de productos financieros sostenibles y adaptan sus modelos de negocio para afrontar los desafíos relacionados con la transición hacia una economía más sostenible, abordar el lavado verde es clave para generar confianza en el mercado y mantener la confianza de los inversores y consumidores.</w:t>
      </w:r>
    </w:p>
    <w:p w14:paraId="643D0431" w14:textId="77777777" w:rsidR="00EA377A" w:rsidRPr="00EA377A" w:rsidRDefault="00EA377A" w:rsidP="00EA377A">
      <w:pPr>
        <w:jc w:val="both"/>
      </w:pPr>
      <w:r w:rsidRPr="00EA377A">
        <w:t>A nivel legislativo y regulatorio, la EBA considera que el marco existente ya proporciona bases clave para abordar el lavado verde en el sector bancario. Por lo tanto, en el corto plazo, se debe dar prioridad a finalizar las iniciativas existentes y planificadas, y a apoyar una implementación sólida del conjunto completo de nuevas regulaciones. Se deben proseguir los esfuerzos para abordar los desafíos relacionados con los datos, la usabilidad, la coherencia y la interoperabilidad internacional.</w:t>
      </w:r>
    </w:p>
    <w:p w14:paraId="13D6CA22" w14:textId="77777777" w:rsidR="00EA377A" w:rsidRPr="00EA377A" w:rsidRDefault="00EA377A" w:rsidP="00EA377A">
      <w:pPr>
        <w:jc w:val="both"/>
      </w:pPr>
      <w:r w:rsidRPr="00EA377A">
        <w:t>La EBA recomienda que las instituciones tomen una serie de medidas tanto a nivel de entidad como de producto para garantizar que las afirmaciones de sostenibilidad sean precisas, fundamentadas y estén actualizadas, que representen de manera justa el perfil general de la institución o el perfil del producto, y que sean presentado de manera comprensible.</w:t>
      </w:r>
    </w:p>
    <w:p w14:paraId="32153745" w14:textId="77777777" w:rsidR="00EA377A" w:rsidRPr="00EA377A" w:rsidRDefault="00EA377A" w:rsidP="00EA377A">
      <w:pPr>
        <w:jc w:val="both"/>
      </w:pPr>
      <w:r w:rsidRPr="00EA377A">
        <w:t>La EBA recomienda que las autoridades competentes prosigan sus esfuerzos y actividades planificados y en curso para identificar y monitorear el riesgo de lavado verde dentro del ámbito de su respectiva supervisión prudencial y/o mandato de supervisión de conducta.</w:t>
      </w:r>
    </w:p>
    <w:p w14:paraId="72F61F64" w14:textId="77777777" w:rsidR="00EA377A" w:rsidRPr="00EA377A" w:rsidRDefault="00EA377A" w:rsidP="00C328F1">
      <w:pPr>
        <w:spacing w:after="0"/>
        <w:jc w:val="both"/>
        <w:rPr>
          <w:b/>
          <w:bCs/>
        </w:rPr>
      </w:pPr>
      <w:r w:rsidRPr="00EA377A">
        <w:rPr>
          <w:b/>
          <w:bCs/>
        </w:rPr>
        <w:t>Nota para los editores</w:t>
      </w:r>
    </w:p>
    <w:p w14:paraId="671F2A8C" w14:textId="77777777" w:rsidR="00EA377A" w:rsidRPr="00EA377A" w:rsidRDefault="00B717E7" w:rsidP="00EA377A">
      <w:pPr>
        <w:numPr>
          <w:ilvl w:val="0"/>
          <w:numId w:val="4"/>
        </w:numPr>
        <w:jc w:val="both"/>
      </w:pPr>
      <w:hyperlink r:id="rId15" w:history="1">
        <w:r w:rsidR="00EA377A" w:rsidRPr="00EA377A">
          <w:rPr>
            <w:rStyle w:val="Hipervnculo"/>
          </w:rPr>
          <w:t>ESMA36-287652198-2699 Informe final de ESMA sobre lavado verde – Respuesta a la solicitud de la Comisión Europea de aportaciones sobre “los riesgos de lavado verde y la supervisión de las políticas financieras sostenibles”</w:t>
        </w:r>
      </w:hyperlink>
    </w:p>
    <w:p w14:paraId="31B03A5E" w14:textId="77777777" w:rsidR="00EA377A" w:rsidRPr="00EA377A" w:rsidRDefault="00B717E7" w:rsidP="00EA377A">
      <w:pPr>
        <w:numPr>
          <w:ilvl w:val="0"/>
          <w:numId w:val="4"/>
        </w:numPr>
        <w:jc w:val="both"/>
      </w:pPr>
      <w:hyperlink r:id="rId16" w:history="1">
        <w:r w:rsidR="00EA377A" w:rsidRPr="00EA377A">
          <w:rPr>
            <w:rStyle w:val="Hipervnculo"/>
          </w:rPr>
          <w:t>Informe final de la EBA sobre el lavado verde</w:t>
        </w:r>
      </w:hyperlink>
    </w:p>
    <w:p w14:paraId="50BBE524" w14:textId="77777777" w:rsidR="00EA377A" w:rsidRPr="00EA377A" w:rsidRDefault="00B717E7" w:rsidP="00EA377A">
      <w:pPr>
        <w:numPr>
          <w:ilvl w:val="0"/>
          <w:numId w:val="4"/>
        </w:numPr>
        <w:jc w:val="both"/>
      </w:pPr>
      <w:hyperlink r:id="rId17" w:history="1">
        <w:r w:rsidR="00EA377A" w:rsidRPr="00EA377A">
          <w:rPr>
            <w:rStyle w:val="Hipervnculo"/>
          </w:rPr>
          <w:t>Informe final de EIOPA sobre lavado verde</w:t>
        </w:r>
      </w:hyperlink>
    </w:p>
    <w:p w14:paraId="53526A5F" w14:textId="769EF580" w:rsidR="00EA377A" w:rsidRPr="00EA377A" w:rsidRDefault="00EA377A" w:rsidP="00EA377A">
      <w:pPr>
        <w:numPr>
          <w:ilvl w:val="0"/>
          <w:numId w:val="4"/>
        </w:numPr>
        <w:jc w:val="both"/>
      </w:pPr>
      <w:r w:rsidRPr="00EA377A">
        <w:t>Los informes de progreso del año pasado fueron una respuesta inicial a la</w:t>
      </w:r>
      <w:r w:rsidR="00C328F1">
        <w:t xml:space="preserve"> </w:t>
      </w:r>
      <w:hyperlink r:id="rId18" w:history="1">
        <w:r w:rsidRPr="00EA377A">
          <w:rPr>
            <w:rStyle w:val="Hipervnculo"/>
          </w:rPr>
          <w:t>solicitud de aportaciones relacionadas con los riesgos de lavado verde y la supervisión de las políticas financieras sostenibles</w:t>
        </w:r>
      </w:hyperlink>
      <w:r w:rsidR="00C328F1">
        <w:t xml:space="preserve"> </w:t>
      </w:r>
      <w:r w:rsidRPr="00EA377A">
        <w:t>enviada por la Comisión Europea a las tres ESA. El Informe de Progreso de la ESMA publicado el 1 de junio de 2023 contenía la comprensión común de alto nivel de las ESA sobre el lavado verde e identificó áreas más expuestas a riesgos de lavado verde en toda la Cadena de Valor de Inversión Sostenible y los impulsores de los riesgos de lavado verde.</w:t>
      </w:r>
    </w:p>
    <w:p w14:paraId="1BC7A59E" w14:textId="77777777" w:rsidR="00EA377A" w:rsidRPr="00EA377A" w:rsidRDefault="00EA377A" w:rsidP="00C328F1">
      <w:pPr>
        <w:spacing w:after="0"/>
        <w:jc w:val="both"/>
        <w:rPr>
          <w:b/>
          <w:bCs/>
        </w:rPr>
      </w:pPr>
      <w:r w:rsidRPr="00EA377A">
        <w:rPr>
          <w:b/>
          <w:bCs/>
        </w:rPr>
        <w:t>Documentos</w:t>
      </w:r>
    </w:p>
    <w:p w14:paraId="55294F7A" w14:textId="77777777" w:rsidR="00EA377A" w:rsidRPr="00EA377A" w:rsidRDefault="00EA377A" w:rsidP="00C328F1">
      <w:pPr>
        <w:spacing w:after="0"/>
        <w:jc w:val="both"/>
        <w:rPr>
          <w:b/>
          <w:bCs/>
        </w:rPr>
      </w:pPr>
      <w:r w:rsidRPr="00EA377A">
        <w:rPr>
          <w:b/>
          <w:bCs/>
        </w:rPr>
        <w:t>Informe sobre seguimiento y supervisión del greenwashing</w:t>
      </w:r>
    </w:p>
    <w:p w14:paraId="2CDAD430" w14:textId="77777777" w:rsidR="00EA377A" w:rsidRPr="00EA377A" w:rsidRDefault="00EA377A" w:rsidP="00C328F1">
      <w:pPr>
        <w:spacing w:after="0"/>
        <w:jc w:val="both"/>
      </w:pPr>
      <w:r w:rsidRPr="00EA377A">
        <w:t>(1,1 MB-PDF)</w:t>
      </w:r>
    </w:p>
    <w:p w14:paraId="620AF93F" w14:textId="77777777" w:rsidR="00EA377A" w:rsidRPr="00EA377A" w:rsidRDefault="00B717E7" w:rsidP="00C328F1">
      <w:pPr>
        <w:spacing w:after="0"/>
        <w:jc w:val="both"/>
      </w:pPr>
      <w:hyperlink r:id="rId19" w:history="1">
        <w:r w:rsidR="00EA377A" w:rsidRPr="00EA377A">
          <w:rPr>
            <w:rStyle w:val="Hipervnculo"/>
          </w:rPr>
          <w:t>Descargar</w:t>
        </w:r>
      </w:hyperlink>
    </w:p>
    <w:p w14:paraId="5A08CE7C" w14:textId="77777777" w:rsidR="00EA377A" w:rsidRPr="00EA377A" w:rsidRDefault="00EA377A" w:rsidP="00C328F1">
      <w:pPr>
        <w:spacing w:after="0"/>
        <w:jc w:val="both"/>
        <w:rPr>
          <w:b/>
          <w:bCs/>
        </w:rPr>
      </w:pPr>
      <w:r w:rsidRPr="00EA377A">
        <w:rPr>
          <w:b/>
          <w:bCs/>
        </w:rPr>
        <w:t>Contenido relacionado</w:t>
      </w:r>
    </w:p>
    <w:p w14:paraId="0634E461" w14:textId="77777777" w:rsidR="00EA377A" w:rsidRPr="00EA377A" w:rsidRDefault="00B717E7" w:rsidP="00EA377A">
      <w:pPr>
        <w:jc w:val="both"/>
        <w:rPr>
          <w:b/>
          <w:bCs/>
        </w:rPr>
      </w:pPr>
      <w:hyperlink r:id="rId20" w:history="1">
        <w:r w:rsidR="00EA377A" w:rsidRPr="00EA377A">
          <w:rPr>
            <w:rStyle w:val="Hipervnculo"/>
            <w:b/>
            <w:bCs/>
          </w:rPr>
          <w:t>Finanzas sostenibles</w:t>
        </w:r>
      </w:hyperlink>
    </w:p>
    <w:p w14:paraId="047F51E7" w14:textId="41B0FE63" w:rsidR="00EA377A" w:rsidRDefault="00EA377A" w:rsidP="00EA377A">
      <w:pPr>
        <w:jc w:val="both"/>
      </w:pPr>
    </w:p>
    <w:p w14:paraId="3E1C041E" w14:textId="155D3F1A" w:rsidR="00C328F1" w:rsidRDefault="00C328F1" w:rsidP="00EA377A">
      <w:pPr>
        <w:jc w:val="both"/>
      </w:pPr>
      <w:r w:rsidRPr="00C328F1">
        <w:rPr>
          <w:noProof/>
        </w:rPr>
        <w:lastRenderedPageBreak/>
        <w:drawing>
          <wp:inline distT="0" distB="0" distL="0" distR="0" wp14:anchorId="29232F3F" wp14:editId="45D8485F">
            <wp:extent cx="4582164" cy="6544588"/>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82164" cy="6544588"/>
                    </a:xfrm>
                    <a:prstGeom prst="rect">
                      <a:avLst/>
                    </a:prstGeom>
                  </pic:spPr>
                </pic:pic>
              </a:graphicData>
            </a:graphic>
          </wp:inline>
        </w:drawing>
      </w:r>
    </w:p>
    <w:p w14:paraId="4595C2BC" w14:textId="77777777" w:rsidR="001E2974" w:rsidRPr="00404A35" w:rsidRDefault="001E2974" w:rsidP="00502985">
      <w:pPr>
        <w:jc w:val="both"/>
        <w:rPr>
          <w:sz w:val="32"/>
          <w:szCs w:val="32"/>
        </w:rPr>
      </w:pPr>
      <w:r w:rsidRPr="00404A35">
        <w:rPr>
          <w:sz w:val="32"/>
          <w:szCs w:val="32"/>
        </w:rPr>
        <w:t>Resumen ejecutivo</w:t>
      </w:r>
    </w:p>
    <w:p w14:paraId="1D5C8801" w14:textId="4F9E1B50" w:rsidR="001E2974" w:rsidRPr="001E2974" w:rsidRDefault="001E2974" w:rsidP="00502985">
      <w:pPr>
        <w:jc w:val="both"/>
      </w:pPr>
      <w:r w:rsidRPr="00C328F1">
        <w:t>1.</w:t>
      </w:r>
      <w:r w:rsidR="00404A35">
        <w:tab/>
      </w:r>
      <w:r w:rsidRPr="00C328F1">
        <w:t xml:space="preserve">Sobre la base de las crecientes expectativas de que los supervisores intensifiquen la protección de los inversores y la integridad del mercado frente a los riesgos de blanqueo ecológico, los reguladores de los mercados financieros de la UE están adoptando medidas para mantener un entorno de confianza para las inversiones sostenibles. En mayo de 2022, la Comisión Europea (CE) envió una solicitud a las tres Autoridades Europeas de Supervisión (AES) para que elaboraran un informe de situación y un informe final en los que ofreciera asesoramiento sobre los riesgos del </w:t>
      </w:r>
      <w:r w:rsidRPr="00C328F1">
        <w:lastRenderedPageBreak/>
        <w:t>blanqueo ecológico y la supervisión relacionada con la sostenibilidad. En junio de 2023, la AEVM publicó el informe de situación en el que se presentaba la comprensión común de alto nivel de la ESA de las zonas más expuestas a los riesgos de blanqueo ecológico en toda la cadena de valor de la inversión sostenible (SIVC) y la cartografía de las mismas.</w:t>
      </w:r>
    </w:p>
    <w:p w14:paraId="785CBB1D" w14:textId="03425528" w:rsidR="001E2974" w:rsidRPr="001E2974" w:rsidRDefault="001E2974" w:rsidP="00DA320D">
      <w:pPr>
        <w:jc w:val="both"/>
      </w:pPr>
      <w:r>
        <w:t>2.</w:t>
      </w:r>
      <w:r w:rsidR="00404A35">
        <w:tab/>
      </w:r>
      <w:r>
        <w:t>Sobre la base de las conclusiones del informe de situación y en respuesta a la parte restante de la solicitud de la CE, el informe final investiga el papel de la supervisión en la mitigación de los riesgos de blanqueo ecológico. En él se hace balance de la actual respuesta supervisora, sobre la base de una encuesta realizada a las autoridades nacionales competentes (ANC) y se basa en las conclusiones preliminares de las actividades de supervisión en curso coordinadas por la AEVM.</w:t>
      </w:r>
    </w:p>
    <w:p w14:paraId="188333F6" w14:textId="3BCA6A3D" w:rsidR="001E2974" w:rsidRPr="001E2974" w:rsidRDefault="001E2974" w:rsidP="00DA320D">
      <w:pPr>
        <w:jc w:val="both"/>
      </w:pPr>
      <w:r>
        <w:t>3.</w:t>
      </w:r>
      <w:r w:rsidR="00404A35">
        <w:tab/>
      </w:r>
      <w:r>
        <w:t>El informe final también ofrece una visión prospectiva de cómo podría mejorarse gradualmente la supervisión en los próximos años, un camino a través del cual las ANC también deberían lograr la convergencia supervisora. Se espera que la capacidad de los supervisores para impugnar las afirmaciones relacionadas con la sostenibilidad crezca en los próximos años a medida que se profundice su experiencia. El informe final identifica una serie de medidas que las ANC, la AEVM y la CE deben considerar para mejorar la supervisión en los sectores clave de la SIVC: emisores, gestores de inversiones, proveedores de servicios de inversión y administradores de índices de referencia.</w:t>
      </w:r>
    </w:p>
    <w:p w14:paraId="2C218602" w14:textId="2A301CBD" w:rsidR="001E2974" w:rsidRPr="001E2974" w:rsidRDefault="001E2974" w:rsidP="006C7F46">
      <w:pPr>
        <w:jc w:val="both"/>
      </w:pPr>
      <w:r>
        <w:t>4.</w:t>
      </w:r>
      <w:r w:rsidR="00404A35">
        <w:tab/>
      </w:r>
      <w:r>
        <w:t>De ahí surgieron varias conclusiones clave:</w:t>
      </w:r>
    </w:p>
    <w:p w14:paraId="1D1EB818" w14:textId="77777777" w:rsidR="001E2974" w:rsidRPr="001E2974" w:rsidRDefault="001E2974" w:rsidP="006C7F46">
      <w:pPr>
        <w:jc w:val="both"/>
      </w:pPr>
      <w:r w:rsidRPr="00C328F1">
        <w:t>• Las ANC ya están tomando medidas para priorizar la supervisión de las declaraciones relacionadas con la sostenibilidad, realizando un escrutinio crítico de la documentación y ejerciendo un juicio profesional. En general, la supervisión de las reclamaciones relacionadas con la sostenibilidad complementa la supervisión proporcionada a otros componentes clave de la SIVC. De hecho, la gobernanza interna de las entidades supervisadas y, en su caso, de los proveedores externos de servicios de verificación desempeñan un papel importante a la hora de garantizar el cumplimiento de los requisitos pertinentes. A continuación, en la secuencia de supervisión, las ANC no están obligadas a "rehacer" el trabajo realizado por estas entidades, pero tienen la amplia responsabilidad de proteger a los inversores y determinar la correcta aplicación de una serie de requisitos relacionados con la sostenibilidad.</w:t>
      </w:r>
    </w:p>
    <w:p w14:paraId="3E89417E" w14:textId="77777777" w:rsidR="001E2974" w:rsidRPr="001E2974" w:rsidRDefault="001E2974" w:rsidP="006C7F46">
      <w:pPr>
        <w:jc w:val="both"/>
      </w:pPr>
      <w:r w:rsidRPr="00C328F1">
        <w:t>• Las ANC y la AEVM han aplicado un enfoque de supervisión basado en el riesgo, centrando su atención y recursos supervisores en los riesgos más significativos.</w:t>
      </w:r>
    </w:p>
    <w:p w14:paraId="32A25145" w14:textId="77777777" w:rsidR="001E2974" w:rsidRPr="001E2974" w:rsidRDefault="001E2974" w:rsidP="006C7F46">
      <w:pPr>
        <w:jc w:val="both"/>
      </w:pPr>
      <w:r w:rsidRPr="00C328F1">
        <w:t xml:space="preserve">• Las ANC pueden aprovechar su mandato de proteger a los inversores y las disposiciones vigentes en el marco regulador de la UE para la supervisión y el cumplimiento relacionados con la sostenibilidad2. Como tipo de falta de comunicación o mala conducta, el lavado verde puede ser capturado por las normas vigentes de la UE que prohíben la información engañosa. El greenwashing también puede abordarse actuando en relación con las infracciones de una serie de requisitos específicos relacionados con la sostenibilidad introducidos en la UE en los últimos años. </w:t>
      </w:r>
    </w:p>
    <w:p w14:paraId="5653D7F3" w14:textId="77777777" w:rsidR="001E2974" w:rsidRPr="001E2974" w:rsidRDefault="001E2974" w:rsidP="001469E5">
      <w:pPr>
        <w:jc w:val="both"/>
      </w:pPr>
      <w:r w:rsidRPr="00C328F1">
        <w:t xml:space="preserve">• Hasta ahora, las ANC han informado de que solo han detectado un número limitado de casos reales o potenciales de blanqueo verde. Esto puede deberse a múltiples factores, como el bajo nivel de señales (por ejemplo, denuncias) que llegan a las ANC, los conocimientos financieros limitados, las limitaciones de los recursos y la experiencia de las ANC para la detección, y las dificultades de las ANC para acceder a datos de buena calidad. Por lo que se refiere a la detección de casos reales, </w:t>
      </w:r>
      <w:r w:rsidRPr="00C328F1">
        <w:lastRenderedPageBreak/>
        <w:t>puede reflejar en cierta medida los primeros éxitos de las ANC en la prevención del blanqueo ecológico en determinadas zonas.</w:t>
      </w:r>
    </w:p>
    <w:p w14:paraId="699064A9" w14:textId="77777777" w:rsidR="001E2974" w:rsidRPr="001E2974" w:rsidRDefault="001E2974" w:rsidP="001469E5">
      <w:pPr>
        <w:jc w:val="both"/>
      </w:pPr>
      <w:r w:rsidRPr="00C328F1">
        <w:t xml:space="preserve">• Hasta ahora, las decisiones formales de ejecución también son limitadas. Esto refleja el hecho de que las ANC han abordado las irregularidades relacionadas con las declaraciones relacionadas con la sostenibilidad, principalmente en su supervisión continua. Además, las ANC han favorecido en general un enfoque gradual, acompañando a los agentes del mercado en la aplicación de un nuevo y complejo marco regulador. Por último, las ANC se enfrentan a dificultades para determinar las infracciones, ya que el marco regulador se basa en definiciones poco claras o ambiguas. </w:t>
      </w:r>
    </w:p>
    <w:p w14:paraId="63728A00" w14:textId="0ED1CCE2" w:rsidR="001E2974" w:rsidRPr="001E2974" w:rsidRDefault="001E2974" w:rsidP="001469E5">
      <w:pPr>
        <w:jc w:val="both"/>
      </w:pPr>
      <w:r w:rsidRPr="00C328F1">
        <w:t>• Para hacer frente a la necesidad de conocimientos especializados, las ANC y la AEVM han comenzado a desarrollar capacidades y conocimientos especializados relacionados con la sostenibilidad a través de programas de formación, contrataciones, cooperación con los organismos nacionales pertinentes o diálogo con organizaciones no gubernamentales (ONG). Sin embargo, la mayoría de las ANC consideran que sus recursos no son suficientes.</w:t>
      </w:r>
    </w:p>
    <w:p w14:paraId="3C24FD57" w14:textId="21ADC4BB" w:rsidR="001E2974" w:rsidRPr="001E2974" w:rsidRDefault="001E2974" w:rsidP="001469E5">
      <w:pPr>
        <w:jc w:val="both"/>
      </w:pPr>
      <w:r w:rsidRPr="00C328F1">
        <w:t>• Una supervisión eficaz se basa en el acceso de las ANC a datos pertinentes, de alta calidad y comparables. Las ANC identificaron casi unánimemente el acceso a los datos como un reto en al menos un sector de las SIVC, y los datos se refieren a (1) la información que es objeto de supervisión (por ejemplo, divulgaciones reglamentarias, determinados anuncios) o (2) a la información que puede servir a los supervisores en su trabajo (por ejemplo, informes de noticias, datos sobre el perfil de sostenibilidad de los activos subyacentes de los fondos). Un número cada vez mayor de ANC está considerando la posibilidad de adquirir datos de terceros para ayudar a su supervisión.</w:t>
      </w:r>
    </w:p>
    <w:p w14:paraId="7217B630" w14:textId="77777777" w:rsidR="001E2974" w:rsidRPr="001E2974" w:rsidRDefault="001E2974" w:rsidP="001469E5">
      <w:pPr>
        <w:jc w:val="both"/>
      </w:pPr>
      <w:r w:rsidRPr="00C328F1">
        <w:t>• El uso de herramientas SupTech puede aumentar la eficiencia de la supervisión, sin reemplazar el juicio profesional ejercido por los supervisores. Hasta el momento, solo unas pocas ANC informaron haber utilizado herramientas de SupTech. Sin embargo, la mayoría de las ANC ya están desarrollando estas herramientas, planificando o considerando hacerlo en el futuro.</w:t>
      </w:r>
    </w:p>
    <w:p w14:paraId="3E62EB13" w14:textId="1CAD6815" w:rsidR="001E2974" w:rsidRPr="001E2974" w:rsidRDefault="001E2974" w:rsidP="00B54FD0">
      <w:pPr>
        <w:jc w:val="both"/>
      </w:pPr>
      <w:r>
        <w:t>5.</w:t>
      </w:r>
      <w:r w:rsidR="00404A35">
        <w:tab/>
      </w:r>
      <w:r>
        <w:t>El informe final formula recomendaciones a las ANC. Las siguientes recomendaciones generales se complementan con recomendaciones sectoriales específicas del SIVC siempre que sea necesario. Se invita a las ANC a seguir aumentando los recursos humanos, las capacidades y los conocimientos especializados y a adaptar su estructura organizativa a las necesidades de supervisión relacionada con la sostenibilidad, según se considere oportuno. También se invita a las ANC a considerar la posibilidad de invertir en el acceso a los datos y a las herramientas de tecnología superior. Además, se pide a las ANC que sigan integrando los riesgos de blanqueo ecológico en su marco de seguimiento de riesgos y que profundicen gradualmente su control crítico de las declaraciones relacionadas con la sostenibilidad. Se anima a las ANC a que incorporen la comprensión común de alto nivel de las AES sobre el blanqueo ecológico en la supervisión continua.</w:t>
      </w:r>
    </w:p>
    <w:p w14:paraId="7EE73A4B" w14:textId="6D1F6D28" w:rsidR="001E2974" w:rsidRPr="001E2974" w:rsidRDefault="001E2974" w:rsidP="00E01C0A">
      <w:pPr>
        <w:jc w:val="both"/>
      </w:pPr>
      <w:r>
        <w:t>6.</w:t>
      </w:r>
      <w:r w:rsidR="00404A35">
        <w:tab/>
      </w:r>
      <w:r>
        <w:t xml:space="preserve">Con </w:t>
      </w:r>
      <w:r w:rsidRPr="00C328F1">
        <w:t xml:space="preserve">el fin de fomentar la convergencia en materia de supervisión y apoyar los esfuerzos de las ANC, la AEVM está adoptando medidas. En el marco de la Prioridad Estratégica de Supervisión de la Unión (USSP) sobre divulgación de información ASG, la AEVM impulsa la adopción de medidas de supervisión con objetivos comunes, incluidas las acciones comunes de supervisión (CSA) en los distintos sectores de la SIVC. La AEVM seguirá aplicando su plan de formación en finanzas sostenibles y su Centro de Conocimiento de la AEVM, y ampliará la colaboración con la Agencia Europea de Medio Ambiente (AEMA). La AEVM seguirá desarrollando indicadores para supervisar </w:t>
      </w:r>
      <w:r w:rsidRPr="00C328F1">
        <w:lastRenderedPageBreak/>
        <w:t>los riesgos de blanqueo ecológico y seguirá apoyando el despliegue de herramientas SupTech. La AEVM seguirá explorando formas de mutualizar y mejorar el acceso a los datos pertinentes para la supervisión relacionada con la sostenibilidad. La AEVM también sopesará la necesidad de elaborar orientaciones adicionales para los agentes del mercado y para los supervisores en ámbitos de alto riesgo de blanqueo ecológico.</w:t>
      </w:r>
    </w:p>
    <w:p w14:paraId="18AFFEFD" w14:textId="5465DA83" w:rsidR="001E2974" w:rsidRPr="001E2974" w:rsidRDefault="001E2974" w:rsidP="00B42B4F">
      <w:pPr>
        <w:jc w:val="both"/>
      </w:pPr>
      <w:r>
        <w:t>7.</w:t>
      </w:r>
      <w:r w:rsidR="00404A35">
        <w:tab/>
      </w:r>
      <w:r>
        <w:t xml:space="preserve">Algunas </w:t>
      </w:r>
      <w:r w:rsidRPr="00C328F1">
        <w:t>recomendaciones se dirigen a la CE, con el objetivo de apoyar la supervisión. La información engañosa también debe prohibirse explícitamente en virtud del Reglamento sobre índices de referencia, y los índices de referencia que tengan en cuenta factores ASG o persigan objetivos ASG (índices de referencia ASG) deben seguir estando sujetos al mandato de los supervisores. Debe fomentarse en mayor medida la lectura automática de las divulgaciones en materia de sostenibilidad y el acceso a los datos a través del punto de acceso único europeo (PAAS). En el marco de la Estrategia para el Inversor Minorista, se invita a la Comisión Europea a que faculte a la AEVM para que proporcione orientación adicional a los agentes del mercado en materia de comunicaciones publicitarias y refuerce los mandatos de los supervisores en materia de conocimientos financieros de los inversores minoristas. El desarrollo de capacidades podría apoyarse mejor ajustando el programa del Instrumento de Apoyo Técnico (ETI) y adecuarlo mejor a los objetivos de la convergencia de la supervisión a escala de la UE.</w:t>
      </w:r>
    </w:p>
    <w:p w14:paraId="32D5F405" w14:textId="6766207B" w:rsidR="001E2974" w:rsidRPr="001E2974" w:rsidRDefault="001E2974" w:rsidP="00B42B4F">
      <w:pPr>
        <w:jc w:val="both"/>
      </w:pPr>
      <w:r>
        <w:t>8.</w:t>
      </w:r>
      <w:r w:rsidR="00404A35">
        <w:tab/>
      </w:r>
      <w:r>
        <w:t xml:space="preserve">Por </w:t>
      </w:r>
      <w:r w:rsidRPr="00C328F1">
        <w:t>último, los participantes en el mercado de las SIVC tienen la responsabilidad de hacer declaraciones de sostenibilidad fundamentadas y comunicar la información sobre sostenibilidad de manera justa, clara y no engañosa. Para estar a la altura de esa responsabilidad, los participantes en el mercado deben tener en cuenta las áreas de alto riesgo identificadas en el informe de situación de la AEVM. En consonancia con las medidas correctivas establecidas en ese mismo informe, también deben adaptar su gobernanza y sus procesos (por ejemplo, en lo que respecta a la gestión de riesgos, los controles de diligencia debida sobre la información ESG, la validación de los mensajes de marketing y las políticas de remuneración), desarrollar conocimientos especializados, mejorar su infraestructura de datos y mantener la comprensibilidad para los consumidores.</w:t>
      </w:r>
    </w:p>
    <w:p w14:paraId="618C9430" w14:textId="77777777" w:rsidR="00C328F1" w:rsidRPr="001E2974" w:rsidRDefault="00C328F1" w:rsidP="00EA377A">
      <w:pPr>
        <w:jc w:val="both"/>
      </w:pPr>
    </w:p>
    <w:sectPr w:rsidR="00C328F1" w:rsidRPr="001E29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C5D43"/>
    <w:multiLevelType w:val="multilevel"/>
    <w:tmpl w:val="45A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62EB7"/>
    <w:multiLevelType w:val="multilevel"/>
    <w:tmpl w:val="DE6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223E1"/>
    <w:multiLevelType w:val="multilevel"/>
    <w:tmpl w:val="635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C2497"/>
    <w:multiLevelType w:val="multilevel"/>
    <w:tmpl w:val="EA1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A"/>
    <w:rsid w:val="001E2974"/>
    <w:rsid w:val="00404A35"/>
    <w:rsid w:val="009D5B57"/>
    <w:rsid w:val="00B10892"/>
    <w:rsid w:val="00B717E7"/>
    <w:rsid w:val="00C328F1"/>
    <w:rsid w:val="00DA3770"/>
    <w:rsid w:val="00E32ABF"/>
    <w:rsid w:val="00EA37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481C"/>
  <w15:chartTrackingRefBased/>
  <w15:docId w15:val="{6C95148E-67B8-4756-BD93-D49D7A02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377A"/>
    <w:rPr>
      <w:color w:val="0563C1" w:themeColor="hyperlink"/>
      <w:u w:val="single"/>
    </w:rPr>
  </w:style>
  <w:style w:type="character" w:styleId="Mencinsinresolver">
    <w:name w:val="Unresolved Mention"/>
    <w:basedOn w:val="Fuentedeprrafopredeter"/>
    <w:uiPriority w:val="99"/>
    <w:semiHidden/>
    <w:unhideWhenUsed/>
    <w:rsid w:val="00EA377A"/>
    <w:rPr>
      <w:color w:val="605E5C"/>
      <w:shd w:val="clear" w:color="auto" w:fill="E1DFDD"/>
    </w:rPr>
  </w:style>
  <w:style w:type="character" w:styleId="Hipervnculovisitado">
    <w:name w:val="FollowedHyperlink"/>
    <w:basedOn w:val="Fuentedeprrafopredeter"/>
    <w:uiPriority w:val="99"/>
    <w:semiHidden/>
    <w:unhideWhenUsed/>
    <w:rsid w:val="00EA3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1343">
      <w:bodyDiv w:val="1"/>
      <w:marLeft w:val="0"/>
      <w:marRight w:val="0"/>
      <w:marTop w:val="0"/>
      <w:marBottom w:val="0"/>
      <w:divBdr>
        <w:top w:val="none" w:sz="0" w:space="0" w:color="auto"/>
        <w:left w:val="none" w:sz="0" w:space="0" w:color="auto"/>
        <w:bottom w:val="none" w:sz="0" w:space="0" w:color="auto"/>
        <w:right w:val="none" w:sz="0" w:space="0" w:color="auto"/>
      </w:divBdr>
      <w:divsChild>
        <w:div w:id="2130779021">
          <w:marLeft w:val="0"/>
          <w:marRight w:val="0"/>
          <w:marTop w:val="0"/>
          <w:marBottom w:val="0"/>
          <w:divBdr>
            <w:top w:val="none" w:sz="0" w:space="0" w:color="auto"/>
            <w:left w:val="none" w:sz="0" w:space="0" w:color="auto"/>
            <w:bottom w:val="none" w:sz="0" w:space="0" w:color="auto"/>
            <w:right w:val="none" w:sz="0" w:space="0" w:color="auto"/>
          </w:divBdr>
          <w:divsChild>
            <w:div w:id="996807204">
              <w:marLeft w:val="0"/>
              <w:marRight w:val="0"/>
              <w:marTop w:val="0"/>
              <w:marBottom w:val="0"/>
              <w:divBdr>
                <w:top w:val="none" w:sz="0" w:space="0" w:color="auto"/>
                <w:left w:val="none" w:sz="0" w:space="0" w:color="auto"/>
                <w:bottom w:val="none" w:sz="0" w:space="0" w:color="auto"/>
                <w:right w:val="none" w:sz="0" w:space="0" w:color="auto"/>
              </w:divBdr>
              <w:divsChild>
                <w:div w:id="728846827">
                  <w:marLeft w:val="0"/>
                  <w:marRight w:val="0"/>
                  <w:marTop w:val="0"/>
                  <w:marBottom w:val="0"/>
                  <w:divBdr>
                    <w:top w:val="none" w:sz="0" w:space="0" w:color="auto"/>
                    <w:left w:val="none" w:sz="0" w:space="0" w:color="auto"/>
                    <w:bottom w:val="none" w:sz="0" w:space="0" w:color="auto"/>
                    <w:right w:val="none" w:sz="0" w:space="0" w:color="auto"/>
                  </w:divBdr>
                </w:div>
                <w:div w:id="1171916864">
                  <w:marLeft w:val="0"/>
                  <w:marRight w:val="0"/>
                  <w:marTop w:val="0"/>
                  <w:marBottom w:val="0"/>
                  <w:divBdr>
                    <w:top w:val="none" w:sz="0" w:space="0" w:color="auto"/>
                    <w:left w:val="none" w:sz="0" w:space="0" w:color="auto"/>
                    <w:bottom w:val="none" w:sz="0" w:space="0" w:color="auto"/>
                    <w:right w:val="none" w:sz="0" w:space="0" w:color="auto"/>
                  </w:divBdr>
                  <w:divsChild>
                    <w:div w:id="1430273140">
                      <w:marLeft w:val="0"/>
                      <w:marRight w:val="0"/>
                      <w:marTop w:val="0"/>
                      <w:marBottom w:val="0"/>
                      <w:divBdr>
                        <w:top w:val="none" w:sz="0" w:space="0" w:color="auto"/>
                        <w:left w:val="none" w:sz="0" w:space="0" w:color="auto"/>
                        <w:bottom w:val="none" w:sz="0" w:space="0" w:color="auto"/>
                        <w:right w:val="none" w:sz="0" w:space="0" w:color="auto"/>
                      </w:divBdr>
                      <w:divsChild>
                        <w:div w:id="1315060017">
                          <w:marLeft w:val="0"/>
                          <w:marRight w:val="0"/>
                          <w:marTop w:val="0"/>
                          <w:marBottom w:val="0"/>
                          <w:divBdr>
                            <w:top w:val="none" w:sz="0" w:space="0" w:color="auto"/>
                            <w:left w:val="none" w:sz="0" w:space="0" w:color="auto"/>
                            <w:bottom w:val="none" w:sz="0" w:space="0" w:color="auto"/>
                            <w:right w:val="none" w:sz="0" w:space="0" w:color="auto"/>
                          </w:divBdr>
                        </w:div>
                        <w:div w:id="4734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6534">
      <w:bodyDiv w:val="1"/>
      <w:marLeft w:val="0"/>
      <w:marRight w:val="0"/>
      <w:marTop w:val="0"/>
      <w:marBottom w:val="0"/>
      <w:divBdr>
        <w:top w:val="none" w:sz="0" w:space="0" w:color="auto"/>
        <w:left w:val="none" w:sz="0" w:space="0" w:color="auto"/>
        <w:bottom w:val="none" w:sz="0" w:space="0" w:color="auto"/>
        <w:right w:val="none" w:sz="0" w:space="0" w:color="auto"/>
      </w:divBdr>
      <w:divsChild>
        <w:div w:id="485904810">
          <w:marLeft w:val="0"/>
          <w:marRight w:val="0"/>
          <w:marTop w:val="0"/>
          <w:marBottom w:val="0"/>
          <w:divBdr>
            <w:top w:val="none" w:sz="0" w:space="0" w:color="auto"/>
            <w:left w:val="none" w:sz="0" w:space="0" w:color="auto"/>
            <w:bottom w:val="none" w:sz="0" w:space="0" w:color="auto"/>
            <w:right w:val="none" w:sz="0" w:space="0" w:color="auto"/>
          </w:divBdr>
        </w:div>
        <w:div w:id="283467021">
          <w:marLeft w:val="0"/>
          <w:marRight w:val="0"/>
          <w:marTop w:val="300"/>
          <w:marBottom w:val="300"/>
          <w:divBdr>
            <w:top w:val="none" w:sz="0" w:space="0" w:color="auto"/>
            <w:left w:val="none" w:sz="0" w:space="0" w:color="auto"/>
            <w:bottom w:val="none" w:sz="0" w:space="0" w:color="auto"/>
            <w:right w:val="none" w:sz="0" w:space="0" w:color="auto"/>
          </w:divBdr>
        </w:div>
        <w:div w:id="927614391">
          <w:marLeft w:val="0"/>
          <w:marRight w:val="0"/>
          <w:marTop w:val="600"/>
          <w:marBottom w:val="0"/>
          <w:divBdr>
            <w:top w:val="none" w:sz="0" w:space="0" w:color="auto"/>
            <w:left w:val="none" w:sz="0" w:space="0" w:color="auto"/>
            <w:bottom w:val="none" w:sz="0" w:space="0" w:color="auto"/>
            <w:right w:val="none" w:sz="0" w:space="0" w:color="auto"/>
          </w:divBdr>
          <w:divsChild>
            <w:div w:id="183726630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320693894">
      <w:bodyDiv w:val="1"/>
      <w:marLeft w:val="0"/>
      <w:marRight w:val="0"/>
      <w:marTop w:val="0"/>
      <w:marBottom w:val="0"/>
      <w:divBdr>
        <w:top w:val="none" w:sz="0" w:space="0" w:color="auto"/>
        <w:left w:val="none" w:sz="0" w:space="0" w:color="auto"/>
        <w:bottom w:val="none" w:sz="0" w:space="0" w:color="auto"/>
        <w:right w:val="none" w:sz="0" w:space="0" w:color="auto"/>
      </w:divBdr>
      <w:divsChild>
        <w:div w:id="521479595">
          <w:marLeft w:val="0"/>
          <w:marRight w:val="0"/>
          <w:marTop w:val="0"/>
          <w:marBottom w:val="0"/>
          <w:divBdr>
            <w:top w:val="none" w:sz="0" w:space="0" w:color="auto"/>
            <w:left w:val="none" w:sz="0" w:space="0" w:color="auto"/>
            <w:bottom w:val="none" w:sz="0" w:space="0" w:color="auto"/>
            <w:right w:val="none" w:sz="0" w:space="0" w:color="auto"/>
          </w:divBdr>
        </w:div>
        <w:div w:id="477115296">
          <w:marLeft w:val="0"/>
          <w:marRight w:val="0"/>
          <w:marTop w:val="300"/>
          <w:marBottom w:val="300"/>
          <w:divBdr>
            <w:top w:val="none" w:sz="0" w:space="0" w:color="auto"/>
            <w:left w:val="none" w:sz="0" w:space="0" w:color="auto"/>
            <w:bottom w:val="none" w:sz="0" w:space="0" w:color="auto"/>
            <w:right w:val="none" w:sz="0" w:space="0" w:color="auto"/>
          </w:divBdr>
        </w:div>
        <w:div w:id="802504714">
          <w:marLeft w:val="0"/>
          <w:marRight w:val="0"/>
          <w:marTop w:val="600"/>
          <w:marBottom w:val="0"/>
          <w:divBdr>
            <w:top w:val="none" w:sz="0" w:space="0" w:color="auto"/>
            <w:left w:val="none" w:sz="0" w:space="0" w:color="auto"/>
            <w:bottom w:val="none" w:sz="0" w:space="0" w:color="auto"/>
            <w:right w:val="none" w:sz="0" w:space="0" w:color="auto"/>
          </w:divBdr>
          <w:divsChild>
            <w:div w:id="107504528">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842041340">
      <w:bodyDiv w:val="1"/>
      <w:marLeft w:val="0"/>
      <w:marRight w:val="0"/>
      <w:marTop w:val="0"/>
      <w:marBottom w:val="0"/>
      <w:divBdr>
        <w:top w:val="none" w:sz="0" w:space="0" w:color="auto"/>
        <w:left w:val="none" w:sz="0" w:space="0" w:color="auto"/>
        <w:bottom w:val="none" w:sz="0" w:space="0" w:color="auto"/>
        <w:right w:val="none" w:sz="0" w:space="0" w:color="auto"/>
      </w:divBdr>
      <w:divsChild>
        <w:div w:id="1048795509">
          <w:marLeft w:val="0"/>
          <w:marRight w:val="0"/>
          <w:marTop w:val="0"/>
          <w:marBottom w:val="0"/>
          <w:divBdr>
            <w:top w:val="none" w:sz="0" w:space="0" w:color="auto"/>
            <w:left w:val="none" w:sz="0" w:space="0" w:color="auto"/>
            <w:bottom w:val="none" w:sz="0" w:space="0" w:color="auto"/>
            <w:right w:val="none" w:sz="0" w:space="0" w:color="auto"/>
          </w:divBdr>
          <w:divsChild>
            <w:div w:id="191458583">
              <w:marLeft w:val="0"/>
              <w:marRight w:val="0"/>
              <w:marTop w:val="0"/>
              <w:marBottom w:val="0"/>
              <w:divBdr>
                <w:top w:val="none" w:sz="0" w:space="0" w:color="auto"/>
                <w:left w:val="none" w:sz="0" w:space="0" w:color="auto"/>
                <w:bottom w:val="none" w:sz="0" w:space="0" w:color="auto"/>
                <w:right w:val="none" w:sz="0" w:space="0" w:color="auto"/>
              </w:divBdr>
              <w:divsChild>
                <w:div w:id="771050810">
                  <w:marLeft w:val="0"/>
                  <w:marRight w:val="0"/>
                  <w:marTop w:val="0"/>
                  <w:marBottom w:val="0"/>
                  <w:divBdr>
                    <w:top w:val="none" w:sz="0" w:space="0" w:color="auto"/>
                    <w:left w:val="none" w:sz="0" w:space="0" w:color="auto"/>
                    <w:bottom w:val="none" w:sz="0" w:space="0" w:color="auto"/>
                    <w:right w:val="none" w:sz="0" w:space="0" w:color="auto"/>
                  </w:divBdr>
                </w:div>
                <w:div w:id="1060903257">
                  <w:marLeft w:val="0"/>
                  <w:marRight w:val="0"/>
                  <w:marTop w:val="0"/>
                  <w:marBottom w:val="0"/>
                  <w:divBdr>
                    <w:top w:val="none" w:sz="0" w:space="0" w:color="auto"/>
                    <w:left w:val="none" w:sz="0" w:space="0" w:color="auto"/>
                    <w:bottom w:val="none" w:sz="0" w:space="0" w:color="auto"/>
                    <w:right w:val="none" w:sz="0" w:space="0" w:color="auto"/>
                  </w:divBdr>
                  <w:divsChild>
                    <w:div w:id="1497376445">
                      <w:marLeft w:val="0"/>
                      <w:marRight w:val="0"/>
                      <w:marTop w:val="0"/>
                      <w:marBottom w:val="0"/>
                      <w:divBdr>
                        <w:top w:val="none" w:sz="0" w:space="0" w:color="auto"/>
                        <w:left w:val="none" w:sz="0" w:space="0" w:color="auto"/>
                        <w:bottom w:val="none" w:sz="0" w:space="0" w:color="auto"/>
                        <w:right w:val="none" w:sz="0" w:space="0" w:color="auto"/>
                      </w:divBdr>
                      <w:divsChild>
                        <w:div w:id="1135483442">
                          <w:marLeft w:val="0"/>
                          <w:marRight w:val="0"/>
                          <w:marTop w:val="0"/>
                          <w:marBottom w:val="0"/>
                          <w:divBdr>
                            <w:top w:val="none" w:sz="0" w:space="0" w:color="auto"/>
                            <w:left w:val="none" w:sz="0" w:space="0" w:color="auto"/>
                            <w:bottom w:val="none" w:sz="0" w:space="0" w:color="auto"/>
                            <w:right w:val="none" w:sz="0" w:space="0" w:color="auto"/>
                          </w:divBdr>
                        </w:div>
                        <w:div w:id="20545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greenwashing/" TargetMode="External"/><Relationship Id="rId13" Type="http://schemas.openxmlformats.org/officeDocument/2006/relationships/hyperlink" Target="https://www.eba.europa.eu/sites/default/files/2024-05/a12e5087-8fd2-451f-8005-6d45dc838ffd/Report%20on%20greenwashing%20monitoring%20and%20supervision.pdf" TargetMode="External"/><Relationship Id="rId18" Type="http://schemas.openxmlformats.org/officeDocument/2006/relationships/hyperlink" Target="https://www.esma.europa.eu/sites/default/files/library/request_to_esas_on_greenwashing_monitoring_and_supervision.pdf"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eba.europa.eu/publications-and-media/press-releases/esas-call-enhanced-supervision-and-improved-market-practice-sustainability-related-claims" TargetMode="External"/><Relationship Id="rId12" Type="http://schemas.openxmlformats.org/officeDocument/2006/relationships/hyperlink" Target="https://www.esma.europa.eu/sites/default/files/2024-06/ESMA36-287652198-2699_Final_Report_on_Greenwashing.pdf" TargetMode="External"/><Relationship Id="rId17" Type="http://schemas.openxmlformats.org/officeDocument/2006/relationships/hyperlink" Target="https://www.eiopa.europa.eu/publications/eiopas-final-report-and-opinion-greenwashing-advice-european-commission_en" TargetMode="External"/><Relationship Id="rId2" Type="http://schemas.openxmlformats.org/officeDocument/2006/relationships/styles" Target="styles.xml"/><Relationship Id="rId16" Type="http://schemas.openxmlformats.org/officeDocument/2006/relationships/hyperlink" Target="https://www.eba.europa.eu/sites/default/files/2024-05/a12e5087-8fd2-451f-8005-6d45dc838ffd/Report%20on%20greenwashing%20monitoring%20and%20supervision.pdf" TargetMode="External"/><Relationship Id="rId20" Type="http://schemas.openxmlformats.org/officeDocument/2006/relationships/hyperlink" Target="https://www.eba.europa.eu/regulation-and-policy/sustainable-finance" TargetMode="External"/><Relationship Id="rId1" Type="http://schemas.openxmlformats.org/officeDocument/2006/relationships/numbering" Target="numbering.xml"/><Relationship Id="rId6" Type="http://schemas.openxmlformats.org/officeDocument/2006/relationships/hyperlink" Target="https://www.xbrl.org/news/esas-call-for-better-supervision-to-fight-greenwashing/"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www.esma.europa.eu/sites/default/files/2024-06/ESMA36-287652198-2699_Final_Report_on_Greenwashing.pdf" TargetMode="External"/><Relationship Id="rId23" Type="http://schemas.openxmlformats.org/officeDocument/2006/relationships/theme" Target="theme/theme1.xml"/><Relationship Id="rId10" Type="http://schemas.openxmlformats.org/officeDocument/2006/relationships/hyperlink" Target="https://www.xbrl.org/tag/esg/" TargetMode="External"/><Relationship Id="rId19" Type="http://schemas.openxmlformats.org/officeDocument/2006/relationships/hyperlink" Target="https://www.eba.europa.eu/sites/default/files/2024-05/a12e5087-8fd2-451f-8005-6d45dc838ffd/Report%20on%20greenwashing%20monitoring%20and%20supervision.pdf" TargetMode="External"/><Relationship Id="rId4" Type="http://schemas.openxmlformats.org/officeDocument/2006/relationships/webSettings" Target="webSettings.xml"/><Relationship Id="rId9" Type="http://schemas.openxmlformats.org/officeDocument/2006/relationships/hyperlink" Target="https://www.xbrl.org/tag/esas/" TargetMode="External"/><Relationship Id="rId14" Type="http://schemas.openxmlformats.org/officeDocument/2006/relationships/hyperlink" Target="https://www.eiopa.europa.eu/publications/eiopas-final-report-and-opinion-greenwashing-advice-european-commission_en"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3111</Words>
  <Characters>17115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8</cp:revision>
  <dcterms:created xsi:type="dcterms:W3CDTF">2024-06-14T03:39:00Z</dcterms:created>
  <dcterms:modified xsi:type="dcterms:W3CDTF">2024-09-24T03:33:00Z</dcterms:modified>
</cp:coreProperties>
</file>